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B1" w:rsidRPr="008D73E7" w:rsidRDefault="008E45B1" w:rsidP="00490F55">
      <w:pPr>
        <w:pStyle w:val="Ttulo1"/>
        <w:numPr>
          <w:ilvl w:val="0"/>
          <w:numId w:val="0"/>
        </w:numPr>
        <w:tabs>
          <w:tab w:val="left" w:pos="720"/>
        </w:tabs>
        <w:spacing w:after="480"/>
        <w:ind w:right="-425"/>
        <w:jc w:val="left"/>
        <w:rPr>
          <w:rFonts w:ascii="Times New Roman" w:hAnsi="Times New Roman"/>
          <w:szCs w:val="28"/>
        </w:rPr>
      </w:pPr>
      <w:bookmarkStart w:id="0" w:name="_Toc43004166"/>
      <w:bookmarkStart w:id="1" w:name="_Toc39896796"/>
      <w:bookmarkStart w:id="2" w:name="_Toc39462804"/>
      <w:bookmarkStart w:id="3" w:name="_Toc39462243"/>
      <w:r w:rsidRPr="008D73E7">
        <w:rPr>
          <w:rFonts w:ascii="Times New Roman" w:hAnsi="Times New Roman"/>
          <w:i w:val="0"/>
          <w:szCs w:val="28"/>
        </w:rPr>
        <w:t>A.</w:t>
      </w:r>
      <w:r w:rsidRPr="008D73E7">
        <w:rPr>
          <w:rFonts w:ascii="Times New Roman" w:hAnsi="Times New Roman"/>
          <w:i w:val="0"/>
          <w:szCs w:val="28"/>
        </w:rPr>
        <w:tab/>
        <w:t>INSTRUCCIONES PARA LOS LICITADORES</w:t>
      </w:r>
      <w:bookmarkEnd w:id="0"/>
      <w:bookmarkEnd w:id="1"/>
      <w:bookmarkEnd w:id="2"/>
      <w:bookmarkEnd w:id="3"/>
    </w:p>
    <w:p w:rsidR="008E45B1" w:rsidRDefault="008E45B1" w:rsidP="00490F55">
      <w:pPr>
        <w:pStyle w:val="Subttulo"/>
        <w:spacing w:before="0" w:after="480"/>
        <w:jc w:val="left"/>
        <w:rPr>
          <w:rFonts w:ascii="Times New Roman" w:hAnsi="Times New Roman"/>
          <w:sz w:val="22"/>
          <w:szCs w:val="22"/>
          <w:lang w:val="es-ES"/>
        </w:rPr>
      </w:pPr>
      <w:r w:rsidRPr="008D73E7">
        <w:rPr>
          <w:rFonts w:ascii="Times New Roman" w:hAnsi="Times New Roman"/>
          <w:sz w:val="22"/>
          <w:szCs w:val="22"/>
          <w:lang w:val="es-ES"/>
        </w:rPr>
        <w:t xml:space="preserve">REFERENCIA DE PUBLICACIÓN: </w:t>
      </w:r>
      <w:r>
        <w:rPr>
          <w:rFonts w:ascii="Times New Roman" w:hAnsi="Times New Roman"/>
          <w:sz w:val="22"/>
          <w:szCs w:val="22"/>
          <w:lang w:val="es-ES"/>
        </w:rPr>
        <w:t>Europe Aid/133018/D/SUP/Multi</w:t>
      </w:r>
    </w:p>
    <w:p w:rsidR="008E45B1" w:rsidRPr="008D73E7" w:rsidRDefault="008E45B1" w:rsidP="000D0B32">
      <w:pPr>
        <w:pStyle w:val="Subttulo"/>
        <w:spacing w:before="0" w:after="480"/>
        <w:jc w:val="both"/>
        <w:rPr>
          <w:rFonts w:ascii="Times New Roman" w:hAnsi="Times New Roman"/>
          <w:sz w:val="22"/>
          <w:lang w:val="es-ES"/>
        </w:rPr>
      </w:pPr>
      <w:r>
        <w:rPr>
          <w:rFonts w:ascii="Times New Roman" w:hAnsi="Times New Roman"/>
          <w:sz w:val="22"/>
          <w:szCs w:val="22"/>
          <w:lang w:val="es-ES"/>
        </w:rPr>
        <w:t>A</w:t>
      </w:r>
      <w:r w:rsidRPr="008D73E7">
        <w:rPr>
          <w:rFonts w:ascii="Times New Roman" w:hAnsi="Times New Roman"/>
          <w:sz w:val="22"/>
          <w:lang w:val="es-ES"/>
        </w:rPr>
        <w:t>l presentar su oferta, el licitador acepta íntegramente y sin reserva alguna las Condiciones Generales y Particulares aplicables al  Contrato, como única base de este procedimiento de licitación, cualesquiera que sean sus propias condiciones de venta, a las que renuncia. Los licitadores deben examinar atentamente y cumplir todos los formularios, instrucciones, disposiciones del contrato y especificaciones contenidos en este expediente de licitación. Se rechazarán las ofertas que no contengan toda la información y documentación exigidas dentro del plazo especificado. No se tendrá en cuenta ninguna reserva expresada en la oferta con respecto al expediente de licitación; toda reserva podrá dar lugar a la desestimación inmediata de la oferta, que no pasará a las fases siguientes de evaluación.</w:t>
      </w:r>
    </w:p>
    <w:p w:rsidR="008E45B1" w:rsidRPr="008D73E7" w:rsidRDefault="008E45B1" w:rsidP="000D0B32">
      <w:pPr>
        <w:pStyle w:val="Subttulo"/>
        <w:spacing w:before="0" w:after="240"/>
        <w:jc w:val="both"/>
        <w:rPr>
          <w:rFonts w:ascii="Times New Roman" w:hAnsi="Times New Roman"/>
          <w:b w:val="0"/>
          <w:sz w:val="22"/>
          <w:szCs w:val="22"/>
          <w:lang w:val="es-ES_tradnl"/>
        </w:rPr>
      </w:pPr>
      <w:r w:rsidRPr="00026094">
        <w:rPr>
          <w:rFonts w:ascii="Times New Roman" w:hAnsi="Times New Roman"/>
          <w:sz w:val="22"/>
          <w:szCs w:val="22"/>
          <w:lang w:val="es-ES_tradnl"/>
        </w:rPr>
        <w:t>En las presentes instrucciones se establecen las normas de presentación, selección,</w:t>
      </w:r>
      <w:r w:rsidRPr="00026094">
        <w:rPr>
          <w:rFonts w:ascii="Times New Roman" w:hAnsi="Times New Roman"/>
          <w:sz w:val="22"/>
          <w:szCs w:val="22"/>
          <w:lang w:val="es-ES_tradnl" w:eastAsia="en-GB"/>
        </w:rPr>
        <w:t xml:space="preserve"> </w:t>
      </w:r>
      <w:r w:rsidRPr="00026094">
        <w:rPr>
          <w:rFonts w:ascii="Times New Roman" w:hAnsi="Times New Roman"/>
          <w:sz w:val="22"/>
          <w:szCs w:val="22"/>
          <w:lang w:val="es-ES_tradnl"/>
        </w:rPr>
        <w:t xml:space="preserve">adjudicación y ejecución de las acciones financiadas dentro del marco de la presente licitación, de acuerdo con la Guía Práctica de los procedimientos contractuales para las acciones exteriores de la </w:t>
      </w:r>
      <w:r>
        <w:rPr>
          <w:rFonts w:ascii="Times New Roman" w:hAnsi="Times New Roman"/>
          <w:sz w:val="22"/>
          <w:szCs w:val="22"/>
          <w:lang w:val="es-ES_tradnl"/>
        </w:rPr>
        <w:t>U</w:t>
      </w:r>
      <w:r w:rsidRPr="00026094">
        <w:rPr>
          <w:rFonts w:ascii="Times New Roman" w:hAnsi="Times New Roman"/>
          <w:sz w:val="22"/>
          <w:szCs w:val="22"/>
          <w:lang w:val="es-ES_tradnl"/>
        </w:rPr>
        <w:t xml:space="preserve">E, que se aplica a la presente licitación (puede consultarse en la siguiente dirección de Internet: </w:t>
      </w:r>
      <w:r w:rsidRPr="00026094">
        <w:rPr>
          <w:rFonts w:ascii="Times New Roman" w:hAnsi="Times New Roman"/>
          <w:lang w:val="es-ES"/>
        </w:rPr>
        <w:t xml:space="preserve"> </w:t>
      </w:r>
      <w:hyperlink r:id="rId7" w:history="1">
        <w:r w:rsidRPr="004F7B24">
          <w:rPr>
            <w:rStyle w:val="Hipervnculo"/>
            <w:rFonts w:ascii="Times New Roman" w:hAnsi="Times New Roman"/>
            <w:sz w:val="22"/>
            <w:szCs w:val="22"/>
            <w:lang w:val="es-ES_tradnl"/>
          </w:rPr>
          <w:t>http://ec.europa.eu/europeaid/work/procedures/index_es.htm</w:t>
        </w:r>
      </w:hyperlink>
      <w:r w:rsidRPr="008D73E7">
        <w:rPr>
          <w:rFonts w:ascii="Times New Roman" w:hAnsi="Times New Roman"/>
          <w:b w:val="0"/>
          <w:sz w:val="22"/>
          <w:szCs w:val="22"/>
          <w:lang w:val="es-ES_tradnl"/>
        </w:rPr>
        <w:t xml:space="preserve"> ).</w:t>
      </w:r>
    </w:p>
    <w:p w:rsidR="008E45B1" w:rsidRDefault="008E45B1" w:rsidP="00490F55">
      <w:pPr>
        <w:pStyle w:val="Ttulo1"/>
        <w:numPr>
          <w:ilvl w:val="0"/>
          <w:numId w:val="4"/>
        </w:numPr>
        <w:tabs>
          <w:tab w:val="left" w:pos="567"/>
        </w:tabs>
        <w:spacing w:before="0" w:after="240"/>
        <w:ind w:left="567" w:hanging="567"/>
        <w:rPr>
          <w:rFonts w:ascii="Times New Roman" w:hAnsi="Times New Roman"/>
          <w:i w:val="0"/>
          <w:sz w:val="24"/>
          <w:szCs w:val="24"/>
        </w:rPr>
      </w:pPr>
      <w:bookmarkStart w:id="4" w:name="_Toc43004167"/>
      <w:bookmarkStart w:id="5" w:name="_Toc39896797"/>
      <w:bookmarkStart w:id="6" w:name="_Toc39463039"/>
      <w:bookmarkStart w:id="7" w:name="_Toc39462805"/>
      <w:bookmarkStart w:id="8" w:name="_Toc39462244"/>
      <w:r w:rsidRPr="00106900">
        <w:rPr>
          <w:rFonts w:ascii="Times New Roman" w:hAnsi="Times New Roman"/>
          <w:i w:val="0"/>
          <w:sz w:val="24"/>
          <w:szCs w:val="24"/>
        </w:rPr>
        <w:t>Suministros que se proveerán</w:t>
      </w:r>
      <w:bookmarkEnd w:id="4"/>
      <w:bookmarkEnd w:id="5"/>
      <w:bookmarkEnd w:id="6"/>
      <w:bookmarkEnd w:id="7"/>
      <w:bookmarkEnd w:id="8"/>
    </w:p>
    <w:p w:rsidR="008E45B1" w:rsidRPr="0003785A" w:rsidRDefault="008E45B1" w:rsidP="00490F55">
      <w:pPr>
        <w:pStyle w:val="Prrafodelista"/>
        <w:spacing w:after="240"/>
        <w:ind w:left="539"/>
        <w:jc w:val="both"/>
        <w:outlineLvl w:val="0"/>
        <w:rPr>
          <w:sz w:val="22"/>
          <w:szCs w:val="22"/>
          <w:lang w:val="es-ES"/>
        </w:rPr>
      </w:pPr>
      <w:r w:rsidRPr="0003785A">
        <w:rPr>
          <w:sz w:val="22"/>
          <w:szCs w:val="22"/>
          <w:lang w:val="es-ES"/>
        </w:rPr>
        <w:t>El Convenio de Financiación  señala que el término del periodo de ejecución es el 09 de diciembre del 2012, sin embargo  está condición está sujeta a una cláusula suspensiva, ver numeral 15 del Anuncio de licitación.</w:t>
      </w:r>
    </w:p>
    <w:p w:rsidR="008E45B1" w:rsidRPr="00812B56" w:rsidRDefault="008E45B1" w:rsidP="00490F55">
      <w:pPr>
        <w:pStyle w:val="Prrafodelista"/>
        <w:spacing w:after="240"/>
        <w:ind w:left="539"/>
        <w:jc w:val="both"/>
        <w:outlineLvl w:val="0"/>
        <w:rPr>
          <w:sz w:val="22"/>
          <w:szCs w:val="22"/>
          <w:highlight w:val="yellow"/>
          <w:lang w:val="es-ES"/>
        </w:rPr>
      </w:pPr>
    </w:p>
    <w:p w:rsidR="008E45B1" w:rsidRPr="00182393" w:rsidRDefault="008E45B1" w:rsidP="00490F55">
      <w:pPr>
        <w:pStyle w:val="Prrafodelista"/>
        <w:spacing w:after="240"/>
        <w:ind w:left="539"/>
        <w:jc w:val="both"/>
        <w:outlineLvl w:val="0"/>
        <w:rPr>
          <w:sz w:val="22"/>
          <w:szCs w:val="22"/>
          <w:lang w:val="es-ES"/>
        </w:rPr>
      </w:pPr>
    </w:p>
    <w:p w:rsidR="008E45B1" w:rsidRPr="00182393" w:rsidRDefault="008E45B1" w:rsidP="00490F55">
      <w:pPr>
        <w:pStyle w:val="Prrafodelista"/>
        <w:numPr>
          <w:ilvl w:val="1"/>
          <w:numId w:val="9"/>
        </w:numPr>
        <w:spacing w:after="240"/>
        <w:jc w:val="both"/>
        <w:rPr>
          <w:sz w:val="22"/>
          <w:lang w:val="es-ES"/>
        </w:rPr>
      </w:pPr>
      <w:bookmarkStart w:id="9" w:name="_Toc39462806"/>
      <w:bookmarkStart w:id="10" w:name="_Toc39462245"/>
      <w:r w:rsidRPr="00182393">
        <w:rPr>
          <w:sz w:val="22"/>
          <w:lang w:val="es-ES"/>
        </w:rPr>
        <w:t>El objeto del contrato es  el suministro,  la entrega, la instalación y la puesta en servicio,  por parte del Titular de los siguientes bienes, los cuales están divididos en 1</w:t>
      </w:r>
      <w:r>
        <w:rPr>
          <w:sz w:val="22"/>
          <w:lang w:val="es-ES"/>
        </w:rPr>
        <w:t>4</w:t>
      </w:r>
      <w:r w:rsidRPr="00182393">
        <w:rPr>
          <w:sz w:val="22"/>
          <w:lang w:val="es-ES"/>
        </w:rPr>
        <w:t xml:space="preserve"> lotes que se detallan a continuación:</w:t>
      </w: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
        <w:gridCol w:w="844"/>
        <w:gridCol w:w="2409"/>
        <w:gridCol w:w="709"/>
        <w:gridCol w:w="2835"/>
        <w:gridCol w:w="1134"/>
      </w:tblGrid>
      <w:tr w:rsidR="008E45B1" w:rsidTr="00AA1BC6">
        <w:tc>
          <w:tcPr>
            <w:tcW w:w="1031" w:type="dxa"/>
            <w:shd w:val="clear" w:color="auto" w:fill="D9D9D9"/>
          </w:tcPr>
          <w:p w:rsidR="008E45B1" w:rsidRPr="00AA1BC6" w:rsidRDefault="008E45B1" w:rsidP="00AA1BC6">
            <w:pPr>
              <w:pStyle w:val="Prrafodelista"/>
              <w:spacing w:after="240"/>
              <w:ind w:left="0"/>
              <w:jc w:val="center"/>
              <w:rPr>
                <w:sz w:val="16"/>
                <w:szCs w:val="16"/>
                <w:lang w:val="es-ES"/>
              </w:rPr>
            </w:pPr>
            <w:r w:rsidRPr="00AA1BC6">
              <w:rPr>
                <w:sz w:val="16"/>
                <w:szCs w:val="16"/>
                <w:lang w:val="es-ES"/>
              </w:rPr>
              <w:t>LOTES</w:t>
            </w:r>
          </w:p>
        </w:tc>
        <w:tc>
          <w:tcPr>
            <w:tcW w:w="844" w:type="dxa"/>
            <w:shd w:val="clear" w:color="auto" w:fill="D9D9D9"/>
          </w:tcPr>
          <w:p w:rsidR="008E45B1" w:rsidRPr="00AA1BC6" w:rsidRDefault="008E45B1" w:rsidP="00AA1BC6">
            <w:pPr>
              <w:pStyle w:val="Prrafodelista"/>
              <w:spacing w:after="240"/>
              <w:ind w:left="0"/>
              <w:jc w:val="center"/>
              <w:rPr>
                <w:sz w:val="16"/>
                <w:szCs w:val="16"/>
                <w:lang w:val="es-ES"/>
              </w:rPr>
            </w:pPr>
            <w:r w:rsidRPr="00AA1BC6">
              <w:rPr>
                <w:sz w:val="16"/>
                <w:szCs w:val="16"/>
                <w:lang w:val="es-ES"/>
              </w:rPr>
              <w:t>ITEM</w:t>
            </w:r>
          </w:p>
        </w:tc>
        <w:tc>
          <w:tcPr>
            <w:tcW w:w="2409" w:type="dxa"/>
            <w:shd w:val="clear" w:color="auto" w:fill="D9D9D9"/>
          </w:tcPr>
          <w:p w:rsidR="008E45B1" w:rsidRPr="00AA1BC6" w:rsidRDefault="008E45B1" w:rsidP="00AA1BC6">
            <w:pPr>
              <w:pStyle w:val="Prrafodelista"/>
              <w:spacing w:after="240"/>
              <w:ind w:left="0"/>
              <w:jc w:val="center"/>
              <w:rPr>
                <w:sz w:val="16"/>
                <w:szCs w:val="16"/>
                <w:lang w:val="es-ES"/>
              </w:rPr>
            </w:pPr>
            <w:r w:rsidRPr="00AA1BC6">
              <w:rPr>
                <w:sz w:val="16"/>
                <w:szCs w:val="16"/>
                <w:lang w:val="es-ES"/>
              </w:rPr>
              <w:t>DESCRIPCIÓN DE LOS BIENES</w:t>
            </w:r>
          </w:p>
        </w:tc>
        <w:tc>
          <w:tcPr>
            <w:tcW w:w="709" w:type="dxa"/>
            <w:shd w:val="clear" w:color="auto" w:fill="D9D9D9"/>
          </w:tcPr>
          <w:p w:rsidR="008E45B1" w:rsidRPr="00AA1BC6" w:rsidRDefault="008E45B1" w:rsidP="00AA1BC6">
            <w:pPr>
              <w:pStyle w:val="Prrafodelista"/>
              <w:spacing w:after="240"/>
              <w:ind w:left="0"/>
              <w:jc w:val="center"/>
              <w:rPr>
                <w:sz w:val="16"/>
                <w:szCs w:val="16"/>
                <w:lang w:val="es-ES"/>
              </w:rPr>
            </w:pPr>
            <w:r w:rsidRPr="00AA1BC6">
              <w:rPr>
                <w:sz w:val="16"/>
                <w:szCs w:val="16"/>
                <w:lang w:val="es-ES"/>
              </w:rPr>
              <w:t>CANT</w:t>
            </w:r>
          </w:p>
        </w:tc>
        <w:tc>
          <w:tcPr>
            <w:tcW w:w="2835" w:type="dxa"/>
            <w:shd w:val="clear" w:color="auto" w:fill="D9D9D9"/>
          </w:tcPr>
          <w:p w:rsidR="008E45B1" w:rsidRPr="00AA1BC6" w:rsidRDefault="008E45B1" w:rsidP="00AA1BC6">
            <w:pPr>
              <w:pStyle w:val="Prrafodelista"/>
              <w:spacing w:after="240"/>
              <w:ind w:left="0"/>
              <w:jc w:val="center"/>
              <w:rPr>
                <w:sz w:val="16"/>
                <w:szCs w:val="16"/>
                <w:lang w:val="es-ES"/>
              </w:rPr>
            </w:pPr>
            <w:r w:rsidRPr="00AA1BC6">
              <w:rPr>
                <w:sz w:val="16"/>
                <w:szCs w:val="16"/>
                <w:lang w:val="es-ES"/>
              </w:rPr>
              <w:t>LUGAR DE SUMINISTRO ENTREGA, INSTALACIÓN Y PUESTA EN SERVICIO</w:t>
            </w:r>
          </w:p>
        </w:tc>
        <w:tc>
          <w:tcPr>
            <w:tcW w:w="1134" w:type="dxa"/>
            <w:shd w:val="clear" w:color="auto" w:fill="D9D9D9"/>
          </w:tcPr>
          <w:p w:rsidR="008E45B1" w:rsidRPr="00AA1BC6" w:rsidRDefault="008E45B1" w:rsidP="00AA1BC6">
            <w:pPr>
              <w:pStyle w:val="Prrafodelista"/>
              <w:spacing w:after="240"/>
              <w:ind w:left="0"/>
              <w:jc w:val="center"/>
              <w:rPr>
                <w:sz w:val="16"/>
                <w:szCs w:val="16"/>
                <w:lang w:val="es-ES"/>
              </w:rPr>
            </w:pPr>
            <w:r w:rsidRPr="00AA1BC6">
              <w:rPr>
                <w:sz w:val="16"/>
                <w:szCs w:val="16"/>
                <w:lang w:val="es-ES"/>
              </w:rPr>
              <w:t>PLAZO DE RECEPCIÓN</w:t>
            </w:r>
          </w:p>
        </w:tc>
      </w:tr>
      <w:tr w:rsidR="008E45B1" w:rsidRPr="00D96116" w:rsidTr="00AA1BC6">
        <w:tc>
          <w:tcPr>
            <w:tcW w:w="1031" w:type="dxa"/>
          </w:tcPr>
          <w:p w:rsidR="008E45B1" w:rsidRPr="00AA1BC6" w:rsidRDefault="008E45B1" w:rsidP="00AA1BC6">
            <w:pPr>
              <w:jc w:val="center"/>
              <w:rPr>
                <w:b/>
                <w:sz w:val="20"/>
                <w:szCs w:val="20"/>
              </w:rPr>
            </w:pPr>
            <w:r w:rsidRPr="00AA1BC6">
              <w:rPr>
                <w:b/>
                <w:sz w:val="20"/>
                <w:szCs w:val="20"/>
              </w:rPr>
              <w:t>1</w:t>
            </w:r>
          </w:p>
        </w:tc>
        <w:tc>
          <w:tcPr>
            <w:tcW w:w="844" w:type="dxa"/>
          </w:tcPr>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2</w:t>
            </w: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3</w:t>
            </w:r>
          </w:p>
          <w:p w:rsidR="008E45B1" w:rsidRPr="00AA1BC6" w:rsidRDefault="008E45B1" w:rsidP="00AA1BC6">
            <w:pPr>
              <w:jc w:val="center"/>
              <w:rPr>
                <w:sz w:val="20"/>
                <w:szCs w:val="20"/>
              </w:rPr>
            </w:pPr>
          </w:p>
          <w:p w:rsidR="008E45B1" w:rsidRPr="00AA1BC6" w:rsidRDefault="008E45B1" w:rsidP="00AA1BC6">
            <w:pPr>
              <w:jc w:val="center"/>
              <w:rPr>
                <w:sz w:val="20"/>
                <w:szCs w:val="20"/>
              </w:rPr>
            </w:pPr>
          </w:p>
        </w:tc>
        <w:tc>
          <w:tcPr>
            <w:tcW w:w="2409" w:type="dxa"/>
          </w:tcPr>
          <w:p w:rsidR="008E45B1" w:rsidRPr="00AA1BC6" w:rsidRDefault="008E45B1" w:rsidP="00CB70D0">
            <w:pPr>
              <w:rPr>
                <w:lang w:val="es-CO"/>
              </w:rPr>
            </w:pPr>
            <w:r w:rsidRPr="00AA1BC6">
              <w:rPr>
                <w:sz w:val="22"/>
                <w:szCs w:val="22"/>
                <w:lang w:val="es-CO"/>
              </w:rPr>
              <w:t xml:space="preserve">  Tres Items:</w:t>
            </w:r>
          </w:p>
          <w:p w:rsidR="008E45B1" w:rsidRPr="00AA1BC6" w:rsidRDefault="008E45B1" w:rsidP="00CB70D0">
            <w:pPr>
              <w:rPr>
                <w:lang w:val="es-CO"/>
              </w:rPr>
            </w:pPr>
            <w:r w:rsidRPr="00AA1BC6">
              <w:rPr>
                <w:sz w:val="22"/>
                <w:szCs w:val="22"/>
                <w:lang w:val="es-CO"/>
              </w:rPr>
              <w:t>Cromatografo de gases-detector espectrómetro de masas</w:t>
            </w:r>
          </w:p>
          <w:p w:rsidR="008E45B1" w:rsidRPr="000F535B" w:rsidRDefault="008E45B1" w:rsidP="00CB70D0">
            <w:pPr>
              <w:rPr>
                <w:bCs/>
                <w:color w:val="000000"/>
                <w:lang w:val="es-PE"/>
              </w:rPr>
            </w:pPr>
          </w:p>
          <w:p w:rsidR="008E45B1" w:rsidRPr="00AA1BC6" w:rsidRDefault="008E45B1" w:rsidP="00CB70D0">
            <w:pPr>
              <w:rPr>
                <w:bCs/>
                <w:color w:val="000000"/>
              </w:rPr>
            </w:pPr>
            <w:r w:rsidRPr="00AA1BC6">
              <w:rPr>
                <w:bCs/>
                <w:color w:val="000000"/>
                <w:sz w:val="22"/>
                <w:szCs w:val="22"/>
              </w:rPr>
              <w:t>Ultrasonido</w:t>
            </w:r>
          </w:p>
          <w:p w:rsidR="008E45B1" w:rsidRPr="00AA1BC6" w:rsidRDefault="008E45B1" w:rsidP="00AA1BC6">
            <w:pPr>
              <w:jc w:val="both"/>
              <w:rPr>
                <w:bCs/>
                <w:color w:val="000000"/>
              </w:rPr>
            </w:pPr>
          </w:p>
          <w:p w:rsidR="008E45B1" w:rsidRPr="00AA1BC6" w:rsidRDefault="008E45B1" w:rsidP="00AA1BC6">
            <w:pPr>
              <w:jc w:val="both"/>
              <w:rPr>
                <w:lang w:val="es-CO"/>
              </w:rPr>
            </w:pPr>
            <w:r w:rsidRPr="00AA1BC6">
              <w:rPr>
                <w:bCs/>
                <w:color w:val="000000"/>
                <w:sz w:val="22"/>
                <w:szCs w:val="22"/>
              </w:rPr>
              <w:t>Derivatizador -Baño Seco</w:t>
            </w:r>
          </w:p>
        </w:tc>
        <w:tc>
          <w:tcPr>
            <w:tcW w:w="709" w:type="dxa"/>
          </w:tcPr>
          <w:p w:rsidR="008E45B1" w:rsidRPr="00AA1BC6" w:rsidRDefault="008E45B1" w:rsidP="00AA1BC6">
            <w:pPr>
              <w:jc w:val="center"/>
              <w:rPr>
                <w:b/>
                <w:sz w:val="20"/>
                <w:szCs w:val="20"/>
              </w:rPr>
            </w:pPr>
            <w:r w:rsidRPr="00AA1BC6">
              <w:rPr>
                <w:b/>
                <w:sz w:val="20"/>
                <w:szCs w:val="20"/>
              </w:rPr>
              <w:t>3</w:t>
            </w:r>
          </w:p>
          <w:p w:rsidR="008E45B1" w:rsidRPr="00AA1BC6" w:rsidRDefault="008E45B1" w:rsidP="00AA1BC6">
            <w:pPr>
              <w:jc w:val="center"/>
              <w:rPr>
                <w:sz w:val="20"/>
                <w:szCs w:val="20"/>
              </w:rPr>
            </w:pPr>
            <w:r w:rsidRPr="00AA1BC6">
              <w:rPr>
                <w:sz w:val="20"/>
                <w:szCs w:val="20"/>
              </w:rPr>
              <w:t>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1</w:t>
            </w: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1</w:t>
            </w:r>
          </w:p>
        </w:tc>
        <w:tc>
          <w:tcPr>
            <w:tcW w:w="2835" w:type="dxa"/>
          </w:tcPr>
          <w:p w:rsidR="008E45B1" w:rsidRPr="00AA1BC6" w:rsidRDefault="008E45B1" w:rsidP="00CB70D0">
            <w:pPr>
              <w:rPr>
                <w:sz w:val="18"/>
                <w:szCs w:val="18"/>
                <w:lang w:val="es-PE"/>
              </w:rPr>
            </w:pPr>
          </w:p>
          <w:p w:rsidR="008E45B1" w:rsidRPr="00AA1BC6" w:rsidRDefault="008E45B1" w:rsidP="00CB70D0">
            <w:pPr>
              <w:rPr>
                <w:sz w:val="18"/>
                <w:szCs w:val="18"/>
                <w:lang w:val="es-PE"/>
              </w:rPr>
            </w:pPr>
          </w:p>
          <w:p w:rsidR="008E45B1" w:rsidRPr="00AA1BC6" w:rsidRDefault="008E45B1" w:rsidP="00CB70D0">
            <w:pPr>
              <w:rPr>
                <w:sz w:val="18"/>
                <w:szCs w:val="18"/>
                <w:lang w:val="es-PE"/>
              </w:rPr>
            </w:pPr>
            <w:r w:rsidRPr="00AA1BC6">
              <w:rPr>
                <w:sz w:val="18"/>
                <w:szCs w:val="18"/>
                <w:lang w:val="es-PE"/>
              </w:rPr>
              <w:t xml:space="preserve">Laboratorio Investigación y Diagnóstico Veterinario -(LIDIVECO)   </w:t>
            </w:r>
          </w:p>
          <w:p w:rsidR="008E45B1" w:rsidRPr="00AA1BC6" w:rsidRDefault="008E45B1" w:rsidP="00CB70D0">
            <w:pPr>
              <w:rPr>
                <w:sz w:val="18"/>
                <w:szCs w:val="18"/>
                <w:lang w:val="es-PE"/>
              </w:rPr>
            </w:pPr>
          </w:p>
          <w:p w:rsidR="008E45B1" w:rsidRPr="00AA1BC6" w:rsidRDefault="008E45B1" w:rsidP="00CB70D0">
            <w:pPr>
              <w:rPr>
                <w:sz w:val="18"/>
                <w:szCs w:val="18"/>
                <w:highlight w:val="yellow"/>
                <w:lang w:val="es-CO"/>
              </w:rPr>
            </w:pPr>
            <w:r w:rsidRPr="00AA1BC6">
              <w:rPr>
                <w:sz w:val="18"/>
                <w:szCs w:val="18"/>
                <w:lang w:val="es-PE"/>
              </w:rPr>
              <w:t>Av. Blanco Galindo Km. 12.5 – Cochabamba -  Bolivia</w:t>
            </w:r>
          </w:p>
        </w:tc>
        <w:tc>
          <w:tcPr>
            <w:tcW w:w="1134" w:type="dxa"/>
          </w:tcPr>
          <w:p w:rsidR="008E45B1" w:rsidRPr="00AA1BC6" w:rsidRDefault="008E45B1" w:rsidP="00AA1BC6">
            <w:pPr>
              <w:pStyle w:val="Prrafodelista"/>
              <w:spacing w:after="240"/>
              <w:ind w:left="0"/>
              <w:jc w:val="both"/>
              <w:rPr>
                <w:highlight w:val="yellow"/>
                <w:lang w:val="es-ES"/>
              </w:rPr>
            </w:pPr>
            <w:r w:rsidRPr="00AA1BC6">
              <w:rPr>
                <w:sz w:val="22"/>
                <w:szCs w:val="22"/>
                <w:lang w:val="es-ES"/>
              </w:rPr>
              <w:t>120 días</w:t>
            </w:r>
          </w:p>
        </w:tc>
      </w:tr>
      <w:tr w:rsidR="008E45B1" w:rsidRPr="00370D80" w:rsidTr="00AA1BC6">
        <w:tc>
          <w:tcPr>
            <w:tcW w:w="1031" w:type="dxa"/>
          </w:tcPr>
          <w:p w:rsidR="008E45B1" w:rsidRPr="00AA1BC6" w:rsidRDefault="008E45B1" w:rsidP="00AA1BC6">
            <w:pPr>
              <w:jc w:val="center"/>
              <w:rPr>
                <w:b/>
                <w:sz w:val="20"/>
                <w:szCs w:val="20"/>
              </w:rPr>
            </w:pPr>
            <w:r w:rsidRPr="00AA1BC6">
              <w:rPr>
                <w:b/>
                <w:sz w:val="20"/>
                <w:szCs w:val="20"/>
              </w:rPr>
              <w:t>2</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AA1BC6" w:rsidRDefault="008E45B1" w:rsidP="00CB70D0">
            <w:pPr>
              <w:rPr>
                <w:bCs/>
                <w:color w:val="000000"/>
              </w:rPr>
            </w:pPr>
            <w:r w:rsidRPr="00AA1BC6">
              <w:rPr>
                <w:bCs/>
                <w:color w:val="000000"/>
                <w:sz w:val="22"/>
                <w:szCs w:val="22"/>
              </w:rPr>
              <w:t>Rotavapor</w:t>
            </w:r>
          </w:p>
        </w:tc>
        <w:tc>
          <w:tcPr>
            <w:tcW w:w="709" w:type="dxa"/>
          </w:tcPr>
          <w:p w:rsidR="008E45B1" w:rsidRPr="00AA1BC6" w:rsidRDefault="008E45B1" w:rsidP="00AA1BC6">
            <w:pPr>
              <w:jc w:val="center"/>
              <w:rPr>
                <w:b/>
                <w:sz w:val="20"/>
                <w:szCs w:val="20"/>
              </w:rPr>
            </w:pPr>
            <w:r w:rsidRPr="00AA1BC6">
              <w:rPr>
                <w:b/>
                <w:sz w:val="20"/>
                <w:szCs w:val="20"/>
              </w:rPr>
              <w:t>1</w:t>
            </w:r>
          </w:p>
        </w:tc>
        <w:tc>
          <w:tcPr>
            <w:tcW w:w="2835" w:type="dxa"/>
          </w:tcPr>
          <w:p w:rsidR="008E45B1" w:rsidRPr="00AA1BC6" w:rsidRDefault="008E45B1" w:rsidP="00CB70D0">
            <w:pPr>
              <w:rPr>
                <w:sz w:val="18"/>
                <w:szCs w:val="18"/>
                <w:lang w:val="es-PE"/>
              </w:rPr>
            </w:pPr>
            <w:r w:rsidRPr="00AA1BC6">
              <w:rPr>
                <w:sz w:val="18"/>
                <w:szCs w:val="18"/>
                <w:lang w:val="es-PE"/>
              </w:rPr>
              <w:t xml:space="preserve">Laboratorio Investigación y Diagnóstico Veterinario -(LIDIVECO)   </w:t>
            </w:r>
          </w:p>
          <w:p w:rsidR="008E45B1" w:rsidRPr="00AA1BC6" w:rsidRDefault="008E45B1" w:rsidP="00CB70D0">
            <w:pPr>
              <w:rPr>
                <w:sz w:val="18"/>
                <w:szCs w:val="18"/>
                <w:highlight w:val="yellow"/>
                <w:lang w:val="es-CO"/>
              </w:rPr>
            </w:pPr>
            <w:r w:rsidRPr="00AA1BC6">
              <w:rPr>
                <w:sz w:val="18"/>
                <w:szCs w:val="18"/>
                <w:lang w:val="es-PE"/>
              </w:rPr>
              <w:t>Av. Blanco Galindo Km. 12.5 – Cochabamba - Bolivia</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120 días</w:t>
            </w:r>
          </w:p>
        </w:tc>
      </w:tr>
      <w:tr w:rsidR="008E45B1" w:rsidRPr="00D96116" w:rsidTr="00AA1BC6">
        <w:tc>
          <w:tcPr>
            <w:tcW w:w="1031" w:type="dxa"/>
          </w:tcPr>
          <w:p w:rsidR="008E45B1" w:rsidRPr="00AA1BC6" w:rsidRDefault="008E45B1" w:rsidP="00AA1BC6">
            <w:pPr>
              <w:jc w:val="center"/>
              <w:rPr>
                <w:b/>
                <w:sz w:val="20"/>
                <w:szCs w:val="20"/>
              </w:rPr>
            </w:pPr>
            <w:r w:rsidRPr="00AA1BC6">
              <w:rPr>
                <w:b/>
                <w:sz w:val="20"/>
                <w:szCs w:val="20"/>
              </w:rPr>
              <w:t>3</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AA1BC6" w:rsidRDefault="008E45B1" w:rsidP="00CB70D0">
            <w:pPr>
              <w:rPr>
                <w:bCs/>
                <w:color w:val="000000"/>
              </w:rPr>
            </w:pPr>
            <w:r w:rsidRPr="00AA1BC6">
              <w:rPr>
                <w:bCs/>
                <w:color w:val="000000"/>
                <w:sz w:val="22"/>
                <w:szCs w:val="22"/>
              </w:rPr>
              <w:t>Campana de extracción</w:t>
            </w:r>
          </w:p>
        </w:tc>
        <w:tc>
          <w:tcPr>
            <w:tcW w:w="709" w:type="dxa"/>
          </w:tcPr>
          <w:p w:rsidR="008E45B1" w:rsidRPr="00AA1BC6" w:rsidRDefault="008E45B1" w:rsidP="00AA1BC6">
            <w:pPr>
              <w:jc w:val="center"/>
              <w:rPr>
                <w:b/>
                <w:sz w:val="20"/>
                <w:szCs w:val="20"/>
              </w:rPr>
            </w:pPr>
            <w:r w:rsidRPr="00AA1BC6">
              <w:rPr>
                <w:b/>
                <w:sz w:val="20"/>
                <w:szCs w:val="20"/>
              </w:rPr>
              <w:t>1</w:t>
            </w:r>
          </w:p>
        </w:tc>
        <w:tc>
          <w:tcPr>
            <w:tcW w:w="2835" w:type="dxa"/>
          </w:tcPr>
          <w:p w:rsidR="008E45B1" w:rsidRPr="00AA1BC6" w:rsidRDefault="008E45B1" w:rsidP="00CB70D0">
            <w:pPr>
              <w:rPr>
                <w:sz w:val="18"/>
                <w:szCs w:val="18"/>
                <w:lang w:val="es-PE"/>
              </w:rPr>
            </w:pPr>
            <w:r w:rsidRPr="00AA1BC6">
              <w:rPr>
                <w:sz w:val="18"/>
                <w:szCs w:val="18"/>
                <w:lang w:val="es-PE"/>
              </w:rPr>
              <w:t xml:space="preserve">Laboratorio Investigación y Diagnóstico Veterinario -(LIDIVECO)   </w:t>
            </w:r>
          </w:p>
          <w:p w:rsidR="008E45B1" w:rsidRPr="00AA1BC6" w:rsidRDefault="008E45B1" w:rsidP="00CB70D0">
            <w:pPr>
              <w:rPr>
                <w:sz w:val="18"/>
                <w:szCs w:val="18"/>
                <w:highlight w:val="yellow"/>
                <w:lang w:val="es-CO"/>
              </w:rPr>
            </w:pPr>
            <w:r w:rsidRPr="00AA1BC6">
              <w:rPr>
                <w:sz w:val="18"/>
                <w:szCs w:val="18"/>
                <w:lang w:val="es-PE"/>
              </w:rPr>
              <w:t>Av. Blanco Galindo Km. 12.5 – Cochabamba - Bolivia</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120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lastRenderedPageBreak/>
              <w:t>4</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0F535B" w:rsidRDefault="008E45B1" w:rsidP="00CB70D0">
            <w:pPr>
              <w:rPr>
                <w:bCs/>
                <w:color w:val="000000"/>
                <w:lang w:val="es-PE"/>
              </w:rPr>
            </w:pPr>
            <w:r w:rsidRPr="000F535B">
              <w:rPr>
                <w:bCs/>
                <w:color w:val="000000"/>
                <w:sz w:val="22"/>
                <w:szCs w:val="22"/>
                <w:lang w:val="es-PE"/>
              </w:rPr>
              <w:t>Micropipetas</w:t>
            </w:r>
          </w:p>
          <w:p w:rsidR="008E45B1" w:rsidRPr="000F535B" w:rsidRDefault="008E45B1" w:rsidP="00CB70D0">
            <w:pPr>
              <w:rPr>
                <w:bCs/>
                <w:color w:val="000000"/>
                <w:lang w:val="es-PE"/>
              </w:rPr>
            </w:pPr>
            <w:r w:rsidRPr="000F535B">
              <w:rPr>
                <w:bCs/>
                <w:color w:val="000000"/>
                <w:sz w:val="22"/>
                <w:szCs w:val="22"/>
                <w:lang w:val="es-PE"/>
              </w:rPr>
              <w:t>Micropipetas de volumen adjustable 1-10 microlitros  (2)</w:t>
            </w:r>
          </w:p>
          <w:p w:rsidR="008E45B1" w:rsidRPr="00AA1BC6" w:rsidRDefault="008E45B1" w:rsidP="00CB70D0">
            <w:pPr>
              <w:rPr>
                <w:bCs/>
                <w:color w:val="000000"/>
              </w:rPr>
            </w:pPr>
            <w:r w:rsidRPr="00AA1BC6">
              <w:rPr>
                <w:bCs/>
                <w:color w:val="000000"/>
                <w:sz w:val="22"/>
                <w:szCs w:val="22"/>
              </w:rPr>
              <w:t>Pipetas electrónicas 100-5000 microlitros (2)</w:t>
            </w:r>
          </w:p>
        </w:tc>
        <w:tc>
          <w:tcPr>
            <w:tcW w:w="709" w:type="dxa"/>
          </w:tcPr>
          <w:p w:rsidR="008E45B1" w:rsidRPr="00AA1BC6" w:rsidRDefault="008E45B1" w:rsidP="00AA1BC6">
            <w:pPr>
              <w:jc w:val="center"/>
              <w:rPr>
                <w:b/>
                <w:sz w:val="20"/>
                <w:szCs w:val="20"/>
              </w:rPr>
            </w:pPr>
            <w:r w:rsidRPr="00AA1BC6">
              <w:rPr>
                <w:b/>
                <w:sz w:val="20"/>
                <w:szCs w:val="20"/>
              </w:rPr>
              <w:t>4</w:t>
            </w:r>
          </w:p>
          <w:p w:rsidR="008E45B1" w:rsidRPr="00AA1BC6" w:rsidRDefault="008E45B1" w:rsidP="00AA1BC6">
            <w:pPr>
              <w:jc w:val="center"/>
              <w:rPr>
                <w:sz w:val="20"/>
                <w:szCs w:val="20"/>
              </w:rPr>
            </w:pPr>
            <w:r w:rsidRPr="00AA1BC6">
              <w:rPr>
                <w:sz w:val="20"/>
                <w:szCs w:val="20"/>
              </w:rPr>
              <w:t>2</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2</w:t>
            </w:r>
          </w:p>
          <w:p w:rsidR="008E45B1" w:rsidRPr="00AA1BC6" w:rsidRDefault="008E45B1" w:rsidP="00AA1BC6">
            <w:pPr>
              <w:jc w:val="center"/>
              <w:rPr>
                <w:b/>
                <w:sz w:val="20"/>
                <w:szCs w:val="20"/>
              </w:rPr>
            </w:pPr>
          </w:p>
        </w:tc>
        <w:tc>
          <w:tcPr>
            <w:tcW w:w="2835" w:type="dxa"/>
          </w:tcPr>
          <w:p w:rsidR="008E45B1" w:rsidRPr="00AA1BC6" w:rsidRDefault="008E45B1" w:rsidP="00CB70D0">
            <w:pPr>
              <w:rPr>
                <w:sz w:val="18"/>
                <w:szCs w:val="18"/>
                <w:lang w:val="es-PE"/>
              </w:rPr>
            </w:pPr>
            <w:r w:rsidRPr="00AA1BC6">
              <w:rPr>
                <w:sz w:val="18"/>
                <w:szCs w:val="18"/>
                <w:lang w:val="es-PE"/>
              </w:rPr>
              <w:t xml:space="preserve">Laboratorio Investigación y Diagnóstico Veterinario -(LIDIVECO)   </w:t>
            </w:r>
          </w:p>
          <w:p w:rsidR="008E45B1" w:rsidRPr="00AA1BC6" w:rsidRDefault="008E45B1" w:rsidP="00CB70D0">
            <w:pPr>
              <w:rPr>
                <w:sz w:val="18"/>
                <w:szCs w:val="18"/>
                <w:highlight w:val="yellow"/>
                <w:lang w:val="es-CO"/>
              </w:rPr>
            </w:pPr>
            <w:r w:rsidRPr="00AA1BC6">
              <w:rPr>
                <w:sz w:val="18"/>
                <w:szCs w:val="18"/>
                <w:lang w:val="es-PE"/>
              </w:rPr>
              <w:t>Av. Blanco Galindo Km. 12.5 – Cochabamba -  Bolivia</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120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t>5</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AA1BC6" w:rsidRDefault="008E45B1" w:rsidP="00AA1BC6">
            <w:pPr>
              <w:jc w:val="both"/>
              <w:rPr>
                <w:lang w:val="es-PE"/>
              </w:rPr>
            </w:pPr>
            <w:r w:rsidRPr="00AA1BC6">
              <w:rPr>
                <w:sz w:val="22"/>
                <w:szCs w:val="22"/>
                <w:lang w:val="es-PE"/>
              </w:rPr>
              <w:t>Cromatógrafo de gases acoplado a un espectrómetro de masas  triple  cuadrúpolo</w:t>
            </w:r>
          </w:p>
        </w:tc>
        <w:tc>
          <w:tcPr>
            <w:tcW w:w="709" w:type="dxa"/>
          </w:tcPr>
          <w:p w:rsidR="008E45B1" w:rsidRPr="00AA1BC6" w:rsidRDefault="008E45B1" w:rsidP="00AA1BC6">
            <w:pPr>
              <w:jc w:val="center"/>
              <w:rPr>
                <w:b/>
                <w:sz w:val="20"/>
                <w:szCs w:val="20"/>
                <w:lang w:val="es-PE"/>
              </w:rPr>
            </w:pPr>
          </w:p>
          <w:p w:rsidR="008E45B1" w:rsidRPr="00AA1BC6" w:rsidRDefault="008E45B1" w:rsidP="00AA1BC6">
            <w:pPr>
              <w:jc w:val="center"/>
              <w:rPr>
                <w:b/>
                <w:sz w:val="20"/>
                <w:szCs w:val="20"/>
              </w:rPr>
            </w:pPr>
            <w:r w:rsidRPr="00AA1BC6">
              <w:rPr>
                <w:b/>
                <w:sz w:val="20"/>
                <w:szCs w:val="20"/>
              </w:rPr>
              <w:t>1</w:t>
            </w:r>
          </w:p>
        </w:tc>
        <w:tc>
          <w:tcPr>
            <w:tcW w:w="2835" w:type="dxa"/>
          </w:tcPr>
          <w:p w:rsidR="008E45B1" w:rsidRPr="00AA1BC6" w:rsidRDefault="008E45B1" w:rsidP="00AA1BC6">
            <w:pPr>
              <w:pStyle w:val="Subttulo"/>
              <w:jc w:val="both"/>
              <w:rPr>
                <w:b w:val="0"/>
                <w:sz w:val="18"/>
                <w:szCs w:val="18"/>
                <w:lang w:val="es-CO"/>
              </w:rPr>
            </w:pPr>
            <w:r w:rsidRPr="00AA1BC6">
              <w:rPr>
                <w:rFonts w:ascii="Times New Roman" w:hAnsi="Times New Roman"/>
                <w:b w:val="0"/>
                <w:sz w:val="18"/>
                <w:szCs w:val="18"/>
              </w:rPr>
              <w:t>Laboratorio Nacional de Insumos Agrícolas –Carretera Occidente Km. 14  Vía a Mosquera- Departamento de Cundinamarca. Colombia</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90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t>6</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AA1BC6" w:rsidRDefault="008E45B1" w:rsidP="00AA1BC6">
            <w:pPr>
              <w:jc w:val="both"/>
            </w:pPr>
            <w:r w:rsidRPr="00AA1BC6">
              <w:rPr>
                <w:sz w:val="22"/>
                <w:szCs w:val="22"/>
              </w:rPr>
              <w:t>Conductivimeto</w:t>
            </w:r>
          </w:p>
        </w:tc>
        <w:tc>
          <w:tcPr>
            <w:tcW w:w="709" w:type="dxa"/>
          </w:tcPr>
          <w:p w:rsidR="008E45B1" w:rsidRPr="00AA1BC6" w:rsidRDefault="008E45B1" w:rsidP="00AA1BC6">
            <w:pPr>
              <w:jc w:val="center"/>
              <w:rPr>
                <w:sz w:val="20"/>
                <w:szCs w:val="20"/>
              </w:rPr>
            </w:pPr>
            <w:r w:rsidRPr="00AA1BC6">
              <w:rPr>
                <w:sz w:val="20"/>
                <w:szCs w:val="20"/>
              </w:rPr>
              <w:t>2</w:t>
            </w:r>
          </w:p>
        </w:tc>
        <w:tc>
          <w:tcPr>
            <w:tcW w:w="2835" w:type="dxa"/>
          </w:tcPr>
          <w:p w:rsidR="008E45B1" w:rsidRPr="00AA1BC6" w:rsidRDefault="008E45B1" w:rsidP="00AA1BC6">
            <w:pPr>
              <w:jc w:val="both"/>
              <w:rPr>
                <w:sz w:val="18"/>
                <w:szCs w:val="18"/>
                <w:lang w:val="es-CO"/>
              </w:rPr>
            </w:pPr>
            <w:r w:rsidRPr="00AA1BC6">
              <w:rPr>
                <w:sz w:val="18"/>
                <w:szCs w:val="18"/>
                <w:lang w:val="es-PE"/>
              </w:rPr>
              <w:t xml:space="preserve">Laboratorio Nacional de Insumos Pecuarrios – Vía a Mosquera- Departamento de Cundinamarca. </w:t>
            </w:r>
            <w:smartTag w:uri="urn:schemas-microsoft-com:office:smarttags" w:element="place">
              <w:smartTag w:uri="urn:schemas-microsoft-com:office:smarttags" w:element="country-region">
                <w:r w:rsidRPr="00AA1BC6">
                  <w:rPr>
                    <w:sz w:val="18"/>
                    <w:szCs w:val="18"/>
                  </w:rPr>
                  <w:t>Colombia</w:t>
                </w:r>
              </w:smartTag>
            </w:smartTag>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90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t>7</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4B3E38" w:rsidRDefault="008E45B1" w:rsidP="00AA1BC6">
            <w:pPr>
              <w:jc w:val="both"/>
              <w:rPr>
                <w:color w:val="000000"/>
                <w:lang w:val="es-PE"/>
              </w:rPr>
            </w:pPr>
            <w:r w:rsidRPr="004B3E38">
              <w:rPr>
                <w:color w:val="000000"/>
                <w:sz w:val="22"/>
                <w:szCs w:val="22"/>
                <w:lang w:val="es-PE"/>
              </w:rPr>
              <w:t>Cromatógrafo liquido  de alta resolución HPLC con detectores de arreglo de diodos</w:t>
            </w:r>
          </w:p>
        </w:tc>
        <w:tc>
          <w:tcPr>
            <w:tcW w:w="709" w:type="dxa"/>
          </w:tcPr>
          <w:p w:rsidR="008E45B1" w:rsidRPr="00AA1BC6" w:rsidRDefault="008E45B1" w:rsidP="00AA1BC6">
            <w:pPr>
              <w:jc w:val="center"/>
              <w:rPr>
                <w:b/>
                <w:sz w:val="20"/>
                <w:szCs w:val="20"/>
              </w:rPr>
            </w:pPr>
            <w:r w:rsidRPr="00AA1BC6">
              <w:rPr>
                <w:b/>
                <w:sz w:val="20"/>
                <w:szCs w:val="20"/>
              </w:rPr>
              <w:t>1</w:t>
            </w:r>
          </w:p>
        </w:tc>
        <w:tc>
          <w:tcPr>
            <w:tcW w:w="2835" w:type="dxa"/>
          </w:tcPr>
          <w:p w:rsidR="008E45B1" w:rsidRPr="00AA1BC6" w:rsidRDefault="008E45B1" w:rsidP="00AA1BC6">
            <w:pPr>
              <w:jc w:val="both"/>
              <w:rPr>
                <w:sz w:val="18"/>
                <w:szCs w:val="18"/>
              </w:rPr>
            </w:pPr>
            <w:r w:rsidRPr="00AA1BC6">
              <w:rPr>
                <w:sz w:val="18"/>
                <w:szCs w:val="18"/>
                <w:lang w:val="es-PE"/>
              </w:rPr>
              <w:t xml:space="preserve">Laboratorio de la Agencia Ecuatoriana de Aseguramiento de la Calidad del Agro – AGROCALIDAD-                          Av. </w:t>
            </w:r>
            <w:r w:rsidRPr="00AA1BC6">
              <w:rPr>
                <w:sz w:val="18"/>
                <w:szCs w:val="18"/>
              </w:rPr>
              <w:t>Interoceánica  Km. 14  Granja del MAGAP Tumbaco- Pichincha – Ecuador</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90 días</w:t>
            </w:r>
          </w:p>
        </w:tc>
      </w:tr>
      <w:tr w:rsidR="008E45B1" w:rsidTr="00AA1BC6">
        <w:trPr>
          <w:trHeight w:val="1440"/>
        </w:trPr>
        <w:tc>
          <w:tcPr>
            <w:tcW w:w="1031" w:type="dxa"/>
          </w:tcPr>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r w:rsidRPr="00AA1BC6">
              <w:rPr>
                <w:b/>
                <w:sz w:val="20"/>
                <w:szCs w:val="20"/>
              </w:rPr>
              <w:t>8</w:t>
            </w:r>
          </w:p>
        </w:tc>
        <w:tc>
          <w:tcPr>
            <w:tcW w:w="844" w:type="dxa"/>
          </w:tcPr>
          <w:p w:rsidR="008E45B1" w:rsidRPr="00AA1BC6" w:rsidRDefault="008E45B1" w:rsidP="00AA1BC6">
            <w:pPr>
              <w:jc w:val="center"/>
              <w:rPr>
                <w:b/>
                <w:sz w:val="20"/>
                <w:szCs w:val="20"/>
              </w:rPr>
            </w:pPr>
          </w:p>
          <w:p w:rsidR="008E45B1" w:rsidRPr="00AA1BC6" w:rsidRDefault="008E45B1" w:rsidP="00AA1BC6">
            <w:pPr>
              <w:jc w:val="center"/>
              <w:rPr>
                <w:sz w:val="20"/>
                <w:szCs w:val="20"/>
              </w:rPr>
            </w:pPr>
            <w:r w:rsidRPr="00AA1BC6">
              <w:rPr>
                <w:sz w:val="20"/>
                <w:szCs w:val="20"/>
              </w:rPr>
              <w:t>Item 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2</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3</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4</w:t>
            </w:r>
          </w:p>
          <w:p w:rsidR="008E45B1" w:rsidRPr="00AA1BC6" w:rsidRDefault="008E45B1" w:rsidP="00AA1BC6">
            <w:pPr>
              <w:jc w:val="center"/>
              <w:rPr>
                <w:b/>
                <w:sz w:val="20"/>
                <w:szCs w:val="20"/>
              </w:rPr>
            </w:pPr>
          </w:p>
        </w:tc>
        <w:tc>
          <w:tcPr>
            <w:tcW w:w="2409" w:type="dxa"/>
          </w:tcPr>
          <w:p w:rsidR="008E45B1" w:rsidRPr="00AA1BC6" w:rsidRDefault="008E45B1" w:rsidP="00AA1BC6">
            <w:pPr>
              <w:jc w:val="both"/>
              <w:rPr>
                <w:color w:val="000000"/>
                <w:lang w:val="es-PE"/>
              </w:rPr>
            </w:pPr>
            <w:r w:rsidRPr="00AA1BC6">
              <w:rPr>
                <w:color w:val="000000"/>
                <w:sz w:val="22"/>
                <w:szCs w:val="22"/>
                <w:lang w:val="es-PE"/>
              </w:rPr>
              <w:t>Cuatro Items:</w:t>
            </w:r>
          </w:p>
          <w:p w:rsidR="008E45B1" w:rsidRPr="00AA1BC6" w:rsidRDefault="008E45B1" w:rsidP="00AA1BC6">
            <w:pPr>
              <w:jc w:val="both"/>
              <w:rPr>
                <w:color w:val="000000"/>
                <w:lang w:val="es-PE"/>
              </w:rPr>
            </w:pPr>
            <w:r w:rsidRPr="00AA1BC6">
              <w:rPr>
                <w:color w:val="000000"/>
                <w:sz w:val="22"/>
                <w:szCs w:val="22"/>
                <w:lang w:val="es-PE"/>
              </w:rPr>
              <w:t>Planchas calefactoras con agitador magnético digital</w:t>
            </w:r>
          </w:p>
          <w:p w:rsidR="008E45B1" w:rsidRPr="00AA1BC6" w:rsidRDefault="008E45B1" w:rsidP="00AA1BC6">
            <w:pPr>
              <w:jc w:val="both"/>
              <w:rPr>
                <w:color w:val="000000"/>
                <w:lang w:val="es-PE"/>
              </w:rPr>
            </w:pPr>
          </w:p>
          <w:p w:rsidR="008E45B1" w:rsidRPr="004B3E38" w:rsidRDefault="008E45B1" w:rsidP="00AA1BC6">
            <w:pPr>
              <w:jc w:val="both"/>
              <w:rPr>
                <w:color w:val="000000"/>
                <w:lang w:val="pt-BR"/>
              </w:rPr>
            </w:pPr>
            <w:r w:rsidRPr="004B3E38">
              <w:rPr>
                <w:color w:val="000000"/>
                <w:sz w:val="22"/>
                <w:szCs w:val="22"/>
                <w:lang w:val="pt-BR"/>
              </w:rPr>
              <w:t>Agitador magnético con plataforma acrílica</w:t>
            </w:r>
          </w:p>
          <w:p w:rsidR="008E45B1" w:rsidRPr="004B3E38" w:rsidRDefault="008E45B1" w:rsidP="00AA1BC6">
            <w:pPr>
              <w:jc w:val="both"/>
              <w:rPr>
                <w:color w:val="000000"/>
                <w:lang w:val="pt-BR"/>
              </w:rPr>
            </w:pPr>
          </w:p>
          <w:p w:rsidR="008E45B1" w:rsidRPr="004B3E38" w:rsidRDefault="008E45B1" w:rsidP="00AA1BC6">
            <w:pPr>
              <w:jc w:val="both"/>
              <w:rPr>
                <w:color w:val="000000"/>
                <w:lang w:val="pt-BR"/>
              </w:rPr>
            </w:pPr>
            <w:r w:rsidRPr="004B3E38">
              <w:rPr>
                <w:color w:val="000000"/>
                <w:sz w:val="22"/>
                <w:szCs w:val="22"/>
                <w:lang w:val="pt-BR"/>
              </w:rPr>
              <w:t>Dispensadores  de Líquidos de 50 ml</w:t>
            </w:r>
          </w:p>
          <w:p w:rsidR="008E45B1" w:rsidRPr="004B3E38" w:rsidRDefault="008E45B1" w:rsidP="00AA1BC6">
            <w:pPr>
              <w:jc w:val="both"/>
              <w:rPr>
                <w:lang w:val="pt-BR"/>
              </w:rPr>
            </w:pPr>
          </w:p>
          <w:p w:rsidR="008E45B1" w:rsidRPr="004B3E38" w:rsidRDefault="008E45B1" w:rsidP="00AA1BC6">
            <w:pPr>
              <w:jc w:val="both"/>
              <w:rPr>
                <w:color w:val="000000"/>
                <w:lang w:val="pt-BR"/>
              </w:rPr>
            </w:pPr>
            <w:r w:rsidRPr="004B3E38">
              <w:rPr>
                <w:sz w:val="22"/>
                <w:szCs w:val="22"/>
                <w:lang w:val="pt-BR"/>
              </w:rPr>
              <w:t>Microcentrifuga no refrigerada</w:t>
            </w:r>
          </w:p>
        </w:tc>
        <w:tc>
          <w:tcPr>
            <w:tcW w:w="709" w:type="dxa"/>
          </w:tcPr>
          <w:p w:rsidR="008E45B1" w:rsidRPr="00AA1BC6" w:rsidRDefault="008E45B1" w:rsidP="00AA1BC6">
            <w:pPr>
              <w:jc w:val="center"/>
              <w:rPr>
                <w:b/>
                <w:sz w:val="20"/>
                <w:szCs w:val="20"/>
                <w:lang w:val="es-PE"/>
              </w:rPr>
            </w:pPr>
            <w:r w:rsidRPr="00AA1BC6">
              <w:rPr>
                <w:b/>
                <w:sz w:val="20"/>
                <w:szCs w:val="20"/>
                <w:lang w:val="es-PE"/>
              </w:rPr>
              <w:t>4</w:t>
            </w:r>
          </w:p>
          <w:p w:rsidR="008E45B1" w:rsidRPr="00AA1BC6" w:rsidRDefault="008E45B1" w:rsidP="00AA1BC6">
            <w:pPr>
              <w:jc w:val="center"/>
              <w:rPr>
                <w:b/>
                <w:sz w:val="20"/>
                <w:szCs w:val="20"/>
              </w:rPr>
            </w:pPr>
            <w:r w:rsidRPr="00AA1BC6">
              <w:rPr>
                <w:b/>
                <w:sz w:val="20"/>
                <w:szCs w:val="20"/>
              </w:rPr>
              <w:t>1</w:t>
            </w: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r w:rsidRPr="00AA1BC6">
              <w:rPr>
                <w:b/>
                <w:sz w:val="20"/>
                <w:szCs w:val="20"/>
              </w:rPr>
              <w:t>1</w:t>
            </w: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r w:rsidRPr="00AA1BC6">
              <w:rPr>
                <w:b/>
                <w:sz w:val="20"/>
                <w:szCs w:val="20"/>
              </w:rPr>
              <w:t>1</w:t>
            </w: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r w:rsidRPr="00AA1BC6">
              <w:rPr>
                <w:b/>
                <w:sz w:val="20"/>
                <w:szCs w:val="20"/>
              </w:rPr>
              <w:t>1</w:t>
            </w:r>
          </w:p>
        </w:tc>
        <w:tc>
          <w:tcPr>
            <w:tcW w:w="2835" w:type="dxa"/>
          </w:tcPr>
          <w:p w:rsidR="008E45B1" w:rsidRPr="004B3E38" w:rsidRDefault="008E45B1" w:rsidP="00AA1BC6">
            <w:pPr>
              <w:pStyle w:val="Subttulo"/>
              <w:jc w:val="both"/>
              <w:rPr>
                <w:rFonts w:ascii="Times New Roman" w:hAnsi="Times New Roman"/>
                <w:b w:val="0"/>
                <w:sz w:val="18"/>
                <w:szCs w:val="18"/>
                <w:lang w:val="es-PE"/>
              </w:rPr>
            </w:pPr>
          </w:p>
          <w:p w:rsidR="008E45B1" w:rsidRPr="004B3E38" w:rsidRDefault="008E45B1" w:rsidP="00AA1BC6">
            <w:pPr>
              <w:pStyle w:val="Subttulo"/>
              <w:jc w:val="both"/>
              <w:rPr>
                <w:rFonts w:ascii="Times New Roman" w:hAnsi="Times New Roman"/>
                <w:b w:val="0"/>
                <w:sz w:val="18"/>
                <w:szCs w:val="18"/>
                <w:lang w:val="es-PE"/>
              </w:rPr>
            </w:pPr>
          </w:p>
          <w:p w:rsidR="008E45B1" w:rsidRPr="00AA1BC6" w:rsidRDefault="008E45B1" w:rsidP="00AA1BC6">
            <w:pPr>
              <w:pStyle w:val="Subttulo"/>
              <w:jc w:val="both"/>
              <w:rPr>
                <w:b w:val="0"/>
                <w:sz w:val="20"/>
                <w:lang w:val="es-CO"/>
              </w:rPr>
            </w:pPr>
            <w:r w:rsidRPr="004B3E38">
              <w:rPr>
                <w:rFonts w:ascii="Times New Roman" w:hAnsi="Times New Roman"/>
                <w:b w:val="0"/>
                <w:sz w:val="18"/>
                <w:szCs w:val="18"/>
                <w:lang w:val="es-PE"/>
              </w:rPr>
              <w:t xml:space="preserve">Laboratorio de la Agencia Ecuatoriana de Aseguramiento de la Calidad del Agro – AGROCALIDAD-                         Av. </w:t>
            </w:r>
            <w:r w:rsidRPr="00AA1BC6">
              <w:rPr>
                <w:rFonts w:ascii="Times New Roman" w:hAnsi="Times New Roman"/>
                <w:b w:val="0"/>
                <w:sz w:val="18"/>
                <w:szCs w:val="18"/>
              </w:rPr>
              <w:t>Interoceánica  Km. 14  Granja del MAGAP Tumbaco- Pichincha – Ecuador</w:t>
            </w:r>
          </w:p>
        </w:tc>
        <w:tc>
          <w:tcPr>
            <w:tcW w:w="1134" w:type="dxa"/>
          </w:tcPr>
          <w:p w:rsidR="008E45B1" w:rsidRPr="00AA1BC6" w:rsidRDefault="008E45B1" w:rsidP="00AA1BC6">
            <w:pPr>
              <w:pStyle w:val="Prrafodelista"/>
              <w:spacing w:after="240"/>
              <w:ind w:left="0"/>
              <w:jc w:val="both"/>
              <w:rPr>
                <w:lang w:val="es-ES"/>
              </w:rPr>
            </w:pPr>
          </w:p>
          <w:p w:rsidR="008E45B1" w:rsidRPr="00AA1BC6" w:rsidRDefault="008E45B1" w:rsidP="00AA1BC6">
            <w:pPr>
              <w:pStyle w:val="Prrafodelista"/>
              <w:spacing w:after="240"/>
              <w:ind w:left="0"/>
              <w:jc w:val="both"/>
              <w:rPr>
                <w:lang w:val="es-ES"/>
              </w:rPr>
            </w:pPr>
          </w:p>
          <w:p w:rsidR="008E45B1" w:rsidRPr="00AA1BC6" w:rsidRDefault="008E45B1" w:rsidP="00AA1BC6">
            <w:pPr>
              <w:pStyle w:val="Prrafodelista"/>
              <w:spacing w:after="240"/>
              <w:ind w:left="0"/>
              <w:jc w:val="both"/>
              <w:rPr>
                <w:lang w:val="es-ES"/>
              </w:rPr>
            </w:pPr>
          </w:p>
          <w:p w:rsidR="008E45B1" w:rsidRPr="00AA1BC6" w:rsidRDefault="008E45B1" w:rsidP="00AA1BC6">
            <w:pPr>
              <w:pStyle w:val="Prrafodelista"/>
              <w:spacing w:after="240"/>
              <w:ind w:left="0"/>
              <w:jc w:val="both"/>
              <w:rPr>
                <w:lang w:val="es-ES"/>
              </w:rPr>
            </w:pPr>
          </w:p>
          <w:p w:rsidR="008E45B1" w:rsidRPr="00AA1BC6" w:rsidRDefault="008E45B1" w:rsidP="00AA1BC6">
            <w:pPr>
              <w:pStyle w:val="Prrafodelista"/>
              <w:spacing w:after="240"/>
              <w:ind w:left="0"/>
              <w:jc w:val="both"/>
              <w:rPr>
                <w:lang w:val="es-ES"/>
              </w:rPr>
            </w:pPr>
          </w:p>
          <w:p w:rsidR="008E45B1" w:rsidRPr="00AA1BC6" w:rsidRDefault="008E45B1" w:rsidP="00AA1BC6">
            <w:pPr>
              <w:pStyle w:val="Prrafodelista"/>
              <w:spacing w:after="240"/>
              <w:ind w:left="0"/>
              <w:jc w:val="both"/>
              <w:rPr>
                <w:lang w:val="es-ES"/>
              </w:rPr>
            </w:pPr>
            <w:r w:rsidRPr="00AA1BC6">
              <w:rPr>
                <w:sz w:val="22"/>
                <w:szCs w:val="22"/>
                <w:lang w:val="es-ES"/>
              </w:rPr>
              <w:t>60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t>9</w:t>
            </w:r>
          </w:p>
        </w:tc>
        <w:tc>
          <w:tcPr>
            <w:tcW w:w="844" w:type="dxa"/>
          </w:tcPr>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b/>
                <w:sz w:val="20"/>
                <w:szCs w:val="20"/>
              </w:rPr>
            </w:pPr>
            <w:r w:rsidRPr="00AA1BC6">
              <w:rPr>
                <w:sz w:val="20"/>
                <w:szCs w:val="20"/>
              </w:rPr>
              <w:t>Item 2</w:t>
            </w:r>
          </w:p>
        </w:tc>
        <w:tc>
          <w:tcPr>
            <w:tcW w:w="2409" w:type="dxa"/>
            <w:vAlign w:val="center"/>
          </w:tcPr>
          <w:p w:rsidR="008E45B1" w:rsidRPr="00AA1BC6" w:rsidRDefault="008E45B1" w:rsidP="00AA1BC6">
            <w:pPr>
              <w:jc w:val="both"/>
              <w:rPr>
                <w:color w:val="000000"/>
                <w:lang w:val="es-PE"/>
              </w:rPr>
            </w:pPr>
            <w:r w:rsidRPr="00AA1BC6">
              <w:rPr>
                <w:color w:val="000000"/>
                <w:sz w:val="22"/>
                <w:szCs w:val="22"/>
                <w:lang w:val="es-PE"/>
              </w:rPr>
              <w:t>Dos Items:</w:t>
            </w:r>
          </w:p>
          <w:p w:rsidR="008E45B1" w:rsidRPr="00AA1BC6" w:rsidRDefault="008E45B1" w:rsidP="00AA1BC6">
            <w:pPr>
              <w:jc w:val="both"/>
              <w:rPr>
                <w:color w:val="000000"/>
                <w:lang w:val="es-PE"/>
              </w:rPr>
            </w:pPr>
            <w:r w:rsidRPr="00AA1BC6">
              <w:rPr>
                <w:color w:val="000000"/>
                <w:sz w:val="22"/>
                <w:szCs w:val="22"/>
                <w:lang w:val="es-PE"/>
              </w:rPr>
              <w:t>Buretas Digitales automáticas de 50 ml clase A</w:t>
            </w:r>
          </w:p>
          <w:p w:rsidR="008E45B1" w:rsidRPr="00AA1BC6" w:rsidRDefault="008E45B1" w:rsidP="00AA1BC6">
            <w:pPr>
              <w:jc w:val="both"/>
              <w:rPr>
                <w:color w:val="000000"/>
                <w:lang w:val="es-PE"/>
              </w:rPr>
            </w:pPr>
          </w:p>
          <w:p w:rsidR="008E45B1" w:rsidRPr="00AA1BC6" w:rsidRDefault="008E45B1" w:rsidP="00AA1BC6">
            <w:pPr>
              <w:jc w:val="both"/>
              <w:rPr>
                <w:color w:val="000000"/>
                <w:lang w:val="es-PE"/>
              </w:rPr>
            </w:pPr>
            <w:r w:rsidRPr="00AA1BC6">
              <w:rPr>
                <w:color w:val="000000"/>
                <w:sz w:val="22"/>
                <w:szCs w:val="22"/>
                <w:lang w:val="es-PE"/>
              </w:rPr>
              <w:t>Cabina vertical desecadoras con medidor de temperatura y humedad y autosecador</w:t>
            </w:r>
          </w:p>
        </w:tc>
        <w:tc>
          <w:tcPr>
            <w:tcW w:w="709" w:type="dxa"/>
          </w:tcPr>
          <w:p w:rsidR="008E45B1" w:rsidRPr="00AA1BC6" w:rsidRDefault="008E45B1" w:rsidP="00AA1BC6">
            <w:pPr>
              <w:jc w:val="center"/>
              <w:rPr>
                <w:b/>
                <w:sz w:val="20"/>
                <w:szCs w:val="20"/>
                <w:lang w:val="es-PE"/>
              </w:rPr>
            </w:pPr>
            <w:r w:rsidRPr="00AA1BC6">
              <w:rPr>
                <w:b/>
                <w:sz w:val="20"/>
                <w:szCs w:val="20"/>
                <w:lang w:val="es-PE"/>
              </w:rPr>
              <w:t>2</w:t>
            </w:r>
          </w:p>
          <w:p w:rsidR="008E45B1" w:rsidRPr="00AA1BC6" w:rsidRDefault="008E45B1" w:rsidP="00AA1BC6">
            <w:pPr>
              <w:jc w:val="center"/>
              <w:rPr>
                <w:b/>
                <w:sz w:val="20"/>
                <w:szCs w:val="20"/>
                <w:lang w:val="es-PE"/>
              </w:rPr>
            </w:pPr>
          </w:p>
          <w:p w:rsidR="008E45B1" w:rsidRPr="00AA1BC6" w:rsidRDefault="008E45B1" w:rsidP="00AA1BC6">
            <w:pPr>
              <w:jc w:val="center"/>
              <w:rPr>
                <w:b/>
                <w:sz w:val="20"/>
                <w:szCs w:val="20"/>
              </w:rPr>
            </w:pPr>
            <w:r w:rsidRPr="00AA1BC6">
              <w:rPr>
                <w:b/>
                <w:sz w:val="20"/>
                <w:szCs w:val="20"/>
              </w:rPr>
              <w:t>1</w:t>
            </w: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r w:rsidRPr="00AA1BC6">
              <w:rPr>
                <w:b/>
                <w:sz w:val="20"/>
                <w:szCs w:val="20"/>
              </w:rPr>
              <w:t>1</w:t>
            </w:r>
          </w:p>
        </w:tc>
        <w:tc>
          <w:tcPr>
            <w:tcW w:w="2835" w:type="dxa"/>
          </w:tcPr>
          <w:p w:rsidR="008E45B1" w:rsidRPr="00AA1BC6" w:rsidRDefault="008E45B1" w:rsidP="00AA1BC6">
            <w:pPr>
              <w:jc w:val="both"/>
              <w:rPr>
                <w:sz w:val="18"/>
                <w:szCs w:val="18"/>
                <w:lang w:val="es-PE"/>
              </w:rPr>
            </w:pPr>
            <w:r w:rsidRPr="00AA1BC6">
              <w:rPr>
                <w:sz w:val="18"/>
                <w:szCs w:val="18"/>
                <w:lang w:val="es-PE"/>
              </w:rPr>
              <w:t xml:space="preserve">Laboratorio de la Agencia Ecuatoriana de Aseguramiento de la Calidad del Agro – AGROCALIDAD-                  </w:t>
            </w:r>
          </w:p>
          <w:p w:rsidR="008E45B1" w:rsidRPr="00AA1BC6" w:rsidRDefault="008E45B1" w:rsidP="00AA1BC6">
            <w:pPr>
              <w:jc w:val="both"/>
              <w:rPr>
                <w:sz w:val="18"/>
                <w:szCs w:val="18"/>
                <w:lang w:val="es-PE"/>
              </w:rPr>
            </w:pPr>
            <w:r w:rsidRPr="00AA1BC6">
              <w:rPr>
                <w:sz w:val="18"/>
                <w:szCs w:val="18"/>
                <w:lang w:val="es-PE"/>
              </w:rPr>
              <w:t xml:space="preserve">Av. </w:t>
            </w:r>
            <w:r w:rsidRPr="004B3E38">
              <w:rPr>
                <w:sz w:val="18"/>
                <w:szCs w:val="18"/>
                <w:lang w:val="es-PE"/>
              </w:rPr>
              <w:t>Interoceánica  Km. 14  Granja del MAGAP Tumbaco- Pichincha – Ecuador</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60 días</w:t>
            </w:r>
          </w:p>
        </w:tc>
      </w:tr>
      <w:tr w:rsidR="008E45B1" w:rsidRPr="00D96116" w:rsidTr="00AA1BC6">
        <w:trPr>
          <w:trHeight w:val="2089"/>
        </w:trPr>
        <w:tc>
          <w:tcPr>
            <w:tcW w:w="1031" w:type="dxa"/>
          </w:tcPr>
          <w:p w:rsidR="008E45B1" w:rsidRPr="00AA1BC6" w:rsidRDefault="008E45B1" w:rsidP="00AA1BC6">
            <w:pPr>
              <w:jc w:val="center"/>
              <w:rPr>
                <w:b/>
                <w:sz w:val="20"/>
                <w:szCs w:val="20"/>
              </w:rPr>
            </w:pPr>
            <w:r w:rsidRPr="00AA1BC6">
              <w:rPr>
                <w:b/>
                <w:sz w:val="20"/>
                <w:szCs w:val="20"/>
              </w:rPr>
              <w:t>10</w:t>
            </w:r>
          </w:p>
        </w:tc>
        <w:tc>
          <w:tcPr>
            <w:tcW w:w="844" w:type="dxa"/>
          </w:tcPr>
          <w:p w:rsidR="008E45B1" w:rsidRPr="00AA1BC6" w:rsidRDefault="008E45B1" w:rsidP="00AA1BC6">
            <w:pPr>
              <w:jc w:val="center"/>
              <w:rPr>
                <w:sz w:val="20"/>
                <w:szCs w:val="20"/>
              </w:rPr>
            </w:pPr>
            <w:r w:rsidRPr="00AA1BC6">
              <w:rPr>
                <w:sz w:val="20"/>
                <w:szCs w:val="20"/>
              </w:rPr>
              <w:t>Item 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b/>
                <w:sz w:val="20"/>
                <w:szCs w:val="20"/>
              </w:rPr>
            </w:pPr>
          </w:p>
        </w:tc>
        <w:tc>
          <w:tcPr>
            <w:tcW w:w="2409" w:type="dxa"/>
          </w:tcPr>
          <w:p w:rsidR="008E45B1" w:rsidRPr="00AA1BC6" w:rsidRDefault="008E45B1" w:rsidP="00AA1BC6">
            <w:pPr>
              <w:jc w:val="both"/>
              <w:rPr>
                <w:lang w:val="es-PE"/>
              </w:rPr>
            </w:pPr>
            <w:r w:rsidRPr="00AA1BC6">
              <w:rPr>
                <w:sz w:val="22"/>
                <w:szCs w:val="22"/>
                <w:lang w:val="es-PE"/>
              </w:rPr>
              <w:t>Balanza analítica manos libres con Kit antiestático integrado y con kit para determinación de densidad</w:t>
            </w:r>
          </w:p>
          <w:p w:rsidR="008E45B1" w:rsidRPr="00AA1BC6" w:rsidRDefault="008E45B1" w:rsidP="00AA1BC6">
            <w:pPr>
              <w:jc w:val="both"/>
              <w:rPr>
                <w:color w:val="000000"/>
                <w:lang w:val="es-PE"/>
              </w:rPr>
            </w:pPr>
          </w:p>
        </w:tc>
        <w:tc>
          <w:tcPr>
            <w:tcW w:w="709" w:type="dxa"/>
          </w:tcPr>
          <w:p w:rsidR="008E45B1" w:rsidRPr="00AA1BC6" w:rsidRDefault="008E45B1" w:rsidP="00AA1BC6">
            <w:pPr>
              <w:jc w:val="center"/>
              <w:rPr>
                <w:sz w:val="20"/>
                <w:szCs w:val="20"/>
              </w:rPr>
            </w:pPr>
            <w:r w:rsidRPr="00AA1BC6">
              <w:rPr>
                <w:sz w:val="20"/>
                <w:szCs w:val="20"/>
              </w:rPr>
              <w:t>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p>
        </w:tc>
        <w:tc>
          <w:tcPr>
            <w:tcW w:w="2835" w:type="dxa"/>
          </w:tcPr>
          <w:p w:rsidR="008E45B1" w:rsidRPr="00AA1BC6" w:rsidRDefault="008E45B1" w:rsidP="00AA1BC6">
            <w:pPr>
              <w:jc w:val="both"/>
              <w:rPr>
                <w:sz w:val="18"/>
                <w:szCs w:val="18"/>
                <w:lang w:val="es-PE"/>
              </w:rPr>
            </w:pPr>
            <w:r w:rsidRPr="00AA1BC6">
              <w:rPr>
                <w:sz w:val="18"/>
                <w:szCs w:val="18"/>
                <w:lang w:val="es-PE"/>
              </w:rPr>
              <w:t xml:space="preserve">Laboratorio de la Agencia Ecuatoriana de Aseguramiento de la Calidad del Agro – AGROCALIDAD-        </w:t>
            </w:r>
          </w:p>
          <w:p w:rsidR="008E45B1" w:rsidRPr="00AA1BC6" w:rsidRDefault="008E45B1" w:rsidP="00AA1BC6">
            <w:pPr>
              <w:jc w:val="both"/>
              <w:rPr>
                <w:sz w:val="18"/>
                <w:szCs w:val="18"/>
                <w:lang w:val="es-PE"/>
              </w:rPr>
            </w:pPr>
            <w:r w:rsidRPr="00AA1BC6">
              <w:rPr>
                <w:sz w:val="18"/>
                <w:szCs w:val="18"/>
                <w:lang w:val="es-PE"/>
              </w:rPr>
              <w:t xml:space="preserve"> Av. </w:t>
            </w:r>
            <w:r w:rsidRPr="004B3E38">
              <w:rPr>
                <w:sz w:val="18"/>
                <w:szCs w:val="18"/>
                <w:lang w:val="es-PE"/>
              </w:rPr>
              <w:t>Interoceánica  Km. 14  Granja del MAGAP Tumbaco- Pichincha – Ecuador</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60 días</w:t>
            </w:r>
          </w:p>
        </w:tc>
      </w:tr>
      <w:tr w:rsidR="008E45B1" w:rsidRPr="00D96116" w:rsidTr="00AA1BC6">
        <w:tc>
          <w:tcPr>
            <w:tcW w:w="1031" w:type="dxa"/>
          </w:tcPr>
          <w:p w:rsidR="008E45B1" w:rsidRPr="00AA1BC6" w:rsidRDefault="008E45B1" w:rsidP="00AA1BC6">
            <w:pPr>
              <w:jc w:val="center"/>
              <w:rPr>
                <w:b/>
                <w:sz w:val="20"/>
                <w:szCs w:val="20"/>
                <w:lang w:val="es-PE"/>
              </w:rPr>
            </w:pPr>
          </w:p>
          <w:p w:rsidR="008E45B1" w:rsidRPr="00AA1BC6" w:rsidRDefault="008E45B1" w:rsidP="00AA1BC6">
            <w:pPr>
              <w:jc w:val="center"/>
              <w:rPr>
                <w:sz w:val="20"/>
                <w:szCs w:val="20"/>
              </w:rPr>
            </w:pPr>
            <w:r w:rsidRPr="00AA1BC6">
              <w:rPr>
                <w:sz w:val="20"/>
                <w:szCs w:val="20"/>
              </w:rPr>
              <w:t>11</w:t>
            </w:r>
          </w:p>
        </w:tc>
        <w:tc>
          <w:tcPr>
            <w:tcW w:w="844" w:type="dxa"/>
          </w:tcPr>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1</w:t>
            </w:r>
          </w:p>
          <w:p w:rsidR="008E45B1" w:rsidRPr="00AA1BC6" w:rsidRDefault="008E45B1" w:rsidP="00AA1BC6">
            <w:pPr>
              <w:jc w:val="center"/>
              <w:rPr>
                <w:sz w:val="20"/>
                <w:szCs w:val="20"/>
              </w:rPr>
            </w:pPr>
          </w:p>
          <w:p w:rsidR="008E45B1" w:rsidRPr="00AA1BC6" w:rsidRDefault="008E45B1" w:rsidP="00AA1BC6">
            <w:pPr>
              <w:jc w:val="center"/>
              <w:rPr>
                <w:sz w:val="20"/>
                <w:szCs w:val="20"/>
              </w:rPr>
            </w:pPr>
          </w:p>
          <w:p w:rsidR="008E45B1" w:rsidRPr="00AA1BC6" w:rsidRDefault="008E45B1" w:rsidP="00AA1BC6">
            <w:pPr>
              <w:jc w:val="center"/>
              <w:rPr>
                <w:sz w:val="20"/>
                <w:szCs w:val="20"/>
              </w:rPr>
            </w:pPr>
            <w:r w:rsidRPr="00AA1BC6">
              <w:rPr>
                <w:sz w:val="20"/>
                <w:szCs w:val="20"/>
              </w:rPr>
              <w:t>Item 2</w:t>
            </w:r>
          </w:p>
        </w:tc>
        <w:tc>
          <w:tcPr>
            <w:tcW w:w="2409" w:type="dxa"/>
          </w:tcPr>
          <w:p w:rsidR="008E45B1" w:rsidRPr="00AA1BC6" w:rsidRDefault="008E45B1" w:rsidP="00AA1BC6">
            <w:pPr>
              <w:jc w:val="both"/>
              <w:rPr>
                <w:lang w:val="es-PE"/>
              </w:rPr>
            </w:pPr>
            <w:r w:rsidRPr="00AA1BC6">
              <w:rPr>
                <w:sz w:val="22"/>
                <w:szCs w:val="22"/>
                <w:lang w:val="es-PE"/>
              </w:rPr>
              <w:lastRenderedPageBreak/>
              <w:t>Dos Items:</w:t>
            </w:r>
          </w:p>
          <w:p w:rsidR="008E45B1" w:rsidRPr="00AA1BC6" w:rsidRDefault="008E45B1" w:rsidP="00AA1BC6">
            <w:pPr>
              <w:jc w:val="both"/>
              <w:rPr>
                <w:lang w:val="es-PE"/>
              </w:rPr>
            </w:pPr>
            <w:r w:rsidRPr="00AA1BC6">
              <w:rPr>
                <w:sz w:val="22"/>
                <w:szCs w:val="22"/>
                <w:lang w:val="es-PE"/>
              </w:rPr>
              <w:t xml:space="preserve">Purificadores de agua por sistemas de osmosis  </w:t>
            </w:r>
            <w:r w:rsidRPr="00AA1BC6">
              <w:rPr>
                <w:sz w:val="22"/>
                <w:szCs w:val="22"/>
                <w:lang w:val="es-PE"/>
              </w:rPr>
              <w:lastRenderedPageBreak/>
              <w:t>inversa</w:t>
            </w:r>
          </w:p>
          <w:p w:rsidR="008E45B1" w:rsidRPr="00AA1BC6" w:rsidRDefault="008E45B1" w:rsidP="00AA1BC6">
            <w:pPr>
              <w:jc w:val="both"/>
              <w:rPr>
                <w:lang w:val="es-PE"/>
              </w:rPr>
            </w:pPr>
            <w:r w:rsidRPr="00AA1BC6">
              <w:rPr>
                <w:sz w:val="22"/>
                <w:szCs w:val="22"/>
                <w:lang w:val="es-PE"/>
              </w:rPr>
              <w:t>Filtradores de solventes para  HPLC</w:t>
            </w:r>
          </w:p>
        </w:tc>
        <w:tc>
          <w:tcPr>
            <w:tcW w:w="709" w:type="dxa"/>
          </w:tcPr>
          <w:p w:rsidR="008E45B1" w:rsidRPr="00AA1BC6" w:rsidRDefault="008E45B1" w:rsidP="00AA1BC6">
            <w:pPr>
              <w:jc w:val="center"/>
              <w:rPr>
                <w:b/>
                <w:sz w:val="20"/>
                <w:szCs w:val="20"/>
              </w:rPr>
            </w:pPr>
            <w:r w:rsidRPr="00AA1BC6">
              <w:rPr>
                <w:b/>
                <w:sz w:val="20"/>
                <w:szCs w:val="20"/>
              </w:rPr>
              <w:lastRenderedPageBreak/>
              <w:t>3</w:t>
            </w:r>
          </w:p>
          <w:p w:rsidR="008E45B1" w:rsidRPr="00AA1BC6" w:rsidRDefault="008E45B1" w:rsidP="00AA1BC6">
            <w:pPr>
              <w:jc w:val="center"/>
              <w:rPr>
                <w:b/>
                <w:sz w:val="20"/>
                <w:szCs w:val="20"/>
              </w:rPr>
            </w:pPr>
            <w:r w:rsidRPr="00AA1BC6">
              <w:rPr>
                <w:b/>
                <w:sz w:val="20"/>
                <w:szCs w:val="20"/>
              </w:rPr>
              <w:t>1</w:t>
            </w: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b/>
                <w:sz w:val="20"/>
                <w:szCs w:val="20"/>
              </w:rPr>
            </w:pPr>
          </w:p>
          <w:p w:rsidR="008E45B1" w:rsidRPr="00AA1BC6" w:rsidRDefault="008E45B1" w:rsidP="00AA1BC6">
            <w:pPr>
              <w:jc w:val="center"/>
              <w:rPr>
                <w:sz w:val="20"/>
                <w:szCs w:val="20"/>
              </w:rPr>
            </w:pPr>
            <w:r w:rsidRPr="00AA1BC6">
              <w:rPr>
                <w:sz w:val="20"/>
                <w:szCs w:val="20"/>
              </w:rPr>
              <w:t>2</w:t>
            </w:r>
          </w:p>
        </w:tc>
        <w:tc>
          <w:tcPr>
            <w:tcW w:w="2835" w:type="dxa"/>
          </w:tcPr>
          <w:p w:rsidR="008E45B1" w:rsidRPr="00AA1BC6" w:rsidRDefault="008E45B1" w:rsidP="00AA1BC6">
            <w:pPr>
              <w:jc w:val="both"/>
              <w:rPr>
                <w:sz w:val="18"/>
                <w:szCs w:val="18"/>
                <w:lang w:val="es-PE"/>
              </w:rPr>
            </w:pPr>
            <w:r w:rsidRPr="00AA1BC6">
              <w:rPr>
                <w:sz w:val="18"/>
                <w:szCs w:val="18"/>
                <w:lang w:val="es-PE"/>
              </w:rPr>
              <w:lastRenderedPageBreak/>
              <w:t xml:space="preserve">Laboratorio de la Agencia Ecuatoriana de Aseguramiento de la Calidad del Agro – AGROCALIDAD- </w:t>
            </w:r>
          </w:p>
          <w:p w:rsidR="008E45B1" w:rsidRPr="00AA1BC6" w:rsidRDefault="008E45B1" w:rsidP="00AA1BC6">
            <w:pPr>
              <w:jc w:val="both"/>
              <w:rPr>
                <w:sz w:val="18"/>
                <w:szCs w:val="18"/>
                <w:lang w:val="es-PE"/>
              </w:rPr>
            </w:pPr>
            <w:r w:rsidRPr="00AA1BC6">
              <w:rPr>
                <w:sz w:val="18"/>
                <w:szCs w:val="18"/>
                <w:lang w:val="es-PE"/>
              </w:rPr>
              <w:lastRenderedPageBreak/>
              <w:t xml:space="preserve"> Av. </w:t>
            </w:r>
            <w:r w:rsidRPr="004B3E38">
              <w:rPr>
                <w:sz w:val="18"/>
                <w:szCs w:val="18"/>
                <w:lang w:val="es-PE"/>
              </w:rPr>
              <w:t>Interoceánica  Km. 14  Granja del MAGAP Tumbaco- Pichincha – Ecuador</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lastRenderedPageBreak/>
              <w:t>60 días</w:t>
            </w:r>
          </w:p>
        </w:tc>
      </w:tr>
      <w:tr w:rsidR="008E45B1" w:rsidTr="00AA1BC6">
        <w:tc>
          <w:tcPr>
            <w:tcW w:w="1031" w:type="dxa"/>
          </w:tcPr>
          <w:p w:rsidR="008E45B1" w:rsidRPr="00AA1BC6" w:rsidRDefault="008E45B1" w:rsidP="00AA1BC6">
            <w:pPr>
              <w:jc w:val="center"/>
              <w:rPr>
                <w:b/>
                <w:sz w:val="20"/>
                <w:szCs w:val="20"/>
                <w:lang w:val="es-PE"/>
              </w:rPr>
            </w:pPr>
          </w:p>
          <w:p w:rsidR="008E45B1" w:rsidRPr="00AA1BC6" w:rsidRDefault="008E45B1" w:rsidP="00AA1BC6">
            <w:pPr>
              <w:jc w:val="center"/>
              <w:rPr>
                <w:b/>
                <w:sz w:val="20"/>
                <w:szCs w:val="20"/>
              </w:rPr>
            </w:pPr>
            <w:r w:rsidRPr="00AA1BC6">
              <w:rPr>
                <w:b/>
                <w:sz w:val="20"/>
                <w:szCs w:val="20"/>
              </w:rPr>
              <w:t>12</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AA1BC6" w:rsidRDefault="008E45B1" w:rsidP="00AA1BC6">
            <w:pPr>
              <w:jc w:val="both"/>
              <w:rPr>
                <w:lang w:val="es-PE"/>
              </w:rPr>
            </w:pPr>
            <w:r w:rsidRPr="00AA1BC6">
              <w:rPr>
                <w:sz w:val="22"/>
                <w:szCs w:val="22"/>
                <w:lang w:val="es-PE"/>
              </w:rPr>
              <w:t>Rotavapor acoplado con  multivapor y bomba de vacio</w:t>
            </w:r>
          </w:p>
          <w:p w:rsidR="008E45B1" w:rsidRPr="00AA1BC6" w:rsidRDefault="008E45B1" w:rsidP="00AA1BC6">
            <w:pPr>
              <w:jc w:val="both"/>
              <w:rPr>
                <w:lang w:val="es-PE"/>
              </w:rPr>
            </w:pPr>
          </w:p>
        </w:tc>
        <w:tc>
          <w:tcPr>
            <w:tcW w:w="709" w:type="dxa"/>
          </w:tcPr>
          <w:p w:rsidR="008E45B1" w:rsidRPr="00AA1BC6" w:rsidRDefault="008E45B1" w:rsidP="00AA1BC6">
            <w:pPr>
              <w:jc w:val="center"/>
              <w:rPr>
                <w:b/>
                <w:sz w:val="20"/>
                <w:szCs w:val="20"/>
              </w:rPr>
            </w:pPr>
            <w:r w:rsidRPr="00AA1BC6">
              <w:rPr>
                <w:b/>
                <w:sz w:val="20"/>
                <w:szCs w:val="20"/>
              </w:rPr>
              <w:t>1</w:t>
            </w:r>
          </w:p>
        </w:tc>
        <w:tc>
          <w:tcPr>
            <w:tcW w:w="2835" w:type="dxa"/>
          </w:tcPr>
          <w:p w:rsidR="008E45B1" w:rsidRPr="00AA1BC6" w:rsidRDefault="008E45B1" w:rsidP="00AA1BC6">
            <w:pPr>
              <w:jc w:val="both"/>
              <w:rPr>
                <w:sz w:val="18"/>
                <w:szCs w:val="18"/>
              </w:rPr>
            </w:pPr>
            <w:r w:rsidRPr="00AA1BC6">
              <w:rPr>
                <w:sz w:val="18"/>
                <w:szCs w:val="18"/>
                <w:lang w:val="es-PE"/>
              </w:rPr>
              <w:t xml:space="preserve">Laboratorio de la Agencia Ecuatoriana de Aseguramiento de la Calidad del Agro – AGROCALIDAD-                      Av. </w:t>
            </w:r>
            <w:r w:rsidRPr="00AA1BC6">
              <w:rPr>
                <w:sz w:val="18"/>
                <w:szCs w:val="18"/>
              </w:rPr>
              <w:t>Interoceánica  Km. 14  Granja del MAGAP Tumbaco- Pichincha – Ecuador</w:t>
            </w:r>
          </w:p>
        </w:tc>
        <w:tc>
          <w:tcPr>
            <w:tcW w:w="1134" w:type="dxa"/>
          </w:tcPr>
          <w:p w:rsidR="008E45B1" w:rsidRPr="00AA1BC6" w:rsidRDefault="008E45B1" w:rsidP="00AA1BC6">
            <w:pPr>
              <w:pStyle w:val="Prrafodelista"/>
              <w:spacing w:after="240"/>
              <w:ind w:left="0"/>
              <w:jc w:val="both"/>
              <w:rPr>
                <w:highlight w:val="yellow"/>
                <w:lang w:val="es-ES"/>
              </w:rPr>
            </w:pPr>
            <w:r w:rsidRPr="00AA1BC6">
              <w:rPr>
                <w:sz w:val="22"/>
                <w:szCs w:val="22"/>
                <w:lang w:val="es-ES"/>
              </w:rPr>
              <w:t>60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t>13</w:t>
            </w:r>
          </w:p>
        </w:tc>
        <w:tc>
          <w:tcPr>
            <w:tcW w:w="844" w:type="dxa"/>
          </w:tcPr>
          <w:p w:rsidR="008E45B1" w:rsidRPr="00AA1BC6" w:rsidRDefault="008E45B1" w:rsidP="00AA1BC6">
            <w:pPr>
              <w:jc w:val="center"/>
              <w:rPr>
                <w:b/>
                <w:sz w:val="20"/>
                <w:szCs w:val="20"/>
              </w:rPr>
            </w:pPr>
            <w:r w:rsidRPr="00AA1BC6">
              <w:rPr>
                <w:sz w:val="20"/>
                <w:szCs w:val="20"/>
              </w:rPr>
              <w:t>Item 1</w:t>
            </w:r>
          </w:p>
        </w:tc>
        <w:tc>
          <w:tcPr>
            <w:tcW w:w="2409" w:type="dxa"/>
          </w:tcPr>
          <w:p w:rsidR="008E45B1" w:rsidRPr="00AA1BC6" w:rsidRDefault="008E45B1" w:rsidP="00AA1BC6">
            <w:pPr>
              <w:jc w:val="both"/>
              <w:rPr>
                <w:color w:val="FF0000"/>
                <w:lang w:val="es-PE"/>
              </w:rPr>
            </w:pPr>
            <w:r w:rsidRPr="00AA1BC6">
              <w:rPr>
                <w:sz w:val="22"/>
                <w:szCs w:val="22"/>
                <w:lang w:val="es-PE"/>
              </w:rPr>
              <w:t>Equipo de Cromatografía liquida de Ultra alta Perfomance “Ultra High Performance Liquid Chromatography”   - UHPLC</w:t>
            </w:r>
          </w:p>
        </w:tc>
        <w:tc>
          <w:tcPr>
            <w:tcW w:w="709" w:type="dxa"/>
          </w:tcPr>
          <w:p w:rsidR="008E45B1" w:rsidRPr="00AA1BC6" w:rsidRDefault="008E45B1" w:rsidP="00AA1BC6">
            <w:pPr>
              <w:jc w:val="center"/>
              <w:rPr>
                <w:sz w:val="20"/>
                <w:szCs w:val="20"/>
              </w:rPr>
            </w:pPr>
            <w:r w:rsidRPr="00AA1BC6">
              <w:rPr>
                <w:sz w:val="20"/>
                <w:szCs w:val="20"/>
              </w:rPr>
              <w:t>1</w:t>
            </w:r>
          </w:p>
        </w:tc>
        <w:tc>
          <w:tcPr>
            <w:tcW w:w="2835" w:type="dxa"/>
          </w:tcPr>
          <w:p w:rsidR="008E45B1" w:rsidRPr="00AA1BC6" w:rsidRDefault="008E45B1" w:rsidP="00AA1BC6">
            <w:pPr>
              <w:jc w:val="both"/>
              <w:rPr>
                <w:sz w:val="18"/>
                <w:szCs w:val="18"/>
                <w:lang w:val="es-PE"/>
              </w:rPr>
            </w:pPr>
            <w:r w:rsidRPr="00AA1BC6">
              <w:rPr>
                <w:sz w:val="18"/>
                <w:szCs w:val="18"/>
                <w:lang w:val="es-PE"/>
              </w:rPr>
              <w:t xml:space="preserve">Unidad del Centro de Control de Insumos y Residuos Tóxicos – </w:t>
            </w:r>
            <w:r w:rsidRPr="00AA1BC6">
              <w:rPr>
                <w:b/>
                <w:sz w:val="18"/>
                <w:szCs w:val="18"/>
                <w:lang w:val="es-PE"/>
              </w:rPr>
              <w:t xml:space="preserve"> </w:t>
            </w:r>
            <w:r w:rsidRPr="00AA1BC6">
              <w:rPr>
                <w:sz w:val="18"/>
                <w:szCs w:val="18"/>
                <w:lang w:val="es-PE"/>
              </w:rPr>
              <w:t xml:space="preserve">Laboratorio de SENASA  </w:t>
            </w:r>
          </w:p>
          <w:p w:rsidR="008E45B1" w:rsidRPr="004B3E38" w:rsidRDefault="008E45B1" w:rsidP="00AA1BC6">
            <w:pPr>
              <w:jc w:val="both"/>
              <w:rPr>
                <w:sz w:val="18"/>
                <w:szCs w:val="18"/>
                <w:lang w:val="es-PE"/>
              </w:rPr>
            </w:pPr>
            <w:r w:rsidRPr="00AA1BC6">
              <w:rPr>
                <w:sz w:val="18"/>
                <w:szCs w:val="18"/>
                <w:lang w:val="es-PE"/>
              </w:rPr>
              <w:t xml:space="preserve">Av. </w:t>
            </w:r>
            <w:r w:rsidRPr="004B3E38">
              <w:rPr>
                <w:sz w:val="18"/>
                <w:szCs w:val="18"/>
                <w:lang w:val="es-PE"/>
              </w:rPr>
              <w:t xml:space="preserve">La </w:t>
            </w:r>
            <w:r>
              <w:rPr>
                <w:sz w:val="18"/>
                <w:szCs w:val="18"/>
                <w:lang w:val="es-PE"/>
              </w:rPr>
              <w:t>Molina</w:t>
            </w:r>
            <w:r w:rsidRPr="004B3E38">
              <w:rPr>
                <w:sz w:val="18"/>
                <w:szCs w:val="18"/>
                <w:lang w:val="es-PE"/>
              </w:rPr>
              <w:t xml:space="preserve"> N° 915- La Molina -Perú</w:t>
            </w:r>
          </w:p>
        </w:tc>
        <w:tc>
          <w:tcPr>
            <w:tcW w:w="1134" w:type="dxa"/>
          </w:tcPr>
          <w:p w:rsidR="008E45B1" w:rsidRPr="00AA1BC6" w:rsidRDefault="008E45B1" w:rsidP="00AA1BC6">
            <w:pPr>
              <w:pStyle w:val="Prrafodelista"/>
              <w:spacing w:after="240"/>
              <w:ind w:left="0"/>
              <w:jc w:val="both"/>
              <w:rPr>
                <w:highlight w:val="yellow"/>
                <w:lang w:val="es-ES"/>
              </w:rPr>
            </w:pPr>
            <w:r w:rsidRPr="00AA1BC6">
              <w:rPr>
                <w:sz w:val="22"/>
                <w:szCs w:val="22"/>
                <w:lang w:val="es-ES"/>
              </w:rPr>
              <w:t>90 días</w:t>
            </w:r>
          </w:p>
        </w:tc>
      </w:tr>
      <w:tr w:rsidR="008E45B1" w:rsidTr="00AA1BC6">
        <w:tc>
          <w:tcPr>
            <w:tcW w:w="1031" w:type="dxa"/>
          </w:tcPr>
          <w:p w:rsidR="008E45B1" w:rsidRPr="00AA1BC6" w:rsidRDefault="008E45B1" w:rsidP="00AA1BC6">
            <w:pPr>
              <w:jc w:val="center"/>
              <w:rPr>
                <w:b/>
                <w:sz w:val="20"/>
                <w:szCs w:val="20"/>
              </w:rPr>
            </w:pPr>
            <w:r w:rsidRPr="00AA1BC6">
              <w:rPr>
                <w:b/>
                <w:sz w:val="20"/>
                <w:szCs w:val="20"/>
              </w:rPr>
              <w:t>14</w:t>
            </w:r>
          </w:p>
        </w:tc>
        <w:tc>
          <w:tcPr>
            <w:tcW w:w="844" w:type="dxa"/>
          </w:tcPr>
          <w:p w:rsidR="008E45B1" w:rsidRPr="00AA1BC6" w:rsidRDefault="008E45B1" w:rsidP="00AA1BC6">
            <w:pPr>
              <w:jc w:val="center"/>
              <w:rPr>
                <w:sz w:val="20"/>
                <w:szCs w:val="20"/>
              </w:rPr>
            </w:pPr>
            <w:r w:rsidRPr="00AA1BC6">
              <w:rPr>
                <w:sz w:val="20"/>
                <w:szCs w:val="20"/>
              </w:rPr>
              <w:t>Item 1</w:t>
            </w:r>
          </w:p>
        </w:tc>
        <w:tc>
          <w:tcPr>
            <w:tcW w:w="2409" w:type="dxa"/>
          </w:tcPr>
          <w:p w:rsidR="008E45B1" w:rsidRPr="00AA1BC6" w:rsidRDefault="008E45B1" w:rsidP="00AA1BC6">
            <w:pPr>
              <w:jc w:val="both"/>
              <w:rPr>
                <w:lang w:val="es-PE"/>
              </w:rPr>
            </w:pPr>
            <w:r w:rsidRPr="00AA1BC6">
              <w:rPr>
                <w:sz w:val="22"/>
                <w:szCs w:val="22"/>
                <w:lang w:val="es-PE"/>
              </w:rPr>
              <w:t>Espectrofotómetro de absorción  y emisión atómica  compacto optimizado para  flama y horno de grafito  con calentamiento transversal.</w:t>
            </w:r>
          </w:p>
        </w:tc>
        <w:tc>
          <w:tcPr>
            <w:tcW w:w="709" w:type="dxa"/>
          </w:tcPr>
          <w:p w:rsidR="008E45B1" w:rsidRPr="00AA1BC6" w:rsidRDefault="008E45B1" w:rsidP="00AA1BC6">
            <w:pPr>
              <w:jc w:val="center"/>
              <w:rPr>
                <w:sz w:val="20"/>
                <w:szCs w:val="20"/>
              </w:rPr>
            </w:pPr>
            <w:r w:rsidRPr="00AA1BC6">
              <w:rPr>
                <w:sz w:val="20"/>
                <w:szCs w:val="20"/>
              </w:rPr>
              <w:t>1</w:t>
            </w:r>
          </w:p>
        </w:tc>
        <w:tc>
          <w:tcPr>
            <w:tcW w:w="2835" w:type="dxa"/>
          </w:tcPr>
          <w:p w:rsidR="008E45B1" w:rsidRPr="00AA1BC6" w:rsidRDefault="008E45B1" w:rsidP="00AA1BC6">
            <w:pPr>
              <w:jc w:val="both"/>
              <w:rPr>
                <w:sz w:val="18"/>
                <w:szCs w:val="18"/>
                <w:lang w:val="es-PE"/>
              </w:rPr>
            </w:pPr>
            <w:r w:rsidRPr="00AA1BC6">
              <w:rPr>
                <w:sz w:val="18"/>
                <w:szCs w:val="18"/>
                <w:lang w:val="es-PE"/>
              </w:rPr>
              <w:t xml:space="preserve">Unidad del Centro de Control de Insumos y Residuos Tóxicos – </w:t>
            </w:r>
            <w:r w:rsidRPr="00AA1BC6">
              <w:rPr>
                <w:b/>
                <w:sz w:val="18"/>
                <w:szCs w:val="18"/>
                <w:lang w:val="es-PE"/>
              </w:rPr>
              <w:t xml:space="preserve"> </w:t>
            </w:r>
            <w:r w:rsidRPr="00AA1BC6">
              <w:rPr>
                <w:sz w:val="18"/>
                <w:szCs w:val="18"/>
                <w:lang w:val="es-PE"/>
              </w:rPr>
              <w:t xml:space="preserve">Laboratorio de SENASA </w:t>
            </w:r>
          </w:p>
          <w:p w:rsidR="008E45B1" w:rsidRPr="00AA1BC6" w:rsidRDefault="008E45B1" w:rsidP="00AA1BC6">
            <w:pPr>
              <w:jc w:val="both"/>
              <w:rPr>
                <w:sz w:val="18"/>
                <w:szCs w:val="18"/>
                <w:lang w:val="es-PE"/>
              </w:rPr>
            </w:pPr>
            <w:r w:rsidRPr="00AA1BC6">
              <w:rPr>
                <w:sz w:val="18"/>
                <w:szCs w:val="18"/>
                <w:lang w:val="es-PE"/>
              </w:rPr>
              <w:t xml:space="preserve">Av. </w:t>
            </w:r>
            <w:r w:rsidRPr="004B3E38">
              <w:rPr>
                <w:sz w:val="18"/>
                <w:szCs w:val="18"/>
                <w:lang w:val="es-PE"/>
              </w:rPr>
              <w:t xml:space="preserve">La </w:t>
            </w:r>
            <w:r>
              <w:rPr>
                <w:sz w:val="18"/>
                <w:szCs w:val="18"/>
                <w:lang w:val="es-PE"/>
              </w:rPr>
              <w:t>Molina</w:t>
            </w:r>
            <w:r w:rsidRPr="004B3E38">
              <w:rPr>
                <w:sz w:val="18"/>
                <w:szCs w:val="18"/>
                <w:lang w:val="es-PE"/>
              </w:rPr>
              <w:t xml:space="preserve"> N° 915- La Molina -Perú</w:t>
            </w:r>
          </w:p>
        </w:tc>
        <w:tc>
          <w:tcPr>
            <w:tcW w:w="1134" w:type="dxa"/>
          </w:tcPr>
          <w:p w:rsidR="008E45B1" w:rsidRPr="00AA1BC6" w:rsidRDefault="008E45B1" w:rsidP="00AA1BC6">
            <w:pPr>
              <w:pStyle w:val="Prrafodelista"/>
              <w:spacing w:after="240"/>
              <w:ind w:left="0"/>
              <w:jc w:val="both"/>
              <w:rPr>
                <w:lang w:val="es-ES"/>
              </w:rPr>
            </w:pPr>
            <w:r w:rsidRPr="00AA1BC6">
              <w:rPr>
                <w:sz w:val="22"/>
                <w:szCs w:val="22"/>
                <w:lang w:val="es-ES"/>
              </w:rPr>
              <w:t>90 días</w:t>
            </w:r>
          </w:p>
        </w:tc>
      </w:tr>
    </w:tbl>
    <w:p w:rsidR="008E45B1" w:rsidRPr="00036A3B" w:rsidRDefault="008E45B1" w:rsidP="00490F55">
      <w:pPr>
        <w:spacing w:after="240"/>
        <w:ind w:left="567"/>
        <w:jc w:val="both"/>
        <w:rPr>
          <w:sz w:val="22"/>
          <w:lang w:val="es-ES"/>
        </w:rPr>
      </w:pPr>
      <w:r>
        <w:rPr>
          <w:sz w:val="22"/>
          <w:lang w:val="es-ES"/>
        </w:rPr>
        <w:t xml:space="preserve">Todos los bienes deberán ser entregados en el local del destino sin asumir los derechos </w:t>
      </w:r>
      <w:r w:rsidRPr="00036A3B">
        <w:rPr>
          <w:sz w:val="22"/>
          <w:lang w:val="es-ES"/>
        </w:rPr>
        <w:t>aduaneros, Incoterms 2010 DAP “Delivery At Place”, transporte aéreo.</w:t>
      </w:r>
    </w:p>
    <w:bookmarkEnd w:id="9"/>
    <w:bookmarkEnd w:id="10"/>
    <w:p w:rsidR="008E45B1" w:rsidRDefault="008E45B1" w:rsidP="00490F55">
      <w:pPr>
        <w:spacing w:after="240"/>
        <w:ind w:left="567"/>
        <w:jc w:val="both"/>
        <w:rPr>
          <w:sz w:val="22"/>
          <w:lang w:val="es-ES"/>
        </w:rPr>
      </w:pPr>
      <w:r w:rsidRPr="00036A3B">
        <w:rPr>
          <w:sz w:val="22"/>
          <w:lang w:val="es-ES"/>
        </w:rPr>
        <w:t>El internamiento o nacionalización de los equipos  será efectuado por el Titular y los beneficiarios de cada uno de los Países Miembros tramitarán la exención de los derechos aduaneros (arancel) y del impuesto al valor agregado o impuesto general a las ventas (IVA/IGV) según corresponda.</w:t>
      </w:r>
    </w:p>
    <w:p w:rsidR="008E45B1" w:rsidRPr="008D73E7" w:rsidRDefault="008E45B1" w:rsidP="00490F55">
      <w:pPr>
        <w:spacing w:after="240"/>
        <w:ind w:left="567" w:hanging="567"/>
        <w:jc w:val="both"/>
        <w:rPr>
          <w:sz w:val="22"/>
          <w:lang w:val="es-ES"/>
        </w:rPr>
      </w:pPr>
      <w:bookmarkStart w:id="11" w:name="_Toc39462807"/>
      <w:bookmarkStart w:id="12" w:name="_Toc39462246"/>
      <w:bookmarkStart w:id="13" w:name="_Ref500330319"/>
      <w:bookmarkStart w:id="14" w:name="_Ref499723935"/>
      <w:r w:rsidRPr="008D73E7">
        <w:rPr>
          <w:sz w:val="22"/>
          <w:lang w:val="es-ES"/>
        </w:rPr>
        <w:t>1.2</w:t>
      </w:r>
      <w:r w:rsidRPr="008D73E7">
        <w:rPr>
          <w:sz w:val="22"/>
          <w:lang w:val="es-ES"/>
        </w:rPr>
        <w:tab/>
        <w:t>Los suministros deben conformarse enteramente a las Especificaciones Técnicas del expediente de licitación (anexo técnico) y ajus</w:t>
      </w:r>
      <w:r>
        <w:rPr>
          <w:sz w:val="22"/>
          <w:lang w:val="es-ES"/>
        </w:rPr>
        <w:t>tarse en todos los aspectos a la</w:t>
      </w:r>
      <w:r w:rsidRPr="008D73E7">
        <w:rPr>
          <w:sz w:val="22"/>
          <w:lang w:val="es-ES"/>
        </w:rPr>
        <w:t>s cantidades, modelos, muestras, medidas y demás instrucciones.</w:t>
      </w:r>
      <w:bookmarkEnd w:id="11"/>
      <w:bookmarkEnd w:id="12"/>
    </w:p>
    <w:p w:rsidR="008E45B1" w:rsidRDefault="008E45B1" w:rsidP="00490F55">
      <w:pPr>
        <w:keepNext/>
        <w:keepLines/>
        <w:spacing w:after="240"/>
        <w:ind w:left="567" w:hanging="567"/>
        <w:jc w:val="both"/>
        <w:rPr>
          <w:sz w:val="22"/>
          <w:lang w:val="es-ES"/>
        </w:rPr>
      </w:pPr>
      <w:bookmarkStart w:id="15" w:name="_Toc39462808"/>
      <w:bookmarkStart w:id="16" w:name="_Toc39462247"/>
      <w:bookmarkEnd w:id="13"/>
      <w:bookmarkEnd w:id="14"/>
      <w:r w:rsidRPr="008D73E7">
        <w:rPr>
          <w:sz w:val="22"/>
          <w:lang w:val="es-ES"/>
        </w:rPr>
        <w:t>1.3</w:t>
      </w:r>
      <w:r w:rsidRPr="008D73E7">
        <w:rPr>
          <w:sz w:val="22"/>
          <w:lang w:val="es-ES"/>
        </w:rPr>
        <w:tab/>
      </w:r>
      <w:bookmarkStart w:id="17" w:name="_Toc39462809"/>
      <w:bookmarkStart w:id="18" w:name="_Toc39462248"/>
      <w:bookmarkEnd w:id="15"/>
      <w:bookmarkEnd w:id="16"/>
      <w:r>
        <w:rPr>
          <w:sz w:val="22"/>
          <w:lang w:val="es-ES"/>
        </w:rPr>
        <w:t>no aplica</w:t>
      </w:r>
    </w:p>
    <w:p w:rsidR="008E45B1" w:rsidRPr="008D73E7" w:rsidRDefault="008E45B1" w:rsidP="00490F55">
      <w:pPr>
        <w:keepNext/>
        <w:keepLines/>
        <w:spacing w:after="240"/>
        <w:ind w:left="567" w:hanging="567"/>
        <w:jc w:val="both"/>
        <w:rPr>
          <w:sz w:val="22"/>
          <w:lang w:val="es-ES"/>
        </w:rPr>
      </w:pPr>
      <w:r>
        <w:rPr>
          <w:sz w:val="22"/>
          <w:lang w:val="es-ES"/>
        </w:rPr>
        <w:t xml:space="preserve">1.4 </w:t>
      </w:r>
      <w:r>
        <w:rPr>
          <w:sz w:val="22"/>
          <w:lang w:val="es-ES"/>
        </w:rPr>
        <w:tab/>
      </w:r>
      <w:r w:rsidRPr="00B40BEE">
        <w:rPr>
          <w:sz w:val="22"/>
          <w:lang w:val="es-ES"/>
        </w:rPr>
        <w:t>Los licitadores no podrán  presentar ofertas para una variante como complemento de la presente oferta.</w:t>
      </w:r>
      <w:bookmarkEnd w:id="17"/>
      <w:bookmarkEnd w:id="18"/>
    </w:p>
    <w:p w:rsidR="008E45B1" w:rsidRPr="00106900" w:rsidRDefault="008E45B1" w:rsidP="00490F55">
      <w:pPr>
        <w:pStyle w:val="Ttulo1"/>
        <w:numPr>
          <w:ilvl w:val="0"/>
          <w:numId w:val="4"/>
        </w:numPr>
        <w:tabs>
          <w:tab w:val="left" w:pos="567"/>
        </w:tabs>
        <w:spacing w:before="0" w:after="240"/>
        <w:ind w:left="567" w:hanging="567"/>
        <w:rPr>
          <w:rFonts w:ascii="Times New Roman" w:hAnsi="Times New Roman"/>
          <w:i w:val="0"/>
          <w:sz w:val="24"/>
          <w:szCs w:val="24"/>
        </w:rPr>
      </w:pPr>
      <w:bookmarkStart w:id="19" w:name="_Toc43004168"/>
      <w:bookmarkStart w:id="20" w:name="_Toc39896798"/>
      <w:bookmarkStart w:id="21" w:name="_Toc39463040"/>
      <w:bookmarkStart w:id="22" w:name="_Toc39462810"/>
      <w:bookmarkStart w:id="23" w:name="_Toc39462249"/>
      <w:r w:rsidRPr="00106900">
        <w:rPr>
          <w:rFonts w:ascii="Times New Roman" w:hAnsi="Times New Roman"/>
          <w:i w:val="0"/>
          <w:sz w:val="24"/>
          <w:szCs w:val="24"/>
        </w:rPr>
        <w:t>Calendario</w:t>
      </w:r>
      <w:bookmarkEnd w:id="19"/>
      <w:bookmarkEnd w:id="20"/>
      <w:bookmarkEnd w:id="21"/>
      <w:bookmarkEnd w:id="22"/>
      <w:bookmarkEnd w:id="23"/>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7"/>
        <w:gridCol w:w="1843"/>
        <w:gridCol w:w="2693"/>
      </w:tblGrid>
      <w:tr w:rsidR="008E45B1" w:rsidRPr="002D63A4" w:rsidTr="00BD4DE9">
        <w:tc>
          <w:tcPr>
            <w:tcW w:w="4677" w:type="dxa"/>
          </w:tcPr>
          <w:p w:rsidR="008E45B1" w:rsidRPr="008D73E7" w:rsidRDefault="008E45B1" w:rsidP="00BD4DE9">
            <w:pPr>
              <w:keepNext/>
              <w:snapToGrid w:val="0"/>
              <w:spacing w:before="120" w:after="120"/>
              <w:jc w:val="both"/>
              <w:rPr>
                <w:lang w:val="es-ES" w:eastAsia="en-US"/>
              </w:rPr>
            </w:pPr>
          </w:p>
        </w:tc>
        <w:tc>
          <w:tcPr>
            <w:tcW w:w="1843" w:type="dxa"/>
            <w:shd w:val="pct10" w:color="auto" w:fill="FFFFFF"/>
          </w:tcPr>
          <w:p w:rsidR="008E45B1" w:rsidRPr="00026094" w:rsidRDefault="008E45B1" w:rsidP="00BD4DE9">
            <w:pPr>
              <w:keepNext/>
              <w:snapToGrid w:val="0"/>
              <w:spacing w:before="120" w:after="120"/>
              <w:jc w:val="both"/>
              <w:rPr>
                <w:b/>
                <w:sz w:val="18"/>
                <w:lang w:val="es-ES" w:eastAsia="en-US"/>
              </w:rPr>
            </w:pPr>
            <w:r w:rsidRPr="00026094">
              <w:rPr>
                <w:b/>
                <w:sz w:val="18"/>
                <w:lang w:val="es-ES"/>
              </w:rPr>
              <w:t>FECHA</w:t>
            </w:r>
          </w:p>
        </w:tc>
        <w:tc>
          <w:tcPr>
            <w:tcW w:w="2693" w:type="dxa"/>
            <w:shd w:val="pct10" w:color="auto" w:fill="FFFFFF"/>
          </w:tcPr>
          <w:p w:rsidR="008E45B1" w:rsidRPr="00026094" w:rsidRDefault="008E45B1" w:rsidP="00BD4DE9">
            <w:pPr>
              <w:snapToGrid w:val="0"/>
              <w:spacing w:before="120" w:after="120"/>
              <w:jc w:val="both"/>
              <w:rPr>
                <w:b/>
                <w:sz w:val="18"/>
                <w:lang w:val="es-ES" w:eastAsia="en-US"/>
              </w:rPr>
            </w:pPr>
            <w:r w:rsidRPr="00026094">
              <w:rPr>
                <w:b/>
                <w:sz w:val="18"/>
                <w:lang w:val="es-ES"/>
              </w:rPr>
              <w:t>HORA*</w:t>
            </w:r>
          </w:p>
        </w:tc>
      </w:tr>
      <w:tr w:rsidR="008E45B1" w:rsidRPr="002D63A4" w:rsidTr="00BD4DE9">
        <w:tc>
          <w:tcPr>
            <w:tcW w:w="4677" w:type="dxa"/>
            <w:shd w:val="pct10" w:color="auto" w:fill="FFFFFF"/>
          </w:tcPr>
          <w:p w:rsidR="008E45B1" w:rsidRPr="008D73E7" w:rsidRDefault="008E45B1" w:rsidP="00BD4DE9">
            <w:pPr>
              <w:keepNext/>
              <w:snapToGrid w:val="0"/>
              <w:spacing w:before="120" w:after="120"/>
              <w:rPr>
                <w:b/>
                <w:lang w:val="es-ES" w:eastAsia="en-US"/>
              </w:rPr>
            </w:pPr>
            <w:r w:rsidRPr="008D73E7">
              <w:rPr>
                <w:b/>
                <w:sz w:val="22"/>
                <w:lang w:val="es-ES"/>
              </w:rPr>
              <w:t>Plazo para solicitar aclaraciones al Órgano de Contratación</w:t>
            </w:r>
          </w:p>
        </w:tc>
        <w:tc>
          <w:tcPr>
            <w:tcW w:w="1843" w:type="dxa"/>
          </w:tcPr>
          <w:p w:rsidR="008E45B1" w:rsidRPr="008D73E7" w:rsidRDefault="008E45B1" w:rsidP="00DC6CB3">
            <w:pPr>
              <w:snapToGrid w:val="0"/>
              <w:spacing w:before="120" w:after="120"/>
              <w:rPr>
                <w:lang w:val="es-ES" w:eastAsia="en-US"/>
              </w:rPr>
            </w:pPr>
            <w:r>
              <w:rPr>
                <w:sz w:val="22"/>
                <w:lang w:val="es-ES"/>
              </w:rPr>
              <w:t>02/10/2012</w:t>
            </w:r>
          </w:p>
        </w:tc>
        <w:tc>
          <w:tcPr>
            <w:tcW w:w="2693" w:type="dxa"/>
          </w:tcPr>
          <w:p w:rsidR="008E45B1" w:rsidRPr="008D73E7" w:rsidRDefault="008E45B1" w:rsidP="00BD4DE9">
            <w:pPr>
              <w:snapToGrid w:val="0"/>
              <w:spacing w:before="120" w:after="120"/>
              <w:jc w:val="both"/>
              <w:rPr>
                <w:lang w:val="es-ES" w:eastAsia="en-US"/>
              </w:rPr>
            </w:pPr>
            <w:r>
              <w:rPr>
                <w:sz w:val="22"/>
                <w:lang w:val="es-ES" w:eastAsia="en-US"/>
              </w:rPr>
              <w:t>17:00 horas</w:t>
            </w:r>
          </w:p>
        </w:tc>
      </w:tr>
      <w:tr w:rsidR="008E45B1" w:rsidRPr="008D73E7" w:rsidTr="00BD4DE9">
        <w:tc>
          <w:tcPr>
            <w:tcW w:w="4677" w:type="dxa"/>
            <w:shd w:val="pct10" w:color="auto" w:fill="FFFFFF"/>
          </w:tcPr>
          <w:p w:rsidR="008E45B1" w:rsidRPr="008D73E7" w:rsidRDefault="008E45B1" w:rsidP="00BD4DE9">
            <w:pPr>
              <w:snapToGrid w:val="0"/>
              <w:spacing w:before="120" w:after="120"/>
              <w:rPr>
                <w:b/>
                <w:lang w:val="es-ES" w:eastAsia="en-US"/>
              </w:rPr>
            </w:pPr>
            <w:r w:rsidRPr="008D73E7">
              <w:rPr>
                <w:b/>
                <w:sz w:val="22"/>
                <w:lang w:val="es-ES"/>
              </w:rPr>
              <w:t>Plazo para la comunicación de aclaraciones por el Órgano de Contratación</w:t>
            </w:r>
          </w:p>
        </w:tc>
        <w:tc>
          <w:tcPr>
            <w:tcW w:w="1843" w:type="dxa"/>
          </w:tcPr>
          <w:p w:rsidR="008E45B1" w:rsidRPr="008D73E7" w:rsidRDefault="008E45B1" w:rsidP="00DC6CB3">
            <w:pPr>
              <w:snapToGrid w:val="0"/>
              <w:spacing w:before="120" w:after="120"/>
              <w:rPr>
                <w:lang w:val="es-ES" w:eastAsia="en-US"/>
              </w:rPr>
            </w:pPr>
            <w:r>
              <w:rPr>
                <w:sz w:val="22"/>
                <w:lang w:val="es-ES"/>
              </w:rPr>
              <w:t>12/10/2012</w:t>
            </w:r>
          </w:p>
        </w:tc>
        <w:tc>
          <w:tcPr>
            <w:tcW w:w="2693" w:type="dxa"/>
          </w:tcPr>
          <w:p w:rsidR="008E45B1" w:rsidRPr="008D73E7" w:rsidRDefault="008E45B1" w:rsidP="00BD4DE9">
            <w:pPr>
              <w:snapToGrid w:val="0"/>
              <w:spacing w:before="120" w:after="120"/>
              <w:jc w:val="both"/>
              <w:rPr>
                <w:lang w:val="es-ES" w:eastAsia="en-US"/>
              </w:rPr>
            </w:pPr>
            <w:r w:rsidRPr="008D73E7">
              <w:rPr>
                <w:sz w:val="22"/>
              </w:rPr>
              <w:t>-</w:t>
            </w:r>
          </w:p>
        </w:tc>
      </w:tr>
      <w:tr w:rsidR="008E45B1" w:rsidRPr="008D73E7" w:rsidTr="00BD4DE9">
        <w:tc>
          <w:tcPr>
            <w:tcW w:w="4677" w:type="dxa"/>
            <w:shd w:val="pct10" w:color="auto" w:fill="FFFFFF"/>
          </w:tcPr>
          <w:p w:rsidR="008E45B1" w:rsidRPr="008D73E7" w:rsidRDefault="008E45B1" w:rsidP="00BD4DE9">
            <w:pPr>
              <w:snapToGrid w:val="0"/>
              <w:spacing w:before="120" w:after="120"/>
              <w:jc w:val="both"/>
              <w:rPr>
                <w:b/>
                <w:lang w:val="es-ES" w:eastAsia="en-US"/>
              </w:rPr>
            </w:pPr>
            <w:r w:rsidRPr="008D73E7">
              <w:rPr>
                <w:b/>
                <w:sz w:val="22"/>
                <w:lang w:val="es-ES"/>
              </w:rPr>
              <w:t>Plazo límite de presentación de las ofertas</w:t>
            </w:r>
          </w:p>
        </w:tc>
        <w:tc>
          <w:tcPr>
            <w:tcW w:w="1843" w:type="dxa"/>
          </w:tcPr>
          <w:p w:rsidR="008E45B1" w:rsidRPr="008D73E7" w:rsidRDefault="008E45B1" w:rsidP="00DC6CB3">
            <w:pPr>
              <w:snapToGrid w:val="0"/>
              <w:spacing w:before="120" w:after="120"/>
              <w:rPr>
                <w:lang w:val="es-ES" w:eastAsia="en-US"/>
              </w:rPr>
            </w:pPr>
            <w:r>
              <w:rPr>
                <w:sz w:val="22"/>
              </w:rPr>
              <w:t>22/10/2012*</w:t>
            </w:r>
          </w:p>
        </w:tc>
        <w:tc>
          <w:tcPr>
            <w:tcW w:w="2693" w:type="dxa"/>
          </w:tcPr>
          <w:p w:rsidR="008E45B1" w:rsidRPr="008D73E7" w:rsidRDefault="008E45B1" w:rsidP="00BD4DE9">
            <w:pPr>
              <w:snapToGrid w:val="0"/>
              <w:spacing w:before="120" w:after="120"/>
              <w:jc w:val="both"/>
              <w:rPr>
                <w:lang w:val="es-ES" w:eastAsia="en-US"/>
              </w:rPr>
            </w:pPr>
            <w:r>
              <w:rPr>
                <w:sz w:val="22"/>
                <w:lang w:val="es-ES" w:eastAsia="en-US"/>
              </w:rPr>
              <w:t>17:00 horas</w:t>
            </w:r>
          </w:p>
        </w:tc>
      </w:tr>
      <w:tr w:rsidR="008E45B1" w:rsidRPr="008D73E7" w:rsidTr="00BD4DE9">
        <w:tc>
          <w:tcPr>
            <w:tcW w:w="4677" w:type="dxa"/>
            <w:shd w:val="pct10" w:color="auto" w:fill="FFFFFF"/>
          </w:tcPr>
          <w:p w:rsidR="008E45B1" w:rsidRPr="008D73E7" w:rsidRDefault="008E45B1" w:rsidP="00BD4DE9">
            <w:pPr>
              <w:snapToGrid w:val="0"/>
              <w:spacing w:before="120" w:after="120"/>
              <w:jc w:val="both"/>
              <w:rPr>
                <w:b/>
                <w:lang w:val="es-ES" w:eastAsia="en-US"/>
              </w:rPr>
            </w:pPr>
            <w:r w:rsidRPr="008D73E7">
              <w:rPr>
                <w:b/>
                <w:sz w:val="22"/>
                <w:lang w:val="es-ES"/>
              </w:rPr>
              <w:t>Sesión de apertura de plicas</w:t>
            </w:r>
          </w:p>
        </w:tc>
        <w:tc>
          <w:tcPr>
            <w:tcW w:w="1843" w:type="dxa"/>
          </w:tcPr>
          <w:p w:rsidR="008E45B1" w:rsidRPr="008D73E7" w:rsidRDefault="008E45B1" w:rsidP="00DC6CB3">
            <w:pPr>
              <w:snapToGrid w:val="0"/>
              <w:spacing w:before="120" w:after="120"/>
              <w:rPr>
                <w:lang w:val="es-ES" w:eastAsia="en-US"/>
              </w:rPr>
            </w:pPr>
            <w:r>
              <w:rPr>
                <w:sz w:val="22"/>
              </w:rPr>
              <w:t>23/10/2012</w:t>
            </w:r>
          </w:p>
        </w:tc>
        <w:tc>
          <w:tcPr>
            <w:tcW w:w="2693" w:type="dxa"/>
          </w:tcPr>
          <w:p w:rsidR="008E45B1" w:rsidRPr="008D73E7" w:rsidRDefault="008E45B1" w:rsidP="00BD4DE9">
            <w:pPr>
              <w:snapToGrid w:val="0"/>
              <w:spacing w:before="120" w:after="120"/>
              <w:jc w:val="both"/>
              <w:rPr>
                <w:lang w:val="es-ES" w:eastAsia="en-US"/>
              </w:rPr>
            </w:pPr>
            <w:r>
              <w:rPr>
                <w:sz w:val="22"/>
                <w:lang w:val="es-ES" w:eastAsia="en-US"/>
              </w:rPr>
              <w:t>15:00 horas</w:t>
            </w:r>
          </w:p>
        </w:tc>
      </w:tr>
      <w:tr w:rsidR="008E45B1" w:rsidRPr="008D73E7" w:rsidTr="00BD4DE9">
        <w:tc>
          <w:tcPr>
            <w:tcW w:w="4677" w:type="dxa"/>
            <w:shd w:val="pct10" w:color="auto" w:fill="FFFFFF"/>
          </w:tcPr>
          <w:p w:rsidR="008E45B1" w:rsidRPr="008D73E7" w:rsidRDefault="008E45B1" w:rsidP="00BD4DE9">
            <w:pPr>
              <w:tabs>
                <w:tab w:val="left" w:pos="851"/>
              </w:tabs>
              <w:snapToGrid w:val="0"/>
              <w:spacing w:before="120" w:after="120"/>
              <w:jc w:val="both"/>
              <w:rPr>
                <w:b/>
                <w:lang w:val="es-ES" w:eastAsia="en-US"/>
              </w:rPr>
            </w:pPr>
            <w:r w:rsidRPr="008D73E7">
              <w:rPr>
                <w:b/>
                <w:sz w:val="22"/>
                <w:lang w:val="es-ES"/>
              </w:rPr>
              <w:lastRenderedPageBreak/>
              <w:t>Notificación de la adjudicación del contrato al adjudicatario</w:t>
            </w:r>
          </w:p>
        </w:tc>
        <w:tc>
          <w:tcPr>
            <w:tcW w:w="1843" w:type="dxa"/>
          </w:tcPr>
          <w:p w:rsidR="008E45B1" w:rsidRPr="008D73E7" w:rsidRDefault="008E45B1" w:rsidP="00E6692C">
            <w:pPr>
              <w:tabs>
                <w:tab w:val="left" w:pos="851"/>
              </w:tabs>
              <w:snapToGrid w:val="0"/>
              <w:spacing w:before="120" w:after="120"/>
              <w:rPr>
                <w:lang w:val="es-ES" w:eastAsia="en-US"/>
              </w:rPr>
            </w:pPr>
            <w:r>
              <w:rPr>
                <w:sz w:val="22"/>
                <w:szCs w:val="22"/>
                <w:lang w:val="es-ES"/>
              </w:rPr>
              <w:t>02/11/2012</w:t>
            </w:r>
            <w:r w:rsidRPr="008D73E7">
              <w:rPr>
                <w:sz w:val="22"/>
                <w:szCs w:val="22"/>
                <w:vertAlign w:val="superscript"/>
              </w:rPr>
              <w:sym w:font="Monotype Sorts" w:char="F027"/>
            </w:r>
          </w:p>
        </w:tc>
        <w:tc>
          <w:tcPr>
            <w:tcW w:w="2693" w:type="dxa"/>
          </w:tcPr>
          <w:p w:rsidR="008E45B1" w:rsidRPr="008D73E7" w:rsidRDefault="008E45B1" w:rsidP="00BD4DE9">
            <w:pPr>
              <w:tabs>
                <w:tab w:val="left" w:pos="851"/>
              </w:tabs>
              <w:snapToGrid w:val="0"/>
              <w:spacing w:before="120" w:after="120"/>
              <w:jc w:val="both"/>
              <w:rPr>
                <w:lang w:val="es-ES" w:eastAsia="en-US"/>
              </w:rPr>
            </w:pPr>
            <w:r w:rsidRPr="008D73E7">
              <w:rPr>
                <w:sz w:val="22"/>
              </w:rPr>
              <w:t>-</w:t>
            </w:r>
          </w:p>
        </w:tc>
      </w:tr>
      <w:tr w:rsidR="008E45B1" w:rsidRPr="008D73E7" w:rsidTr="00BD4DE9">
        <w:tc>
          <w:tcPr>
            <w:tcW w:w="4677" w:type="dxa"/>
            <w:shd w:val="pct10" w:color="auto" w:fill="FFFFFF"/>
          </w:tcPr>
          <w:p w:rsidR="008E45B1" w:rsidRPr="008D73E7" w:rsidRDefault="008E45B1" w:rsidP="00BD4DE9">
            <w:pPr>
              <w:tabs>
                <w:tab w:val="left" w:pos="851"/>
              </w:tabs>
              <w:snapToGrid w:val="0"/>
              <w:spacing w:before="120" w:after="120"/>
              <w:jc w:val="both"/>
              <w:rPr>
                <w:b/>
                <w:lang w:val="es-ES" w:eastAsia="en-US"/>
              </w:rPr>
            </w:pPr>
            <w:r w:rsidRPr="008D73E7">
              <w:rPr>
                <w:b/>
                <w:sz w:val="22"/>
              </w:rPr>
              <w:t xml:space="preserve">Firma </w:t>
            </w:r>
            <w:smartTag w:uri="urn:schemas-microsoft-com:office:smarttags" w:element="place">
              <w:r w:rsidRPr="008D73E7">
                <w:rPr>
                  <w:b/>
                  <w:sz w:val="22"/>
                </w:rPr>
                <w:t>del</w:t>
              </w:r>
            </w:smartTag>
            <w:r w:rsidRPr="008D73E7">
              <w:rPr>
                <w:b/>
                <w:sz w:val="22"/>
              </w:rPr>
              <w:t xml:space="preserve"> contrato</w:t>
            </w:r>
          </w:p>
        </w:tc>
        <w:tc>
          <w:tcPr>
            <w:tcW w:w="1843" w:type="dxa"/>
          </w:tcPr>
          <w:p w:rsidR="008E45B1" w:rsidRPr="008D73E7" w:rsidRDefault="008E45B1" w:rsidP="00E6692C">
            <w:pPr>
              <w:tabs>
                <w:tab w:val="left" w:pos="851"/>
              </w:tabs>
              <w:snapToGrid w:val="0"/>
              <w:spacing w:before="120" w:after="120"/>
              <w:rPr>
                <w:lang w:val="es-ES" w:eastAsia="en-US"/>
              </w:rPr>
            </w:pPr>
            <w:r>
              <w:rPr>
                <w:sz w:val="22"/>
                <w:szCs w:val="22"/>
                <w:lang w:val="es-ES"/>
              </w:rPr>
              <w:t>02/12/2012</w:t>
            </w:r>
            <w:r w:rsidRPr="008D73E7">
              <w:rPr>
                <w:sz w:val="22"/>
                <w:szCs w:val="22"/>
                <w:vertAlign w:val="superscript"/>
              </w:rPr>
              <w:sym w:font="Monotype Sorts" w:char="F027"/>
            </w:r>
          </w:p>
        </w:tc>
        <w:tc>
          <w:tcPr>
            <w:tcW w:w="2693" w:type="dxa"/>
          </w:tcPr>
          <w:p w:rsidR="008E45B1" w:rsidRPr="008D73E7" w:rsidRDefault="008E45B1" w:rsidP="00BD4DE9">
            <w:pPr>
              <w:tabs>
                <w:tab w:val="left" w:pos="851"/>
              </w:tabs>
              <w:snapToGrid w:val="0"/>
              <w:spacing w:before="120" w:after="120"/>
              <w:jc w:val="both"/>
              <w:rPr>
                <w:lang w:val="es-ES" w:eastAsia="en-US"/>
              </w:rPr>
            </w:pPr>
            <w:r w:rsidRPr="008D73E7">
              <w:rPr>
                <w:sz w:val="22"/>
              </w:rPr>
              <w:t>-</w:t>
            </w:r>
          </w:p>
        </w:tc>
      </w:tr>
    </w:tbl>
    <w:p w:rsidR="008E45B1" w:rsidRPr="00106900" w:rsidRDefault="008E45B1" w:rsidP="00490F55">
      <w:pPr>
        <w:ind w:left="425"/>
        <w:jc w:val="both"/>
        <w:rPr>
          <w:b/>
          <w:sz w:val="22"/>
          <w:szCs w:val="22"/>
          <w:lang w:val="es-ES"/>
        </w:rPr>
      </w:pPr>
      <w:bookmarkStart w:id="24" w:name="_Ref500317541"/>
      <w:r w:rsidRPr="00106900">
        <w:rPr>
          <w:b/>
          <w:sz w:val="22"/>
          <w:szCs w:val="22"/>
          <w:lang w:val="es-ES"/>
        </w:rPr>
        <w:t xml:space="preserve"> *</w:t>
      </w:r>
      <w:r>
        <w:rPr>
          <w:b/>
          <w:sz w:val="22"/>
          <w:szCs w:val="22"/>
          <w:lang w:val="es-ES"/>
        </w:rPr>
        <w:tab/>
      </w:r>
      <w:r w:rsidRPr="00106900">
        <w:rPr>
          <w:b/>
          <w:sz w:val="22"/>
          <w:szCs w:val="22"/>
          <w:lang w:val="es-ES"/>
        </w:rPr>
        <w:t>Todas las horas corresponden a la zona horaria del país del Órgano de Contratación.</w:t>
      </w:r>
    </w:p>
    <w:p w:rsidR="008E45B1" w:rsidRDefault="008E45B1" w:rsidP="00490F55">
      <w:pPr>
        <w:spacing w:after="240"/>
        <w:ind w:left="425"/>
        <w:jc w:val="both"/>
        <w:rPr>
          <w:b/>
          <w:sz w:val="22"/>
          <w:szCs w:val="22"/>
          <w:lang w:val="es-ES"/>
        </w:rPr>
      </w:pPr>
      <w:r w:rsidRPr="00106900">
        <w:rPr>
          <w:sz w:val="22"/>
          <w:szCs w:val="22"/>
          <w:vertAlign w:val="superscript"/>
          <w:lang w:val="es-ES"/>
        </w:rPr>
        <w:t xml:space="preserve">  </w:t>
      </w:r>
      <w:r w:rsidRPr="00106900">
        <w:rPr>
          <w:sz w:val="22"/>
          <w:szCs w:val="22"/>
          <w:vertAlign w:val="superscript"/>
        </w:rPr>
        <w:sym w:font="Monotype Sorts" w:char="F027"/>
      </w:r>
      <w:r w:rsidRPr="00106900">
        <w:rPr>
          <w:sz w:val="22"/>
          <w:szCs w:val="22"/>
          <w:vertAlign w:val="superscript"/>
          <w:lang w:val="es-ES"/>
        </w:rPr>
        <w:tab/>
      </w:r>
      <w:r w:rsidRPr="00106900">
        <w:rPr>
          <w:b/>
          <w:sz w:val="22"/>
          <w:szCs w:val="22"/>
          <w:lang w:val="es-ES"/>
        </w:rPr>
        <w:t>Fecha provisional</w:t>
      </w:r>
    </w:p>
    <w:p w:rsidR="008E45B1" w:rsidRPr="00106900" w:rsidRDefault="008E45B1" w:rsidP="00490F55">
      <w:pPr>
        <w:pStyle w:val="Ttulo1"/>
        <w:numPr>
          <w:ilvl w:val="0"/>
          <w:numId w:val="4"/>
        </w:numPr>
        <w:tabs>
          <w:tab w:val="left" w:pos="567"/>
        </w:tabs>
        <w:spacing w:before="0" w:after="240"/>
        <w:ind w:left="567" w:hanging="567"/>
        <w:rPr>
          <w:rFonts w:ascii="Times New Roman" w:hAnsi="Times New Roman"/>
          <w:i w:val="0"/>
          <w:sz w:val="24"/>
          <w:szCs w:val="24"/>
        </w:rPr>
      </w:pPr>
      <w:bookmarkStart w:id="25" w:name="_Toc43004169"/>
      <w:bookmarkStart w:id="26" w:name="_Toc39896799"/>
      <w:bookmarkStart w:id="27" w:name="_Toc39463041"/>
      <w:bookmarkStart w:id="28" w:name="_Toc39462811"/>
      <w:bookmarkStart w:id="29" w:name="_Toc39462250"/>
      <w:bookmarkEnd w:id="24"/>
      <w:r w:rsidRPr="00106900">
        <w:rPr>
          <w:rFonts w:ascii="Times New Roman" w:hAnsi="Times New Roman"/>
          <w:i w:val="0"/>
          <w:sz w:val="24"/>
          <w:szCs w:val="24"/>
        </w:rPr>
        <w:t>Participación</w:t>
      </w:r>
      <w:bookmarkEnd w:id="25"/>
      <w:bookmarkEnd w:id="26"/>
      <w:bookmarkEnd w:id="27"/>
      <w:bookmarkEnd w:id="28"/>
      <w:bookmarkEnd w:id="29"/>
    </w:p>
    <w:p w:rsidR="008E45B1" w:rsidRPr="008D73E7" w:rsidRDefault="008E45B1" w:rsidP="00490F55">
      <w:pPr>
        <w:spacing w:after="240"/>
        <w:ind w:left="567" w:hanging="567"/>
        <w:jc w:val="both"/>
        <w:rPr>
          <w:sz w:val="22"/>
          <w:lang w:val="es-ES"/>
        </w:rPr>
      </w:pPr>
      <w:bookmarkStart w:id="30" w:name="_Toc39462812"/>
      <w:bookmarkStart w:id="31" w:name="_Toc39462251"/>
      <w:r w:rsidRPr="008D73E7">
        <w:rPr>
          <w:sz w:val="22"/>
          <w:lang w:val="es-ES"/>
        </w:rPr>
        <w:t>3.1</w:t>
      </w:r>
      <w:r w:rsidRPr="008D73E7">
        <w:rPr>
          <w:sz w:val="22"/>
          <w:lang w:val="es-ES"/>
        </w:rPr>
        <w:tab/>
        <w:t xml:space="preserve">La participación en la licitación está abierta a todas las personas jurídicas individualmente o en una asociación de licitadores (consorcio) de un Estado miembro de la Unión Europea  o en uno de los países o territorios que entran dentro del ámbito de aplicación de los instrumentos específicos del Programa </w:t>
      </w:r>
      <w:r>
        <w:rPr>
          <w:sz w:val="22"/>
          <w:lang w:val="es-ES"/>
        </w:rPr>
        <w:t>DCI – ALA (Instrumento de Financiación de la Cooperación al Desarrollo)</w:t>
      </w:r>
      <w:r w:rsidRPr="008D73E7">
        <w:rPr>
          <w:sz w:val="22"/>
          <w:lang w:val="es-ES"/>
        </w:rPr>
        <w:t xml:space="preserve"> con el cual se financia el contrato, o sean autorizadas por dichos instrumentos jurídicos. Todas las obras, suministros y servicios deben proceder de uno o</w:t>
      </w:r>
      <w:r>
        <w:rPr>
          <w:sz w:val="22"/>
          <w:lang w:val="es-ES"/>
        </w:rPr>
        <w:t xml:space="preserve"> varios</w:t>
      </w:r>
      <w:r w:rsidRPr="008D73E7">
        <w:rPr>
          <w:sz w:val="22"/>
          <w:lang w:val="es-ES"/>
        </w:rPr>
        <w:t xml:space="preserve"> de estos países.</w:t>
      </w:r>
      <w:bookmarkEnd w:id="30"/>
      <w:bookmarkEnd w:id="31"/>
      <w:r w:rsidRPr="008D73E7">
        <w:rPr>
          <w:sz w:val="22"/>
          <w:lang w:val="es-ES"/>
        </w:rPr>
        <w:t xml:space="preserve"> La participación también está abierta a las organizaciones internacionales. La participación de las personas físicas se regula directamente en los instrumentos específicos al programa bajo el cual se financia el contrato.</w:t>
      </w:r>
    </w:p>
    <w:p w:rsidR="008E45B1" w:rsidRPr="008D73E7" w:rsidRDefault="008E45B1" w:rsidP="00490F55">
      <w:pPr>
        <w:spacing w:after="240"/>
        <w:ind w:left="567" w:hanging="567"/>
        <w:jc w:val="both"/>
        <w:rPr>
          <w:sz w:val="22"/>
          <w:lang w:val="es-ES"/>
        </w:rPr>
      </w:pPr>
      <w:bookmarkStart w:id="32" w:name="_Toc39462813"/>
      <w:bookmarkStart w:id="33" w:name="_Toc39462252"/>
      <w:r w:rsidRPr="008D73E7">
        <w:rPr>
          <w:sz w:val="22"/>
          <w:lang w:val="es-ES"/>
        </w:rPr>
        <w:t>3.2</w:t>
      </w:r>
      <w:r w:rsidRPr="008D73E7">
        <w:rPr>
          <w:sz w:val="22"/>
          <w:lang w:val="es-ES"/>
        </w:rPr>
        <w:tab/>
        <w:t>Estas condiciones se refieren a todos los nacionales de los Estados mencionados y a todas las personas jurídicas y sociedades constituidas y regidas con arreglo a la legislación civil, comercial o pública de dichos países que tengan su sede estatutaria, su administración central o su principal centro de actividad en uno de esos países. La actividad de las entidades legales o sociedades que solo  dispongan allí de su sede estatutaria deberá tener una relación continua y efectiva con la economía del Estado de que se trate.</w:t>
      </w:r>
      <w:bookmarkEnd w:id="32"/>
      <w:bookmarkEnd w:id="33"/>
    </w:p>
    <w:p w:rsidR="008E45B1" w:rsidRPr="008D73E7" w:rsidRDefault="008E45B1" w:rsidP="00490F55">
      <w:pPr>
        <w:tabs>
          <w:tab w:val="left" w:pos="567"/>
        </w:tabs>
        <w:rPr>
          <w:sz w:val="22"/>
          <w:lang w:val="es-ES"/>
        </w:rPr>
      </w:pPr>
      <w:bookmarkStart w:id="34" w:name="_Toc39462814"/>
      <w:bookmarkStart w:id="35" w:name="_Toc39462253"/>
      <w:r w:rsidRPr="008D73E7">
        <w:rPr>
          <w:sz w:val="22"/>
          <w:lang w:val="es-ES"/>
        </w:rPr>
        <w:t>3.3</w:t>
      </w:r>
      <w:r w:rsidRPr="008D73E7">
        <w:rPr>
          <w:sz w:val="22"/>
          <w:lang w:val="es-ES"/>
        </w:rPr>
        <w:tab/>
        <w:t>Estas normas son aplicables:</w:t>
      </w:r>
      <w:bookmarkEnd w:id="34"/>
      <w:bookmarkEnd w:id="35"/>
    </w:p>
    <w:p w:rsidR="008E45B1" w:rsidRPr="008D73E7" w:rsidRDefault="008E45B1" w:rsidP="00490F55">
      <w:pPr>
        <w:numPr>
          <w:ilvl w:val="0"/>
          <w:numId w:val="5"/>
        </w:numPr>
        <w:tabs>
          <w:tab w:val="clear" w:pos="930"/>
        </w:tabs>
        <w:spacing w:before="120"/>
        <w:ind w:left="851" w:hanging="284"/>
        <w:rPr>
          <w:sz w:val="22"/>
          <w:lang w:val="es-ES"/>
        </w:rPr>
      </w:pPr>
      <w:r w:rsidRPr="008D73E7">
        <w:rPr>
          <w:sz w:val="22"/>
          <w:lang w:val="es-ES"/>
        </w:rPr>
        <w:t>a los licitadores;</w:t>
      </w:r>
    </w:p>
    <w:p w:rsidR="008E45B1" w:rsidRPr="008D73E7" w:rsidRDefault="008E45B1" w:rsidP="00490F55">
      <w:pPr>
        <w:numPr>
          <w:ilvl w:val="0"/>
          <w:numId w:val="5"/>
        </w:numPr>
        <w:tabs>
          <w:tab w:val="clear" w:pos="930"/>
        </w:tabs>
        <w:spacing w:before="120"/>
        <w:ind w:left="851" w:hanging="284"/>
        <w:rPr>
          <w:sz w:val="22"/>
          <w:lang w:val="es-ES"/>
        </w:rPr>
      </w:pPr>
      <w:r w:rsidRPr="008D73E7">
        <w:rPr>
          <w:sz w:val="22"/>
          <w:lang w:val="es-ES"/>
        </w:rPr>
        <w:t>a todos los miembros de un consorcio;</w:t>
      </w:r>
    </w:p>
    <w:p w:rsidR="008E45B1" w:rsidRPr="008D73E7" w:rsidRDefault="008E45B1" w:rsidP="00490F55">
      <w:pPr>
        <w:numPr>
          <w:ilvl w:val="0"/>
          <w:numId w:val="5"/>
        </w:numPr>
        <w:tabs>
          <w:tab w:val="clear" w:pos="930"/>
        </w:tabs>
        <w:spacing w:before="120" w:after="240"/>
        <w:ind w:left="851" w:hanging="284"/>
        <w:rPr>
          <w:sz w:val="22"/>
          <w:lang w:val="es-ES"/>
        </w:rPr>
      </w:pPr>
      <w:r w:rsidRPr="008D73E7">
        <w:rPr>
          <w:sz w:val="22"/>
          <w:lang w:val="es-ES"/>
        </w:rPr>
        <w:t>a los subcontratistas</w:t>
      </w:r>
      <w:r>
        <w:rPr>
          <w:sz w:val="22"/>
          <w:lang w:val="es-ES"/>
        </w:rPr>
        <w:t xml:space="preserve"> (No aplica)</w:t>
      </w:r>
      <w:r w:rsidRPr="008D73E7">
        <w:rPr>
          <w:sz w:val="22"/>
          <w:lang w:val="es-ES"/>
        </w:rPr>
        <w:t>.</w:t>
      </w:r>
      <w:bookmarkStart w:id="36" w:name="_Toc39462815"/>
      <w:bookmarkStart w:id="37" w:name="_Toc39462254"/>
    </w:p>
    <w:p w:rsidR="008E45B1" w:rsidRDefault="008E45B1" w:rsidP="00490F55">
      <w:pPr>
        <w:tabs>
          <w:tab w:val="num" w:pos="567"/>
          <w:tab w:val="left" w:pos="993"/>
          <w:tab w:val="left" w:pos="1985"/>
        </w:tabs>
        <w:spacing w:after="240"/>
        <w:ind w:left="567" w:hanging="567"/>
        <w:jc w:val="both"/>
        <w:rPr>
          <w:sz w:val="22"/>
          <w:lang w:val="es-ES"/>
        </w:rPr>
      </w:pPr>
      <w:r w:rsidRPr="008D73E7">
        <w:rPr>
          <w:sz w:val="22"/>
          <w:lang w:val="es-ES"/>
        </w:rPr>
        <w:t>3.4</w:t>
      </w:r>
      <w:r w:rsidRPr="008D73E7">
        <w:rPr>
          <w:sz w:val="22"/>
          <w:lang w:val="es-ES"/>
        </w:rPr>
        <w:tab/>
        <w:t xml:space="preserve">No podrán ser admitidas a la participación y la adjudicación de contratos las personas físicas, sociedades o empresas que se encuentren incluidas en los casos mencionados en el apartado 2.3.3 de la Guía Práctica de procedimientos contractuales para las acciones exteriores de la </w:t>
      </w:r>
      <w:r>
        <w:rPr>
          <w:sz w:val="22"/>
          <w:lang w:val="es-ES"/>
        </w:rPr>
        <w:t>Unión</w:t>
      </w:r>
      <w:r w:rsidRPr="008D73E7">
        <w:rPr>
          <w:sz w:val="22"/>
          <w:lang w:val="es-ES"/>
        </w:rPr>
        <w:t xml:space="preserve"> Europea. </w:t>
      </w:r>
      <w:r>
        <w:rPr>
          <w:sz w:val="22"/>
          <w:lang w:val="es-ES"/>
        </w:rPr>
        <w:t xml:space="preserve">Los licitadores deberán presentar declaraciones en las que se especifique que no se encuentran en ninguna de estas situaciones de exclusión. Las declaraciones deberán referirse a todos los miembros del consorcio o asociación de empresas. </w:t>
      </w:r>
      <w:r w:rsidRPr="008D73E7">
        <w:rPr>
          <w:sz w:val="22"/>
          <w:lang w:val="es-ES"/>
        </w:rPr>
        <w:t xml:space="preserve">A los licitadores  que sean declarados culpables de declaraciones falsas se les </w:t>
      </w:r>
      <w:r>
        <w:rPr>
          <w:sz w:val="22"/>
          <w:lang w:val="es-ES"/>
        </w:rPr>
        <w:t>podrá imponer</w:t>
      </w:r>
      <w:r w:rsidRPr="008D73E7">
        <w:rPr>
          <w:sz w:val="22"/>
          <w:lang w:val="es-ES"/>
        </w:rPr>
        <w:t xml:space="preserve">, además, sanciones financieras  y </w:t>
      </w:r>
      <w:r>
        <w:rPr>
          <w:sz w:val="22"/>
          <w:lang w:val="es-ES"/>
        </w:rPr>
        <w:t xml:space="preserve">podrán </w:t>
      </w:r>
      <w:r w:rsidRPr="008D73E7">
        <w:rPr>
          <w:sz w:val="22"/>
          <w:lang w:val="es-ES"/>
        </w:rPr>
        <w:t>quedar excluidos con arreglo a las condiciones mencionadas en el apartado 2.3.</w:t>
      </w:r>
      <w:r>
        <w:rPr>
          <w:sz w:val="22"/>
          <w:lang w:val="es-ES"/>
        </w:rPr>
        <w:t>4</w:t>
      </w:r>
      <w:r w:rsidRPr="008D73E7">
        <w:rPr>
          <w:sz w:val="22"/>
          <w:lang w:val="es-ES"/>
        </w:rPr>
        <w:t xml:space="preserve"> de la Guía Práctica.</w:t>
      </w:r>
      <w:bookmarkStart w:id="38" w:name="_Toc39462816"/>
      <w:bookmarkStart w:id="39" w:name="_Toc39462255"/>
      <w:bookmarkEnd w:id="36"/>
      <w:bookmarkEnd w:id="37"/>
    </w:p>
    <w:p w:rsidR="008E45B1" w:rsidRDefault="008E45B1" w:rsidP="00490F55">
      <w:pPr>
        <w:spacing w:after="240"/>
        <w:ind w:left="567"/>
        <w:jc w:val="both"/>
        <w:rPr>
          <w:sz w:val="22"/>
          <w:lang w:val="es-ES"/>
        </w:rPr>
      </w:pPr>
      <w:r>
        <w:rPr>
          <w:sz w:val="22"/>
          <w:lang w:val="es-ES"/>
        </w:rPr>
        <w:t>Las situaciones de exclusión referidas anteriormente también se aplicarán a los subcontratistas. Siempre que el Órgano de Contratación lo solicite, el licitador / Titular presentará una declaración del subcontratista propuesto en la que afirme que no se encuentra en ninguna de las situaciones de exclusión. En caso de duda sobre dicha declaración jurada, el Órgano de Contratación  solicitará la prueba documental de que el subcontratista no se encuentra en una de las situaciones de exclusión.</w:t>
      </w:r>
    </w:p>
    <w:p w:rsidR="008E45B1" w:rsidRDefault="008E45B1" w:rsidP="00490F55">
      <w:pPr>
        <w:tabs>
          <w:tab w:val="num" w:pos="567"/>
          <w:tab w:val="left" w:pos="993"/>
          <w:tab w:val="left" w:pos="1985"/>
        </w:tabs>
        <w:spacing w:after="240"/>
        <w:ind w:left="567" w:hanging="567"/>
        <w:jc w:val="both"/>
        <w:rPr>
          <w:sz w:val="22"/>
          <w:lang w:val="es-ES"/>
        </w:rPr>
      </w:pPr>
      <w:r w:rsidRPr="008D73E7">
        <w:rPr>
          <w:sz w:val="22"/>
          <w:lang w:val="es-ES"/>
        </w:rPr>
        <w:t>3.5</w:t>
      </w:r>
      <w:r w:rsidRPr="008D73E7">
        <w:rPr>
          <w:sz w:val="22"/>
          <w:lang w:val="es-ES"/>
        </w:rPr>
        <w:tab/>
        <w:t>Para poder participar en la presente licitación, los licitadores deben probar suficientemente ante el Órgano de Contratación que cumplen los requisitos de carácter jurídico, técnico y financiero y que tienen  recursos suficientes para ejecutar el Contrato eficazmente.</w:t>
      </w:r>
      <w:bookmarkEnd w:id="38"/>
      <w:bookmarkEnd w:id="39"/>
    </w:p>
    <w:p w:rsidR="008E45B1" w:rsidRDefault="008E45B1" w:rsidP="00490F55">
      <w:pPr>
        <w:tabs>
          <w:tab w:val="num" w:pos="567"/>
          <w:tab w:val="left" w:pos="993"/>
          <w:tab w:val="left" w:pos="1985"/>
        </w:tabs>
        <w:spacing w:after="240"/>
        <w:ind w:left="567" w:hanging="567"/>
        <w:jc w:val="both"/>
        <w:rPr>
          <w:sz w:val="22"/>
          <w:lang w:val="es-ES"/>
        </w:rPr>
      </w:pPr>
      <w:r>
        <w:rPr>
          <w:sz w:val="22"/>
          <w:lang w:val="es-ES"/>
        </w:rPr>
        <w:t>3.6</w:t>
      </w:r>
      <w:r w:rsidRPr="008D73E7">
        <w:rPr>
          <w:sz w:val="22"/>
          <w:lang w:val="es-ES"/>
        </w:rPr>
        <w:tab/>
      </w:r>
      <w:r>
        <w:rPr>
          <w:sz w:val="22"/>
          <w:lang w:val="es-ES"/>
        </w:rPr>
        <w:t>No se permitirá la  subcontratación.</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40" w:name="_Toc43004170"/>
      <w:bookmarkStart w:id="41" w:name="_Toc39896800"/>
      <w:bookmarkStart w:id="42" w:name="_Toc39463042"/>
      <w:bookmarkStart w:id="43" w:name="_Toc39462817"/>
      <w:bookmarkStart w:id="44" w:name="_Toc39462256"/>
      <w:r w:rsidRPr="00106900">
        <w:rPr>
          <w:rFonts w:ascii="Times New Roman" w:hAnsi="Times New Roman"/>
          <w:i w:val="0"/>
          <w:sz w:val="24"/>
          <w:szCs w:val="24"/>
        </w:rPr>
        <w:lastRenderedPageBreak/>
        <w:t>Origen</w:t>
      </w:r>
      <w:bookmarkEnd w:id="40"/>
      <w:bookmarkEnd w:id="41"/>
      <w:bookmarkEnd w:id="42"/>
      <w:bookmarkEnd w:id="43"/>
      <w:bookmarkEnd w:id="44"/>
    </w:p>
    <w:p w:rsidR="008E45B1" w:rsidRDefault="008E45B1" w:rsidP="00490F55">
      <w:pPr>
        <w:spacing w:after="240"/>
        <w:ind w:left="567" w:hanging="567"/>
        <w:jc w:val="both"/>
        <w:rPr>
          <w:sz w:val="22"/>
          <w:lang w:val="es-ES"/>
        </w:rPr>
      </w:pPr>
      <w:r>
        <w:rPr>
          <w:sz w:val="22"/>
          <w:lang w:val="es-ES"/>
        </w:rPr>
        <w:t xml:space="preserve">4.1 </w:t>
      </w:r>
      <w:r>
        <w:rPr>
          <w:sz w:val="22"/>
          <w:lang w:val="es-ES"/>
        </w:rPr>
        <w:tab/>
        <w:t>Salvo que el contrato disponga otra cosa, todos los suministros y materiales adquiridos deberán ser originarios de un Estado miembro de la Unión Europea o de un país incluido en  el I</w:t>
      </w:r>
      <w:r>
        <w:rPr>
          <w:szCs w:val="22"/>
          <w:lang w:val="es-ES_tradnl"/>
        </w:rPr>
        <w:t>nstrumento de  financiación de la Cooperación al Desarrollo.</w:t>
      </w:r>
      <w:r>
        <w:rPr>
          <w:sz w:val="22"/>
          <w:lang w:val="es-ES"/>
        </w:rPr>
        <w:t xml:space="preserve"> En este contexto, la definición del concepto de "productos originarios" significa el lugar donde los bienes son extraídos, cultivados, producidos o fabricados y/o de los cuales se proporcionan servicios. El origen de los bienes debe de ser evaluada en relación a los acuerdos internacionales aplicables y el Código Aduanero de la UE. </w:t>
      </w:r>
    </w:p>
    <w:p w:rsidR="008E45B1" w:rsidRPr="008D73E7" w:rsidRDefault="008E45B1" w:rsidP="00490F55">
      <w:pPr>
        <w:spacing w:after="240"/>
        <w:ind w:left="567" w:hanging="567"/>
        <w:jc w:val="both"/>
        <w:rPr>
          <w:sz w:val="22"/>
          <w:lang w:val="es-ES"/>
        </w:rPr>
      </w:pPr>
      <w:bookmarkStart w:id="45" w:name="_Toc39462819"/>
      <w:bookmarkStart w:id="46" w:name="_Toc39462258"/>
      <w:r w:rsidRPr="008D73E7">
        <w:rPr>
          <w:sz w:val="22"/>
          <w:lang w:val="es-ES"/>
        </w:rPr>
        <w:t>4.2</w:t>
      </w:r>
      <w:r w:rsidRPr="008D73E7">
        <w:rPr>
          <w:sz w:val="22"/>
          <w:lang w:val="es-ES"/>
        </w:rPr>
        <w:tab/>
        <w:t>Al presentar su oferta, el licitador deberá indicar expresamente que todos los suministros cumplen los requisitos relativos al origen y mencionar los respectivos países de origen. A tal efecto, se le podrá requerir la presentación de información adicional.</w:t>
      </w:r>
      <w:bookmarkEnd w:id="45"/>
      <w:bookmarkEnd w:id="46"/>
    </w:p>
    <w:p w:rsidR="008E45B1" w:rsidRPr="00106900" w:rsidRDefault="008E45B1" w:rsidP="00490F55">
      <w:pPr>
        <w:pStyle w:val="Ttulo1"/>
        <w:numPr>
          <w:ilvl w:val="0"/>
          <w:numId w:val="4"/>
        </w:numPr>
        <w:tabs>
          <w:tab w:val="left" w:pos="567"/>
        </w:tabs>
        <w:spacing w:before="0" w:after="240"/>
        <w:ind w:left="567" w:hanging="567"/>
        <w:rPr>
          <w:rFonts w:ascii="Times New Roman" w:hAnsi="Times New Roman"/>
          <w:i w:val="0"/>
          <w:sz w:val="24"/>
          <w:szCs w:val="24"/>
        </w:rPr>
      </w:pPr>
      <w:bookmarkStart w:id="47" w:name="_Toc43004171"/>
      <w:bookmarkStart w:id="48" w:name="_Toc39896801"/>
      <w:bookmarkStart w:id="49" w:name="_Toc39463043"/>
      <w:bookmarkStart w:id="50" w:name="_Toc39462820"/>
      <w:bookmarkStart w:id="51" w:name="_Toc39462259"/>
      <w:r w:rsidRPr="00106900">
        <w:rPr>
          <w:rFonts w:ascii="Times New Roman" w:hAnsi="Times New Roman"/>
          <w:i w:val="0"/>
          <w:sz w:val="24"/>
          <w:szCs w:val="24"/>
        </w:rPr>
        <w:t>Tipo de contrato</w:t>
      </w:r>
      <w:bookmarkEnd w:id="47"/>
      <w:bookmarkEnd w:id="48"/>
      <w:bookmarkEnd w:id="49"/>
      <w:bookmarkEnd w:id="50"/>
      <w:bookmarkEnd w:id="51"/>
    </w:p>
    <w:p w:rsidR="008E45B1" w:rsidRPr="008D73E7" w:rsidRDefault="008E45B1" w:rsidP="00490F55">
      <w:pPr>
        <w:pStyle w:val="Ttulo2"/>
        <w:numPr>
          <w:ilvl w:val="0"/>
          <w:numId w:val="0"/>
        </w:numPr>
        <w:spacing w:before="0" w:after="240"/>
        <w:ind w:left="567"/>
        <w:rPr>
          <w:rFonts w:ascii="Times New Roman" w:hAnsi="Times New Roman"/>
        </w:rPr>
      </w:pPr>
      <w:bookmarkStart w:id="52" w:name="_Toc39462821"/>
      <w:bookmarkStart w:id="53" w:name="_Toc39462260"/>
      <w:r w:rsidRPr="000667DA">
        <w:rPr>
          <w:rFonts w:ascii="Times New Roman" w:hAnsi="Times New Roman"/>
        </w:rPr>
        <w:t>Precio unitario.</w:t>
      </w:r>
      <w:bookmarkEnd w:id="52"/>
      <w:bookmarkEnd w:id="53"/>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54" w:name="_Toc43004172"/>
      <w:bookmarkStart w:id="55" w:name="_Toc39896802"/>
      <w:bookmarkStart w:id="56" w:name="_Toc39463044"/>
      <w:bookmarkStart w:id="57" w:name="_Toc39462822"/>
      <w:bookmarkStart w:id="58" w:name="_Toc39462261"/>
      <w:r w:rsidRPr="00106900">
        <w:rPr>
          <w:rFonts w:ascii="Times New Roman" w:hAnsi="Times New Roman"/>
          <w:i w:val="0"/>
          <w:sz w:val="24"/>
          <w:szCs w:val="24"/>
        </w:rPr>
        <w:t>Moneda</w:t>
      </w:r>
      <w:bookmarkEnd w:id="54"/>
      <w:bookmarkEnd w:id="55"/>
      <w:bookmarkEnd w:id="56"/>
      <w:bookmarkEnd w:id="57"/>
      <w:bookmarkEnd w:id="58"/>
    </w:p>
    <w:p w:rsidR="008E45B1" w:rsidRPr="008D73E7" w:rsidRDefault="008E45B1" w:rsidP="00490F55">
      <w:pPr>
        <w:pStyle w:val="Ttulo2"/>
        <w:numPr>
          <w:ilvl w:val="0"/>
          <w:numId w:val="0"/>
        </w:numPr>
        <w:spacing w:before="0" w:after="240"/>
        <w:ind w:left="567"/>
        <w:rPr>
          <w:rFonts w:ascii="Times New Roman" w:hAnsi="Times New Roman"/>
        </w:rPr>
      </w:pPr>
      <w:bookmarkStart w:id="59" w:name="_Toc39462823"/>
      <w:bookmarkStart w:id="60" w:name="_Toc39462262"/>
      <w:r w:rsidRPr="008D73E7">
        <w:rPr>
          <w:rFonts w:ascii="Times New Roman" w:hAnsi="Times New Roman"/>
        </w:rPr>
        <w:t xml:space="preserve">Las ofertas se deberán presentar en </w:t>
      </w:r>
      <w:r w:rsidRPr="008D73E7">
        <w:rPr>
          <w:rFonts w:ascii="Times New Roman" w:hAnsi="Times New Roman"/>
          <w:b/>
        </w:rPr>
        <w:t>euros</w:t>
      </w:r>
      <w:r w:rsidRPr="008D73E7">
        <w:rPr>
          <w:rFonts w:ascii="Times New Roman" w:hAnsi="Times New Roman"/>
        </w:rPr>
        <w:t>.</w:t>
      </w:r>
      <w:bookmarkEnd w:id="59"/>
      <w:bookmarkEnd w:id="60"/>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61" w:name="_Toc43004173"/>
      <w:bookmarkStart w:id="62" w:name="_Toc39896803"/>
      <w:bookmarkStart w:id="63" w:name="_Toc39463045"/>
      <w:bookmarkStart w:id="64" w:name="_Toc39462824"/>
      <w:bookmarkStart w:id="65" w:name="_Toc39462263"/>
      <w:r w:rsidRPr="00106900">
        <w:rPr>
          <w:rFonts w:ascii="Times New Roman" w:hAnsi="Times New Roman"/>
          <w:i w:val="0"/>
          <w:sz w:val="24"/>
          <w:szCs w:val="24"/>
        </w:rPr>
        <w:t>Lotes</w:t>
      </w:r>
      <w:bookmarkEnd w:id="61"/>
      <w:bookmarkEnd w:id="62"/>
      <w:bookmarkEnd w:id="63"/>
      <w:bookmarkEnd w:id="64"/>
      <w:bookmarkEnd w:id="65"/>
    </w:p>
    <w:p w:rsidR="008E45B1" w:rsidRPr="008D73E7" w:rsidRDefault="008E45B1" w:rsidP="00490F55">
      <w:pPr>
        <w:spacing w:after="240"/>
        <w:ind w:left="567" w:hanging="567"/>
        <w:jc w:val="both"/>
        <w:rPr>
          <w:sz w:val="22"/>
          <w:lang w:val="es-ES"/>
        </w:rPr>
      </w:pPr>
      <w:bookmarkStart w:id="66" w:name="_Toc39462825"/>
      <w:bookmarkStart w:id="67" w:name="_Toc39462264"/>
      <w:r w:rsidRPr="008D73E7">
        <w:rPr>
          <w:sz w:val="22"/>
          <w:lang w:val="es-ES"/>
        </w:rPr>
        <w:t xml:space="preserve">7.1 </w:t>
      </w:r>
      <w:r w:rsidRPr="008D73E7">
        <w:rPr>
          <w:sz w:val="22"/>
          <w:lang w:val="es-ES"/>
        </w:rPr>
        <w:tab/>
      </w:r>
      <w:r w:rsidRPr="000667DA">
        <w:rPr>
          <w:sz w:val="22"/>
          <w:lang w:val="es-ES"/>
        </w:rPr>
        <w:t>El licitador puede presentar una oferta para un lote, varios o todos los lotes.</w:t>
      </w:r>
      <w:bookmarkEnd w:id="66"/>
      <w:bookmarkEnd w:id="67"/>
    </w:p>
    <w:p w:rsidR="008E45B1" w:rsidRPr="008D73E7" w:rsidRDefault="008E45B1" w:rsidP="00490F55">
      <w:pPr>
        <w:spacing w:after="240"/>
        <w:ind w:left="567" w:hanging="567"/>
        <w:jc w:val="both"/>
        <w:rPr>
          <w:sz w:val="22"/>
          <w:lang w:val="es-ES"/>
        </w:rPr>
      </w:pPr>
      <w:bookmarkStart w:id="68" w:name="_Toc39462826"/>
      <w:bookmarkStart w:id="69" w:name="_Toc39462265"/>
      <w:r w:rsidRPr="008D73E7">
        <w:rPr>
          <w:sz w:val="22"/>
          <w:lang w:val="es-ES"/>
        </w:rPr>
        <w:t xml:space="preserve">7.2 </w:t>
      </w:r>
      <w:r w:rsidRPr="008D73E7">
        <w:rPr>
          <w:sz w:val="22"/>
          <w:lang w:val="es-ES"/>
        </w:rPr>
        <w:tab/>
      </w:r>
      <w:r w:rsidRPr="000667DA">
        <w:rPr>
          <w:sz w:val="22"/>
          <w:lang w:val="es-ES"/>
        </w:rPr>
        <w:t>Cada lote será objeto de un contrato distinto y las cantidades que se indiquen para los diferentes lotes serán indivisibles. El licitador debe presentar una oferta para el total de la cantidad o cantidades indicadas para cada lote. No se tendrán en cuenta en ningún caso ofertas referidas a parte de las cantidades requeridas. Si se adjudican varios lotes a un mismo licitador, se podrá celebrar un contrato global por el conjunto de esos lotes.</w:t>
      </w:r>
      <w:bookmarkEnd w:id="68"/>
      <w:bookmarkEnd w:id="69"/>
    </w:p>
    <w:p w:rsidR="008E45B1" w:rsidRPr="008D73E7" w:rsidRDefault="008E45B1" w:rsidP="00490F55">
      <w:pPr>
        <w:spacing w:after="240"/>
        <w:ind w:left="567" w:hanging="567"/>
        <w:jc w:val="both"/>
        <w:rPr>
          <w:sz w:val="22"/>
          <w:lang w:val="es-ES"/>
        </w:rPr>
      </w:pPr>
      <w:bookmarkStart w:id="70" w:name="_Toc39462827"/>
      <w:bookmarkStart w:id="71" w:name="_Toc39462266"/>
      <w:r>
        <w:rPr>
          <w:sz w:val="22"/>
          <w:lang w:val="es-ES"/>
        </w:rPr>
        <w:t xml:space="preserve">7.3  </w:t>
      </w:r>
      <w:r>
        <w:rPr>
          <w:sz w:val="22"/>
          <w:lang w:val="es-ES"/>
        </w:rPr>
        <w:tab/>
      </w:r>
      <w:r w:rsidRPr="000667DA">
        <w:rPr>
          <w:sz w:val="22"/>
          <w:lang w:val="es-ES"/>
        </w:rPr>
        <w:t>El licitador puede incluir en su oferta el descuento global que podría conceder si se le adjudicaran algunos o todos los lotes para los que hayan presentado una oferta. El descuento correspondiente a cada lote debe indicarse claramente, de manera que pueda anunciarse durante la sesión pública de apertura de plicas.</w:t>
      </w:r>
      <w:bookmarkEnd w:id="70"/>
      <w:bookmarkEnd w:id="71"/>
    </w:p>
    <w:p w:rsidR="008E45B1" w:rsidRPr="008D73E7" w:rsidRDefault="008E45B1" w:rsidP="00490F55">
      <w:pPr>
        <w:spacing w:after="240"/>
        <w:ind w:left="567" w:hanging="567"/>
        <w:jc w:val="both"/>
        <w:rPr>
          <w:sz w:val="22"/>
          <w:lang w:val="es-ES"/>
        </w:rPr>
      </w:pPr>
      <w:bookmarkStart w:id="72" w:name="_Toc39462829"/>
      <w:bookmarkStart w:id="73" w:name="_Toc39462268"/>
      <w:r w:rsidRPr="008D73E7">
        <w:rPr>
          <w:sz w:val="22"/>
          <w:lang w:val="es-ES"/>
        </w:rPr>
        <w:t>7.4</w:t>
      </w:r>
      <w:r w:rsidRPr="008D73E7">
        <w:rPr>
          <w:sz w:val="22"/>
          <w:lang w:val="es-ES"/>
        </w:rPr>
        <w:tab/>
      </w:r>
      <w:r w:rsidRPr="000667DA">
        <w:rPr>
          <w:sz w:val="22"/>
          <w:lang w:val="es-ES"/>
        </w:rPr>
        <w:t>El contrato se adjudicará lote por lote, pero el Órgano de Contratación podrá elegir la solución global más favorable, después de tener en cuenta los posibles descuentos concedidos.</w:t>
      </w:r>
      <w:bookmarkEnd w:id="72"/>
      <w:bookmarkEnd w:id="73"/>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74" w:name="_Toc43004174"/>
      <w:bookmarkStart w:id="75" w:name="_Toc39896804"/>
      <w:bookmarkStart w:id="76" w:name="_Toc39463046"/>
      <w:bookmarkStart w:id="77" w:name="_Toc39462830"/>
      <w:bookmarkStart w:id="78" w:name="_Toc39462269"/>
      <w:r>
        <w:rPr>
          <w:rFonts w:ascii="Times New Roman" w:hAnsi="Times New Roman"/>
          <w:i w:val="0"/>
          <w:sz w:val="24"/>
          <w:szCs w:val="24"/>
        </w:rPr>
        <w:t>Período</w:t>
      </w:r>
      <w:r w:rsidRPr="00106900">
        <w:rPr>
          <w:rFonts w:ascii="Times New Roman" w:hAnsi="Times New Roman"/>
          <w:i w:val="0"/>
          <w:sz w:val="24"/>
          <w:szCs w:val="24"/>
        </w:rPr>
        <w:t xml:space="preserve"> de validez</w:t>
      </w:r>
      <w:bookmarkEnd w:id="74"/>
      <w:bookmarkEnd w:id="75"/>
      <w:bookmarkEnd w:id="76"/>
      <w:bookmarkEnd w:id="77"/>
      <w:bookmarkEnd w:id="78"/>
    </w:p>
    <w:p w:rsidR="008E45B1" w:rsidRPr="008D73E7" w:rsidRDefault="008E45B1" w:rsidP="00490F55">
      <w:pPr>
        <w:spacing w:after="240"/>
        <w:ind w:left="567" w:hanging="567"/>
        <w:jc w:val="both"/>
        <w:rPr>
          <w:sz w:val="22"/>
          <w:lang w:val="es-ES"/>
        </w:rPr>
      </w:pPr>
      <w:bookmarkStart w:id="79" w:name="_Toc39462831"/>
      <w:bookmarkStart w:id="80" w:name="_Toc39462270"/>
      <w:r w:rsidRPr="008D73E7">
        <w:rPr>
          <w:sz w:val="22"/>
          <w:lang w:val="es-ES"/>
        </w:rPr>
        <w:t>8.1</w:t>
      </w:r>
      <w:r w:rsidRPr="008D73E7">
        <w:rPr>
          <w:sz w:val="22"/>
          <w:lang w:val="es-ES"/>
        </w:rPr>
        <w:tab/>
        <w:t>Las ofertas seguirán vinculando a los licitadores durante un plazo de 90 días a contar desde la fecha límite de presentación de las ofertas.</w:t>
      </w:r>
      <w:bookmarkEnd w:id="79"/>
      <w:bookmarkEnd w:id="80"/>
    </w:p>
    <w:p w:rsidR="008E45B1" w:rsidRPr="008D73E7" w:rsidRDefault="008E45B1" w:rsidP="00490F55">
      <w:pPr>
        <w:spacing w:after="240"/>
        <w:ind w:left="567" w:hanging="567"/>
        <w:jc w:val="both"/>
        <w:rPr>
          <w:sz w:val="22"/>
          <w:lang w:val="es-ES"/>
        </w:rPr>
      </w:pPr>
      <w:bookmarkStart w:id="81" w:name="_Toc39462832"/>
      <w:bookmarkStart w:id="82" w:name="_Toc39462271"/>
      <w:r w:rsidRPr="008D73E7">
        <w:rPr>
          <w:sz w:val="22"/>
          <w:lang w:val="es-ES"/>
        </w:rPr>
        <w:t>8.2</w:t>
      </w:r>
      <w:r w:rsidRPr="008D73E7">
        <w:rPr>
          <w:sz w:val="22"/>
          <w:lang w:val="es-ES"/>
        </w:rPr>
        <w:tab/>
        <w:t xml:space="preserve">En circunstancias excepcionales y antes de que expire el </w:t>
      </w:r>
      <w:r>
        <w:rPr>
          <w:sz w:val="22"/>
          <w:lang w:val="es-ES"/>
        </w:rPr>
        <w:t>período</w:t>
      </w:r>
      <w:r w:rsidRPr="008D73E7">
        <w:rPr>
          <w:sz w:val="22"/>
          <w:lang w:val="es-ES"/>
        </w:rPr>
        <w:t xml:space="preserve"> de validez inicial previsto, el Órgano de Contratación puede solicitar por escrito a los licitadores una prórroga de ese </w:t>
      </w:r>
      <w:r>
        <w:rPr>
          <w:sz w:val="22"/>
          <w:lang w:val="es-ES"/>
        </w:rPr>
        <w:t>período</w:t>
      </w:r>
      <w:r w:rsidRPr="008D73E7">
        <w:rPr>
          <w:sz w:val="22"/>
          <w:lang w:val="es-ES"/>
        </w:rPr>
        <w:t xml:space="preserve"> de una duración de 40 días.</w:t>
      </w:r>
      <w:r>
        <w:rPr>
          <w:sz w:val="22"/>
          <w:lang w:val="es-ES"/>
        </w:rPr>
        <w:t xml:space="preserve"> Dichas solicitudes, así como las respuestas a éstas, se deberán hacer por escrito.</w:t>
      </w:r>
      <w:r w:rsidRPr="008D73E7">
        <w:rPr>
          <w:sz w:val="22"/>
          <w:lang w:val="es-ES"/>
        </w:rPr>
        <w:t xml:space="preserve"> Los licitadores que acepten esta solicitud no estarán autorizados a modificar su oferta</w:t>
      </w:r>
      <w:r>
        <w:rPr>
          <w:sz w:val="22"/>
          <w:lang w:val="es-ES"/>
        </w:rPr>
        <w:t xml:space="preserve"> y quedarán obligados a ampliar la validez de las garantías de licitación por el período revisado de validez de la oferta</w:t>
      </w:r>
      <w:r w:rsidRPr="008D73E7">
        <w:rPr>
          <w:sz w:val="22"/>
          <w:lang w:val="es-ES"/>
        </w:rPr>
        <w:t>. En caso de rechazo, los licitadores dejarán de participar en el procedimiento</w:t>
      </w:r>
      <w:r>
        <w:rPr>
          <w:sz w:val="22"/>
          <w:lang w:val="es-ES"/>
        </w:rPr>
        <w:t xml:space="preserve"> sin perder las garantías de licitación</w:t>
      </w:r>
      <w:r w:rsidRPr="008D73E7">
        <w:rPr>
          <w:sz w:val="22"/>
          <w:lang w:val="es-ES"/>
        </w:rPr>
        <w:t>.</w:t>
      </w:r>
      <w:bookmarkEnd w:id="81"/>
      <w:bookmarkEnd w:id="82"/>
    </w:p>
    <w:p w:rsidR="008E45B1" w:rsidRPr="008D73E7" w:rsidRDefault="008E45B1" w:rsidP="00490F55">
      <w:pPr>
        <w:spacing w:after="240"/>
        <w:ind w:left="567"/>
        <w:jc w:val="both"/>
        <w:rPr>
          <w:sz w:val="22"/>
          <w:lang w:val="es-ES"/>
        </w:rPr>
      </w:pPr>
      <w:bookmarkStart w:id="83" w:name="_Toc39462833"/>
      <w:bookmarkStart w:id="84" w:name="_Toc39462272"/>
      <w:r w:rsidRPr="008D73E7">
        <w:rPr>
          <w:sz w:val="22"/>
          <w:lang w:val="es-ES"/>
        </w:rPr>
        <w:lastRenderedPageBreak/>
        <w:t xml:space="preserve">La oferta vinculará al adjudicatario seleccionado durante un </w:t>
      </w:r>
      <w:r>
        <w:rPr>
          <w:sz w:val="22"/>
          <w:lang w:val="es-ES"/>
        </w:rPr>
        <w:t>período</w:t>
      </w:r>
      <w:r w:rsidRPr="008D73E7">
        <w:rPr>
          <w:sz w:val="22"/>
          <w:lang w:val="es-ES"/>
        </w:rPr>
        <w:t xml:space="preserve"> adicional de 60 días.</w:t>
      </w:r>
      <w:bookmarkEnd w:id="83"/>
      <w:bookmarkEnd w:id="84"/>
      <w:r w:rsidRPr="008D73E7">
        <w:rPr>
          <w:sz w:val="22"/>
          <w:lang w:val="es-ES"/>
        </w:rPr>
        <w:t xml:space="preserve"> El </w:t>
      </w:r>
      <w:r>
        <w:rPr>
          <w:sz w:val="22"/>
          <w:lang w:val="es-ES"/>
        </w:rPr>
        <w:t>período</w:t>
      </w:r>
      <w:r w:rsidRPr="008D73E7">
        <w:rPr>
          <w:sz w:val="22"/>
          <w:lang w:val="es-ES"/>
        </w:rPr>
        <w:t xml:space="preserve"> adicional se añadirá al </w:t>
      </w:r>
      <w:r>
        <w:rPr>
          <w:sz w:val="22"/>
          <w:lang w:val="es-ES"/>
        </w:rPr>
        <w:t>período</w:t>
      </w:r>
      <w:r w:rsidRPr="008D73E7">
        <w:rPr>
          <w:sz w:val="22"/>
          <w:lang w:val="es-ES"/>
        </w:rPr>
        <w:t xml:space="preserve"> </w:t>
      </w:r>
      <w:r>
        <w:rPr>
          <w:sz w:val="22"/>
          <w:lang w:val="es-ES"/>
        </w:rPr>
        <w:t>de validez</w:t>
      </w:r>
      <w:r w:rsidRPr="008D73E7">
        <w:rPr>
          <w:sz w:val="22"/>
          <w:lang w:val="es-ES"/>
        </w:rPr>
        <w:t xml:space="preserve"> independientemente de la fecha de notificación.</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85" w:name="_Toc43004175"/>
      <w:bookmarkStart w:id="86" w:name="_Toc39896805"/>
      <w:bookmarkStart w:id="87" w:name="_Toc39463047"/>
      <w:bookmarkStart w:id="88" w:name="_Toc39462834"/>
      <w:bookmarkStart w:id="89" w:name="_Toc39462273"/>
      <w:bookmarkStart w:id="90" w:name="_Ref500330462"/>
      <w:r w:rsidRPr="00106900">
        <w:rPr>
          <w:rFonts w:ascii="Times New Roman" w:hAnsi="Times New Roman"/>
          <w:i w:val="0"/>
          <w:sz w:val="24"/>
          <w:szCs w:val="24"/>
        </w:rPr>
        <w:t>Lengua de las ofertas</w:t>
      </w:r>
      <w:bookmarkEnd w:id="85"/>
      <w:bookmarkEnd w:id="86"/>
      <w:bookmarkEnd w:id="87"/>
      <w:bookmarkEnd w:id="88"/>
      <w:bookmarkEnd w:id="89"/>
    </w:p>
    <w:p w:rsidR="008E45B1" w:rsidRPr="008D73E7" w:rsidRDefault="008E45B1" w:rsidP="00490F55">
      <w:pPr>
        <w:spacing w:after="240"/>
        <w:ind w:left="567" w:hanging="567"/>
        <w:jc w:val="both"/>
        <w:rPr>
          <w:sz w:val="22"/>
          <w:lang w:val="es-ES"/>
        </w:rPr>
      </w:pPr>
      <w:bookmarkStart w:id="91" w:name="_Toc39462835"/>
      <w:bookmarkStart w:id="92" w:name="_Toc39462274"/>
      <w:bookmarkEnd w:id="90"/>
      <w:r w:rsidRPr="008D73E7">
        <w:rPr>
          <w:sz w:val="22"/>
          <w:lang w:val="es-ES"/>
        </w:rPr>
        <w:t>9.1</w:t>
      </w:r>
      <w:r w:rsidRPr="008D73E7">
        <w:rPr>
          <w:sz w:val="22"/>
          <w:lang w:val="es-ES"/>
        </w:rPr>
        <w:tab/>
        <w:t>Las ofertas, toda la correspondencia y los documentos relacionados con las ofertas que se intercambien entre el licitador y el Órgano de Contratación se deberán redactar en la lengua del procedimiento que es el español.</w:t>
      </w:r>
      <w:bookmarkEnd w:id="91"/>
      <w:bookmarkEnd w:id="92"/>
    </w:p>
    <w:p w:rsidR="008E45B1" w:rsidRPr="00867794" w:rsidRDefault="008E45B1" w:rsidP="00490F55">
      <w:pPr>
        <w:keepLines/>
        <w:spacing w:after="240"/>
        <w:ind w:left="567" w:hanging="567"/>
        <w:jc w:val="both"/>
        <w:rPr>
          <w:sz w:val="22"/>
          <w:szCs w:val="22"/>
          <w:lang w:val="es-ES_tradnl"/>
        </w:rPr>
      </w:pPr>
      <w:bookmarkStart w:id="93" w:name="_Toc39462836"/>
      <w:bookmarkStart w:id="94" w:name="_Toc39462275"/>
      <w:r w:rsidRPr="008D73E7">
        <w:rPr>
          <w:sz w:val="22"/>
          <w:lang w:val="es-ES"/>
        </w:rPr>
        <w:t>9.2</w:t>
      </w:r>
      <w:r w:rsidRPr="00867794">
        <w:rPr>
          <w:sz w:val="22"/>
          <w:lang w:val="es-ES"/>
        </w:rPr>
        <w:tab/>
      </w:r>
      <w:bookmarkEnd w:id="93"/>
      <w:bookmarkEnd w:id="94"/>
      <w:r w:rsidRPr="00867794">
        <w:rPr>
          <w:sz w:val="22"/>
          <w:szCs w:val="22"/>
          <w:lang w:val="es-ES_tradnl"/>
        </w:rPr>
        <w:t>Cuando los documentos complementarios no estén redactados en una lengua oficial de la Unión Europea, deberán adjuntar una traducción a la lengua de</w:t>
      </w:r>
      <w:r>
        <w:rPr>
          <w:sz w:val="22"/>
          <w:szCs w:val="22"/>
          <w:lang w:val="es-ES_tradnl"/>
        </w:rPr>
        <w:t xml:space="preserve"> </w:t>
      </w:r>
      <w:r w:rsidRPr="00867794">
        <w:rPr>
          <w:sz w:val="22"/>
          <w:szCs w:val="22"/>
          <w:lang w:val="es-ES_tradnl"/>
        </w:rPr>
        <w:t>l</w:t>
      </w:r>
      <w:r>
        <w:rPr>
          <w:sz w:val="22"/>
          <w:szCs w:val="22"/>
          <w:lang w:val="es-ES_tradnl"/>
        </w:rPr>
        <w:t>a convocatoria</w:t>
      </w:r>
      <w:r w:rsidRPr="00867794">
        <w:rPr>
          <w:sz w:val="22"/>
          <w:szCs w:val="22"/>
          <w:lang w:val="es-ES_tradnl"/>
        </w:rPr>
        <w:t>. Cuando los documentos estén redactados en una lengua oficial de la Unión Europea distinta de la del proced</w:t>
      </w:r>
      <w:r>
        <w:rPr>
          <w:sz w:val="22"/>
          <w:szCs w:val="22"/>
          <w:lang w:val="es-ES_tradnl"/>
        </w:rPr>
        <w:t>imiento, se recomienda encarecidamente</w:t>
      </w:r>
      <w:r w:rsidRPr="00867794">
        <w:rPr>
          <w:sz w:val="22"/>
          <w:szCs w:val="22"/>
          <w:lang w:val="es-ES_tradnl"/>
        </w:rPr>
        <w:t xml:space="preserve"> adjuntar una traducción a la lengua del procedimiento para facilitar la evaluación de los documentos.</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95" w:name="_Toc43004176"/>
      <w:bookmarkStart w:id="96" w:name="_Toc39896806"/>
      <w:bookmarkStart w:id="97" w:name="_Toc39463048"/>
      <w:bookmarkStart w:id="98" w:name="_Toc39462837"/>
      <w:bookmarkStart w:id="99" w:name="_Toc39462276"/>
      <w:r w:rsidRPr="00106900">
        <w:rPr>
          <w:rFonts w:ascii="Times New Roman" w:hAnsi="Times New Roman"/>
          <w:i w:val="0"/>
          <w:sz w:val="24"/>
          <w:szCs w:val="24"/>
        </w:rPr>
        <w:t>Presentación de las ofertas</w:t>
      </w:r>
      <w:bookmarkEnd w:id="95"/>
      <w:bookmarkEnd w:id="96"/>
      <w:bookmarkEnd w:id="97"/>
      <w:bookmarkEnd w:id="98"/>
      <w:bookmarkEnd w:id="99"/>
    </w:p>
    <w:p w:rsidR="008E45B1" w:rsidRPr="008D73E7" w:rsidRDefault="008E45B1" w:rsidP="00490F55">
      <w:pPr>
        <w:spacing w:after="240"/>
        <w:ind w:left="567" w:hanging="567"/>
        <w:jc w:val="both"/>
        <w:rPr>
          <w:lang w:val="es-ES"/>
        </w:rPr>
      </w:pPr>
      <w:r w:rsidRPr="008D73E7">
        <w:rPr>
          <w:sz w:val="22"/>
          <w:lang w:val="es-ES"/>
        </w:rPr>
        <w:t>10.1</w:t>
      </w:r>
      <w:r>
        <w:rPr>
          <w:sz w:val="22"/>
          <w:lang w:val="es-ES"/>
        </w:rPr>
        <w:tab/>
      </w:r>
      <w:r w:rsidRPr="008D73E7">
        <w:rPr>
          <w:sz w:val="22"/>
          <w:lang w:val="es-ES"/>
        </w:rPr>
        <w:t xml:space="preserve">Las ofertas deben </w:t>
      </w:r>
      <w:r w:rsidRPr="008D73E7">
        <w:rPr>
          <w:b/>
          <w:sz w:val="22"/>
          <w:lang w:val="es-ES"/>
        </w:rPr>
        <w:t>recibirse</w:t>
      </w:r>
      <w:r w:rsidRPr="008D73E7">
        <w:rPr>
          <w:sz w:val="22"/>
          <w:lang w:val="es-ES"/>
        </w:rPr>
        <w:t xml:space="preserve"> antes de la fecha límite indicada en</w:t>
      </w:r>
      <w:r>
        <w:rPr>
          <w:sz w:val="22"/>
          <w:lang w:val="es-ES"/>
        </w:rPr>
        <w:t xml:space="preserve"> el punto</w:t>
      </w:r>
      <w:r w:rsidRPr="008D73E7">
        <w:rPr>
          <w:sz w:val="22"/>
          <w:lang w:val="es-ES"/>
        </w:rPr>
        <w:t xml:space="preserve"> </w:t>
      </w:r>
      <w:r>
        <w:rPr>
          <w:sz w:val="22"/>
          <w:lang w:val="es-ES"/>
        </w:rPr>
        <w:t>10.3</w:t>
      </w:r>
      <w:r w:rsidRPr="008D73E7">
        <w:rPr>
          <w:sz w:val="22"/>
          <w:lang w:val="es-ES"/>
        </w:rPr>
        <w:t>. Deben incluir todos los documentos especificados en el punto 11 de estas Instrucciones, y se han de enviar a la dirección siguiente:</w:t>
      </w:r>
    </w:p>
    <w:p w:rsidR="008E45B1" w:rsidRDefault="008E45B1" w:rsidP="00490F55">
      <w:pPr>
        <w:spacing w:after="240"/>
        <w:ind w:left="567"/>
        <w:jc w:val="both"/>
        <w:rPr>
          <w:sz w:val="22"/>
          <w:lang w:val="es-ES"/>
        </w:rPr>
      </w:pPr>
      <w:bookmarkStart w:id="100" w:name="_Ref500326737"/>
      <w:r>
        <w:rPr>
          <w:sz w:val="22"/>
          <w:lang w:val="es-ES"/>
        </w:rPr>
        <w:t>SECRETARIA GENERAL DE LA COMUNIDAD ANDINA /PROYECTO INTERCAN</w:t>
      </w:r>
    </w:p>
    <w:p w:rsidR="008E45B1" w:rsidRDefault="008E45B1" w:rsidP="00490F55">
      <w:pPr>
        <w:spacing w:after="240"/>
        <w:ind w:left="567"/>
        <w:jc w:val="both"/>
        <w:rPr>
          <w:sz w:val="22"/>
          <w:lang w:val="es-ES"/>
        </w:rPr>
      </w:pPr>
      <w:r>
        <w:rPr>
          <w:sz w:val="22"/>
          <w:lang w:val="es-ES"/>
        </w:rPr>
        <w:t>Avenida Aramburú Cdra. 4 esquina con Paseo de la República, San Isidro, Lima – Perú</w:t>
      </w:r>
    </w:p>
    <w:p w:rsidR="008E45B1" w:rsidRDefault="008E45B1" w:rsidP="00490F55">
      <w:pPr>
        <w:spacing w:after="240"/>
        <w:ind w:left="567"/>
        <w:jc w:val="both"/>
        <w:rPr>
          <w:sz w:val="22"/>
          <w:lang w:val="es-ES"/>
        </w:rPr>
      </w:pPr>
      <w:r>
        <w:rPr>
          <w:sz w:val="22"/>
          <w:lang w:val="es-ES"/>
        </w:rPr>
        <w:t>Si las ofertas son entregadas en mano, se entregarán en la  dirección indica  en el  párrafo precedente.</w:t>
      </w:r>
    </w:p>
    <w:bookmarkEnd w:id="100"/>
    <w:p w:rsidR="008E45B1" w:rsidRPr="008D73E7" w:rsidRDefault="008E45B1" w:rsidP="00490F55">
      <w:pPr>
        <w:spacing w:after="240"/>
        <w:ind w:left="567"/>
        <w:jc w:val="both"/>
        <w:outlineLvl w:val="0"/>
        <w:rPr>
          <w:sz w:val="22"/>
          <w:lang w:val="es-ES"/>
        </w:rPr>
      </w:pPr>
      <w:r w:rsidRPr="008D73E7">
        <w:rPr>
          <w:sz w:val="22"/>
          <w:lang w:val="es-ES"/>
        </w:rPr>
        <w:t>Las ofertas se deberán atener a las condiciones siguientes:</w:t>
      </w:r>
    </w:p>
    <w:p w:rsidR="008E45B1" w:rsidRPr="008D73E7" w:rsidRDefault="008E45B1" w:rsidP="00490F55">
      <w:pPr>
        <w:spacing w:after="240"/>
        <w:ind w:left="567" w:hanging="567"/>
        <w:jc w:val="both"/>
        <w:rPr>
          <w:sz w:val="22"/>
          <w:lang w:val="es-ES"/>
        </w:rPr>
      </w:pPr>
      <w:bookmarkStart w:id="101" w:name="_Toc39462838"/>
      <w:bookmarkStart w:id="102" w:name="_Toc39462277"/>
      <w:r w:rsidRPr="008D73E7">
        <w:rPr>
          <w:sz w:val="22"/>
          <w:lang w:val="es-ES"/>
        </w:rPr>
        <w:t>10.2</w:t>
      </w:r>
      <w:r w:rsidRPr="008D73E7">
        <w:rPr>
          <w:sz w:val="22"/>
          <w:lang w:val="es-ES"/>
        </w:rPr>
        <w:tab/>
        <w:t xml:space="preserve">Las ofertas deberán presentarse en un original único, en el que se indicará la mención «original» y </w:t>
      </w:r>
      <w:r>
        <w:rPr>
          <w:sz w:val="22"/>
          <w:lang w:val="es-ES"/>
        </w:rPr>
        <w:t xml:space="preserve">cuatro </w:t>
      </w:r>
      <w:r w:rsidRPr="008D73E7">
        <w:rPr>
          <w:sz w:val="22"/>
          <w:lang w:val="es-ES"/>
        </w:rPr>
        <w:t xml:space="preserve"> copias firmadas del mismo modo que el original y con la mención «copia». </w:t>
      </w:r>
      <w:bookmarkEnd w:id="101"/>
      <w:bookmarkEnd w:id="102"/>
    </w:p>
    <w:p w:rsidR="008E45B1" w:rsidRPr="008D73E7" w:rsidRDefault="008E45B1" w:rsidP="00490F55">
      <w:pPr>
        <w:spacing w:after="240"/>
        <w:ind w:left="567" w:hanging="567"/>
        <w:jc w:val="both"/>
        <w:rPr>
          <w:sz w:val="22"/>
          <w:lang w:val="es-ES"/>
        </w:rPr>
      </w:pPr>
      <w:bookmarkStart w:id="103" w:name="_Toc39462839"/>
      <w:bookmarkStart w:id="104" w:name="_Toc39462278"/>
      <w:bookmarkStart w:id="105" w:name="_Ref500330141"/>
      <w:r w:rsidRPr="008D73E7">
        <w:rPr>
          <w:sz w:val="22"/>
          <w:lang w:val="es-ES"/>
        </w:rPr>
        <w:t>10.3</w:t>
      </w:r>
      <w:r w:rsidRPr="008D73E7">
        <w:rPr>
          <w:sz w:val="22"/>
          <w:lang w:val="es-ES"/>
        </w:rPr>
        <w:tab/>
        <w:t xml:space="preserve">Las ofertas deben recibirse en </w:t>
      </w:r>
      <w:r>
        <w:rPr>
          <w:sz w:val="22"/>
          <w:lang w:val="es-ES"/>
        </w:rPr>
        <w:t xml:space="preserve">Avenida Aramburú Cdra. 4 esquina con Paseo de la República, San Isidro, Lima – Perú </w:t>
      </w:r>
      <w:r w:rsidRPr="008D73E7">
        <w:rPr>
          <w:sz w:val="22"/>
          <w:lang w:val="es-ES"/>
        </w:rPr>
        <w:t>an</w:t>
      </w:r>
      <w:r>
        <w:rPr>
          <w:sz w:val="22"/>
          <w:lang w:val="es-ES"/>
        </w:rPr>
        <w:t>tes de la fecha y hora límites 22/10/2012 hasta  las 17:00 horas</w:t>
      </w:r>
      <w:r w:rsidRPr="008D73E7">
        <w:rPr>
          <w:sz w:val="22"/>
          <w:lang w:val="es-ES"/>
        </w:rPr>
        <w:t xml:space="preserve">, por carta certificada con acuse de recibo, o bien entregadas en mano con acuse de recibo firmado por </w:t>
      </w:r>
      <w:r>
        <w:rPr>
          <w:sz w:val="22"/>
          <w:lang w:val="es-ES"/>
        </w:rPr>
        <w:t xml:space="preserve"> mesa de partes o</w:t>
      </w:r>
      <w:r w:rsidRPr="008D73E7">
        <w:rPr>
          <w:sz w:val="22"/>
          <w:lang w:val="es-ES"/>
        </w:rPr>
        <w:t xml:space="preserve"> representante.</w:t>
      </w:r>
      <w:bookmarkEnd w:id="103"/>
      <w:bookmarkEnd w:id="104"/>
    </w:p>
    <w:p w:rsidR="008E45B1" w:rsidRPr="008D73E7" w:rsidRDefault="008E45B1" w:rsidP="00490F55">
      <w:pPr>
        <w:ind w:left="567" w:hanging="567"/>
        <w:jc w:val="both"/>
        <w:rPr>
          <w:sz w:val="22"/>
          <w:lang w:val="es-ES"/>
        </w:rPr>
      </w:pPr>
      <w:bookmarkStart w:id="106" w:name="_Toc39462840"/>
      <w:bookmarkStart w:id="107" w:name="_Toc39462279"/>
      <w:bookmarkEnd w:id="105"/>
      <w:r w:rsidRPr="008D73E7">
        <w:rPr>
          <w:sz w:val="22"/>
          <w:lang w:val="es-ES"/>
        </w:rPr>
        <w:t>10.4</w:t>
      </w:r>
      <w:r w:rsidRPr="008D73E7">
        <w:rPr>
          <w:sz w:val="22"/>
          <w:lang w:val="es-ES"/>
        </w:rPr>
        <w:tab/>
        <w:t>Las ofertas, incluidos sus anexos y los justificantes, deben presentarse en un sobre precintado en el que figure exclusivamente:</w:t>
      </w:r>
      <w:bookmarkEnd w:id="106"/>
      <w:bookmarkEnd w:id="107"/>
    </w:p>
    <w:p w:rsidR="008E45B1" w:rsidRPr="008D73E7" w:rsidRDefault="008E45B1" w:rsidP="00490F55">
      <w:pPr>
        <w:numPr>
          <w:ilvl w:val="0"/>
          <w:numId w:val="6"/>
        </w:numPr>
        <w:spacing w:before="120"/>
        <w:ind w:left="924" w:hanging="357"/>
        <w:jc w:val="both"/>
        <w:rPr>
          <w:sz w:val="22"/>
          <w:lang w:val="es-ES"/>
        </w:rPr>
      </w:pPr>
      <w:bookmarkStart w:id="108" w:name="_Toc39462841"/>
      <w:r w:rsidRPr="008D73E7">
        <w:rPr>
          <w:sz w:val="22"/>
          <w:lang w:val="es-ES"/>
        </w:rPr>
        <w:t>la dirección indicada anteriormente;</w:t>
      </w:r>
      <w:bookmarkEnd w:id="108"/>
    </w:p>
    <w:p w:rsidR="008E45B1" w:rsidRPr="008D73E7" w:rsidRDefault="008E45B1" w:rsidP="00490F55">
      <w:pPr>
        <w:numPr>
          <w:ilvl w:val="0"/>
          <w:numId w:val="6"/>
        </w:numPr>
        <w:spacing w:before="120"/>
        <w:ind w:left="924" w:hanging="357"/>
        <w:jc w:val="both"/>
        <w:rPr>
          <w:sz w:val="22"/>
          <w:lang w:val="es-ES"/>
        </w:rPr>
      </w:pPr>
      <w:r w:rsidRPr="008D73E7">
        <w:rPr>
          <w:sz w:val="22"/>
          <w:lang w:val="es-ES"/>
        </w:rPr>
        <w:t xml:space="preserve">el código de referencia de la presente </w:t>
      </w:r>
      <w:r w:rsidRPr="00DC7B1F">
        <w:rPr>
          <w:sz w:val="22"/>
          <w:lang w:val="es-ES"/>
        </w:rPr>
        <w:t>licitación EuropeAid/</w:t>
      </w:r>
      <w:r>
        <w:rPr>
          <w:sz w:val="22"/>
          <w:lang w:val="es-ES"/>
        </w:rPr>
        <w:t>133018/D/SUP/Multi</w:t>
      </w:r>
      <w:r w:rsidRPr="00DC7B1F">
        <w:rPr>
          <w:sz w:val="22"/>
          <w:lang w:val="es-ES"/>
        </w:rPr>
        <w:t xml:space="preserve"> </w:t>
      </w:r>
    </w:p>
    <w:p w:rsidR="008E45B1" w:rsidRPr="008D73E7" w:rsidRDefault="008E45B1" w:rsidP="00490F55">
      <w:pPr>
        <w:numPr>
          <w:ilvl w:val="0"/>
          <w:numId w:val="6"/>
        </w:numPr>
        <w:spacing w:before="120"/>
        <w:ind w:left="924" w:hanging="357"/>
        <w:rPr>
          <w:sz w:val="22"/>
          <w:lang w:val="es-ES"/>
        </w:rPr>
      </w:pPr>
      <w:bookmarkStart w:id="109" w:name="_Toc39462842"/>
      <w:r w:rsidRPr="008D73E7">
        <w:rPr>
          <w:sz w:val="22"/>
          <w:lang w:val="es-ES"/>
        </w:rPr>
        <w:t>si procede, el número del lote o lotes para el/los que se presenta una oferta;</w:t>
      </w:r>
      <w:bookmarkEnd w:id="109"/>
    </w:p>
    <w:p w:rsidR="008E45B1" w:rsidRPr="008D73E7" w:rsidRDefault="008E45B1" w:rsidP="00490F55">
      <w:pPr>
        <w:numPr>
          <w:ilvl w:val="0"/>
          <w:numId w:val="6"/>
        </w:numPr>
        <w:spacing w:before="120"/>
        <w:ind w:left="924" w:hanging="357"/>
        <w:jc w:val="both"/>
        <w:rPr>
          <w:sz w:val="22"/>
          <w:lang w:val="es-ES"/>
        </w:rPr>
      </w:pPr>
      <w:bookmarkStart w:id="110" w:name="_Toc39462843"/>
      <w:r w:rsidRPr="008D73E7">
        <w:rPr>
          <w:sz w:val="22"/>
          <w:lang w:val="es-ES"/>
        </w:rPr>
        <w:t xml:space="preserve">la mención «No abrir antes de la sesión de apertura de plicas», escrita en la lengua del expediente de licitación y </w:t>
      </w:r>
      <w:r w:rsidRPr="008F14F3">
        <w:rPr>
          <w:sz w:val="22"/>
          <w:lang w:val="es-ES"/>
        </w:rPr>
        <w:t>la expresión equivalente en la lengua del país.</w:t>
      </w:r>
      <w:bookmarkEnd w:id="110"/>
    </w:p>
    <w:p w:rsidR="008E45B1" w:rsidRPr="008D73E7" w:rsidRDefault="008E45B1" w:rsidP="00490F55">
      <w:pPr>
        <w:numPr>
          <w:ilvl w:val="0"/>
          <w:numId w:val="6"/>
        </w:numPr>
        <w:spacing w:before="120" w:after="240"/>
        <w:ind w:left="924" w:hanging="357"/>
        <w:rPr>
          <w:sz w:val="22"/>
          <w:lang w:val="es-ES"/>
        </w:rPr>
      </w:pPr>
      <w:bookmarkStart w:id="111" w:name="_Toc39462844"/>
      <w:r w:rsidRPr="008D73E7">
        <w:rPr>
          <w:sz w:val="22"/>
          <w:lang w:val="es-ES"/>
        </w:rPr>
        <w:t>el nombre del licitador.</w:t>
      </w:r>
      <w:bookmarkEnd w:id="111"/>
    </w:p>
    <w:p w:rsidR="008E45B1" w:rsidRPr="008D73E7" w:rsidRDefault="008E45B1" w:rsidP="00490F55">
      <w:pPr>
        <w:spacing w:after="240"/>
        <w:ind w:left="567"/>
        <w:jc w:val="both"/>
        <w:outlineLvl w:val="0"/>
        <w:rPr>
          <w:sz w:val="20"/>
          <w:lang w:val="es-ES"/>
        </w:rPr>
      </w:pPr>
      <w:r w:rsidRPr="008D73E7">
        <w:rPr>
          <w:sz w:val="22"/>
          <w:lang w:val="es-ES"/>
        </w:rPr>
        <w:t>Las ofertas financiera y técnica deben introducirse juntas en un sobre precintado. A continuación, los sobres deben introducirse en un único sobre o paquete precintado, salvo que, por su volumen, sea necesario presentar cada lote por separado.</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12" w:name="_Toc43004177"/>
      <w:bookmarkStart w:id="113" w:name="_Toc39896807"/>
      <w:bookmarkStart w:id="114" w:name="_Toc39463049"/>
      <w:bookmarkStart w:id="115" w:name="_Toc39462845"/>
      <w:bookmarkStart w:id="116" w:name="_Toc39462280"/>
      <w:r w:rsidRPr="00106900">
        <w:rPr>
          <w:rFonts w:ascii="Times New Roman" w:hAnsi="Times New Roman"/>
          <w:i w:val="0"/>
          <w:sz w:val="24"/>
          <w:szCs w:val="24"/>
        </w:rPr>
        <w:lastRenderedPageBreak/>
        <w:t>Contenido de las ofertas</w:t>
      </w:r>
      <w:bookmarkEnd w:id="112"/>
      <w:bookmarkEnd w:id="113"/>
      <w:bookmarkEnd w:id="114"/>
      <w:bookmarkEnd w:id="115"/>
      <w:bookmarkEnd w:id="116"/>
    </w:p>
    <w:p w:rsidR="008E45B1" w:rsidRPr="008D73E7" w:rsidRDefault="008E45B1" w:rsidP="00490F55">
      <w:pPr>
        <w:spacing w:after="240"/>
        <w:ind w:left="567"/>
        <w:jc w:val="both"/>
        <w:outlineLvl w:val="0"/>
        <w:rPr>
          <w:sz w:val="22"/>
          <w:lang w:val="es-ES"/>
        </w:rPr>
      </w:pPr>
      <w:r w:rsidRPr="008D73E7">
        <w:rPr>
          <w:sz w:val="22"/>
          <w:lang w:val="es-ES"/>
        </w:rPr>
        <w:t>Las ofertas presentadas deben cumplir los requisitos establecidos en el expediente de licitación e incluir en particular:</w:t>
      </w:r>
    </w:p>
    <w:p w:rsidR="008E45B1" w:rsidRPr="008D73E7" w:rsidRDefault="008E45B1" w:rsidP="00490F55">
      <w:pPr>
        <w:spacing w:after="240"/>
        <w:ind w:left="567"/>
        <w:jc w:val="both"/>
        <w:outlineLvl w:val="0"/>
        <w:rPr>
          <w:sz w:val="22"/>
        </w:rPr>
      </w:pPr>
      <w:r w:rsidRPr="008D73E7">
        <w:rPr>
          <w:sz w:val="22"/>
        </w:rPr>
        <w:t>Parte 1: Oferta técnica:</w:t>
      </w:r>
    </w:p>
    <w:p w:rsidR="008E45B1" w:rsidRPr="008D73E7" w:rsidRDefault="008E45B1" w:rsidP="00490F55">
      <w:pPr>
        <w:numPr>
          <w:ilvl w:val="0"/>
          <w:numId w:val="7"/>
        </w:numPr>
        <w:tabs>
          <w:tab w:val="clear" w:pos="1452"/>
          <w:tab w:val="left" w:pos="1134"/>
        </w:tabs>
        <w:spacing w:after="120"/>
        <w:ind w:left="1134" w:hanging="414"/>
        <w:jc w:val="both"/>
        <w:rPr>
          <w:sz w:val="22"/>
          <w:lang w:val="es-ES"/>
        </w:rPr>
      </w:pPr>
      <w:bookmarkStart w:id="117" w:name="_Toc39896808"/>
      <w:bookmarkStart w:id="118" w:name="_Toc39463050"/>
      <w:bookmarkStart w:id="119" w:name="_Toc39462847"/>
      <w:bookmarkStart w:id="120" w:name="_Toc39462282"/>
      <w:r w:rsidRPr="008D73E7">
        <w:rPr>
          <w:sz w:val="22"/>
          <w:lang w:val="es-ES"/>
        </w:rPr>
        <w:t xml:space="preserve">una descripción detallada de los suministros objeto de la licitación de conformidad con los requisitos técnicos, incluida </w:t>
      </w:r>
      <w:bookmarkEnd w:id="117"/>
      <w:bookmarkEnd w:id="118"/>
      <w:bookmarkEnd w:id="119"/>
      <w:bookmarkEnd w:id="120"/>
      <w:r w:rsidRPr="008D73E7">
        <w:rPr>
          <w:sz w:val="22"/>
          <w:lang w:val="es-ES"/>
        </w:rPr>
        <w:t>toda documentación exigida;</w:t>
      </w:r>
    </w:p>
    <w:p w:rsidR="008E45B1" w:rsidRPr="008D73E7" w:rsidRDefault="008E45B1" w:rsidP="00490F55">
      <w:pPr>
        <w:spacing w:after="240"/>
        <w:ind w:left="720"/>
        <w:jc w:val="both"/>
        <w:rPr>
          <w:sz w:val="22"/>
          <w:szCs w:val="22"/>
          <w:lang w:val="es-ES"/>
        </w:rPr>
      </w:pPr>
      <w:r w:rsidRPr="008D73E7">
        <w:rPr>
          <w:sz w:val="22"/>
          <w:szCs w:val="22"/>
          <w:lang w:val="es-ES"/>
        </w:rPr>
        <w:t>La oferta técnica debe presentarse según el modelo (anexo II + III*, oferta técnica del titular) completada cuando  proceda en hojas separadas para los detalles.</w:t>
      </w:r>
    </w:p>
    <w:p w:rsidR="008E45B1" w:rsidRPr="008D73E7" w:rsidRDefault="008E45B1" w:rsidP="00490F55">
      <w:pPr>
        <w:spacing w:after="240"/>
        <w:ind w:left="567"/>
        <w:jc w:val="both"/>
        <w:outlineLvl w:val="0"/>
        <w:rPr>
          <w:sz w:val="22"/>
          <w:szCs w:val="22"/>
        </w:rPr>
      </w:pPr>
      <w:r w:rsidRPr="008D73E7">
        <w:rPr>
          <w:sz w:val="22"/>
          <w:szCs w:val="22"/>
        </w:rPr>
        <w:t>Parte 2: Oferta financiera:</w:t>
      </w:r>
    </w:p>
    <w:p w:rsidR="008E45B1" w:rsidRPr="00D2211D" w:rsidRDefault="008E45B1" w:rsidP="00490F55">
      <w:pPr>
        <w:numPr>
          <w:ilvl w:val="0"/>
          <w:numId w:val="7"/>
        </w:numPr>
        <w:tabs>
          <w:tab w:val="clear" w:pos="1452"/>
          <w:tab w:val="left" w:pos="1134"/>
        </w:tabs>
        <w:spacing w:after="120"/>
        <w:ind w:left="1134" w:hanging="414"/>
        <w:jc w:val="both"/>
        <w:rPr>
          <w:sz w:val="22"/>
          <w:lang w:val="es-ES"/>
        </w:rPr>
      </w:pPr>
      <w:bookmarkStart w:id="121" w:name="_Toc39462848"/>
      <w:bookmarkStart w:id="122" w:name="_Toc39462283"/>
      <w:r w:rsidRPr="00D2211D">
        <w:rPr>
          <w:sz w:val="22"/>
          <w:lang w:val="es-ES"/>
        </w:rPr>
        <w:t xml:space="preserve">Una oferta financiera calculada a partir de </w:t>
      </w:r>
      <w:r>
        <w:rPr>
          <w:sz w:val="22"/>
          <w:lang w:val="es-ES"/>
        </w:rPr>
        <w:t xml:space="preserve"> DAP (transporte aéreo) </w:t>
      </w:r>
      <w:r w:rsidRPr="00D2211D">
        <w:rPr>
          <w:sz w:val="22"/>
          <w:lang w:val="es-ES"/>
        </w:rPr>
        <w:t xml:space="preserve"> para los suministros objeto de la licitación</w:t>
      </w:r>
      <w:r>
        <w:rPr>
          <w:sz w:val="22"/>
          <w:lang w:val="es-ES"/>
        </w:rPr>
        <w:t>;</w:t>
      </w:r>
      <w:bookmarkEnd w:id="121"/>
      <w:bookmarkEnd w:id="122"/>
      <w:r>
        <w:rPr>
          <w:sz w:val="22"/>
          <w:lang w:val="es-ES"/>
        </w:rPr>
        <w:t xml:space="preserve"> </w:t>
      </w:r>
    </w:p>
    <w:p w:rsidR="008E45B1" w:rsidRPr="008D73E7" w:rsidRDefault="008E45B1" w:rsidP="00490F55">
      <w:pPr>
        <w:spacing w:after="240"/>
        <w:ind w:left="720"/>
        <w:rPr>
          <w:sz w:val="22"/>
          <w:szCs w:val="22"/>
          <w:lang w:val="es-ES"/>
        </w:rPr>
      </w:pPr>
      <w:r w:rsidRPr="008D73E7">
        <w:rPr>
          <w:sz w:val="22"/>
          <w:szCs w:val="22"/>
          <w:lang w:val="es-ES"/>
        </w:rPr>
        <w:t>La oferta financiera debe presentarse según el modelo (anexo IV*, desglose presupuestario) y si procede en hojas separadas para los detalles.</w:t>
      </w:r>
    </w:p>
    <w:p w:rsidR="008E45B1" w:rsidRPr="008D73E7" w:rsidRDefault="008E45B1" w:rsidP="00490F55">
      <w:pPr>
        <w:spacing w:after="240"/>
        <w:ind w:left="567"/>
        <w:jc w:val="both"/>
        <w:outlineLvl w:val="0"/>
        <w:rPr>
          <w:sz w:val="22"/>
          <w:szCs w:val="22"/>
          <w:lang w:val="es-ES"/>
        </w:rPr>
      </w:pPr>
      <w:r w:rsidRPr="008D73E7">
        <w:rPr>
          <w:sz w:val="22"/>
          <w:szCs w:val="22"/>
          <w:lang w:val="es-ES"/>
        </w:rPr>
        <w:t>Parte 3: Documentación:</w:t>
      </w:r>
    </w:p>
    <w:p w:rsidR="008E45B1" w:rsidRPr="008D73E7" w:rsidRDefault="008E45B1" w:rsidP="00490F55">
      <w:pPr>
        <w:spacing w:after="240"/>
        <w:ind w:left="720"/>
        <w:rPr>
          <w:sz w:val="22"/>
          <w:szCs w:val="22"/>
          <w:lang w:val="es-ES"/>
        </w:rPr>
      </w:pPr>
      <w:r w:rsidRPr="008D73E7">
        <w:rPr>
          <w:sz w:val="22"/>
          <w:szCs w:val="22"/>
          <w:lang w:val="es-ES"/>
        </w:rPr>
        <w:t>Preséntense los modelos siguientes en anexo*:</w:t>
      </w:r>
    </w:p>
    <w:p w:rsidR="008E45B1" w:rsidRDefault="008E45B1" w:rsidP="00490F55">
      <w:pPr>
        <w:numPr>
          <w:ilvl w:val="0"/>
          <w:numId w:val="7"/>
        </w:numPr>
        <w:tabs>
          <w:tab w:val="clear" w:pos="1452"/>
          <w:tab w:val="left" w:pos="1134"/>
        </w:tabs>
        <w:spacing w:after="240"/>
        <w:ind w:left="1134" w:hanging="414"/>
        <w:jc w:val="both"/>
        <w:rPr>
          <w:sz w:val="22"/>
          <w:lang w:val="es-ES"/>
        </w:rPr>
      </w:pPr>
      <w:r w:rsidRPr="00743D96">
        <w:rPr>
          <w:sz w:val="22"/>
          <w:lang w:val="es-ES"/>
        </w:rPr>
        <w:t xml:space="preserve">La garantía de licitación, por </w:t>
      </w:r>
      <w:r>
        <w:rPr>
          <w:sz w:val="22"/>
          <w:lang w:val="es-ES"/>
        </w:rPr>
        <w:t>1% del presupuesto disponible para cada lote/lotes, como se indica a continuación:</w:t>
      </w:r>
    </w:p>
    <w:p w:rsidR="008E45B1" w:rsidRDefault="008E45B1" w:rsidP="00490F55">
      <w:pPr>
        <w:tabs>
          <w:tab w:val="left" w:pos="1134"/>
        </w:tabs>
        <w:spacing w:after="240"/>
        <w:ind w:left="1134"/>
        <w:jc w:val="both"/>
        <w:rPr>
          <w:sz w:val="22"/>
          <w:lang w:val="es-ES"/>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4820"/>
        <w:gridCol w:w="2092"/>
      </w:tblGrid>
      <w:tr w:rsidR="008E45B1" w:rsidRPr="000F535B" w:rsidTr="00AA1BC6">
        <w:tc>
          <w:tcPr>
            <w:tcW w:w="1242" w:type="dxa"/>
            <w:shd w:val="clear" w:color="auto" w:fill="D9D9D9"/>
          </w:tcPr>
          <w:p w:rsidR="008E45B1" w:rsidRPr="00AA1BC6" w:rsidRDefault="008E45B1" w:rsidP="00AA1BC6">
            <w:pPr>
              <w:tabs>
                <w:tab w:val="left" w:pos="1134"/>
              </w:tabs>
              <w:spacing w:after="240"/>
              <w:jc w:val="center"/>
              <w:rPr>
                <w:lang w:val="es-ES"/>
              </w:rPr>
            </w:pPr>
            <w:r w:rsidRPr="00AA1BC6">
              <w:rPr>
                <w:sz w:val="22"/>
                <w:szCs w:val="22"/>
                <w:lang w:val="es-ES"/>
              </w:rPr>
              <w:t>LOTES</w:t>
            </w:r>
          </w:p>
        </w:tc>
        <w:tc>
          <w:tcPr>
            <w:tcW w:w="4820" w:type="dxa"/>
            <w:shd w:val="clear" w:color="auto" w:fill="D9D9D9"/>
          </w:tcPr>
          <w:p w:rsidR="008E45B1" w:rsidRPr="00AA1BC6" w:rsidRDefault="008E45B1" w:rsidP="00AA1BC6">
            <w:pPr>
              <w:tabs>
                <w:tab w:val="left" w:pos="1134"/>
              </w:tabs>
              <w:spacing w:after="240"/>
              <w:jc w:val="center"/>
              <w:rPr>
                <w:lang w:val="es-ES"/>
              </w:rPr>
            </w:pPr>
            <w:r w:rsidRPr="00AA1BC6">
              <w:rPr>
                <w:sz w:val="22"/>
                <w:szCs w:val="22"/>
                <w:lang w:val="es-ES"/>
              </w:rPr>
              <w:t>DESCRIPCIÓN</w:t>
            </w:r>
          </w:p>
        </w:tc>
        <w:tc>
          <w:tcPr>
            <w:tcW w:w="2092" w:type="dxa"/>
            <w:shd w:val="clear" w:color="auto" w:fill="D9D9D9"/>
          </w:tcPr>
          <w:p w:rsidR="008E45B1" w:rsidRPr="00AA1BC6" w:rsidRDefault="008E45B1" w:rsidP="00AA1BC6">
            <w:pPr>
              <w:tabs>
                <w:tab w:val="left" w:pos="1134"/>
              </w:tabs>
              <w:jc w:val="center"/>
              <w:rPr>
                <w:lang w:val="es-ES"/>
              </w:rPr>
            </w:pPr>
            <w:r w:rsidRPr="00AA1BC6">
              <w:rPr>
                <w:sz w:val="22"/>
                <w:szCs w:val="22"/>
                <w:lang w:val="es-ES"/>
              </w:rPr>
              <w:t xml:space="preserve">MONTO DE GARANTÍA DE LICITACIÓN       </w:t>
            </w:r>
          </w:p>
          <w:p w:rsidR="008E45B1" w:rsidRPr="00AA1BC6" w:rsidRDefault="008E45B1" w:rsidP="00AA1BC6">
            <w:pPr>
              <w:tabs>
                <w:tab w:val="left" w:pos="1134"/>
              </w:tabs>
              <w:jc w:val="center"/>
              <w:rPr>
                <w:lang w:val="es-ES"/>
              </w:rPr>
            </w:pPr>
            <w:r w:rsidRPr="00AA1BC6">
              <w:rPr>
                <w:sz w:val="22"/>
                <w:szCs w:val="22"/>
                <w:lang w:val="es-ES"/>
              </w:rPr>
              <w:t xml:space="preserve"> (en euros)</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t>Lote 1</w:t>
            </w:r>
          </w:p>
        </w:tc>
        <w:tc>
          <w:tcPr>
            <w:tcW w:w="4820" w:type="dxa"/>
          </w:tcPr>
          <w:p w:rsidR="008E45B1" w:rsidRPr="00AA1BC6" w:rsidRDefault="008E45B1" w:rsidP="00CB70D0">
            <w:pPr>
              <w:rPr>
                <w:lang w:val="es-CO"/>
              </w:rPr>
            </w:pPr>
            <w:r w:rsidRPr="00AA1BC6">
              <w:rPr>
                <w:sz w:val="22"/>
                <w:szCs w:val="22"/>
                <w:lang w:val="es-CO"/>
              </w:rPr>
              <w:t xml:space="preserve">  Tres Items:</w:t>
            </w:r>
          </w:p>
          <w:p w:rsidR="008E45B1" w:rsidRPr="00AA1BC6" w:rsidRDefault="008E45B1" w:rsidP="00CB70D0">
            <w:pPr>
              <w:rPr>
                <w:lang w:val="es-CO"/>
              </w:rPr>
            </w:pPr>
            <w:r w:rsidRPr="00AA1BC6">
              <w:rPr>
                <w:sz w:val="22"/>
                <w:szCs w:val="22"/>
                <w:lang w:val="es-CO"/>
              </w:rPr>
              <w:t>Cromatografo de gases-detector espectrómetro de masas</w:t>
            </w:r>
          </w:p>
          <w:p w:rsidR="008E45B1" w:rsidRPr="00AA1BC6" w:rsidRDefault="008E45B1" w:rsidP="00CB70D0">
            <w:pPr>
              <w:rPr>
                <w:bCs/>
                <w:color w:val="000000"/>
              </w:rPr>
            </w:pPr>
            <w:r w:rsidRPr="00AA1BC6">
              <w:rPr>
                <w:bCs/>
                <w:color w:val="000000"/>
                <w:sz w:val="22"/>
                <w:szCs w:val="22"/>
              </w:rPr>
              <w:t>Ultrasonido</w:t>
            </w:r>
          </w:p>
          <w:p w:rsidR="008E45B1" w:rsidRPr="00AA1BC6" w:rsidRDefault="008E45B1" w:rsidP="00AA1BC6">
            <w:pPr>
              <w:jc w:val="both"/>
              <w:rPr>
                <w:lang w:val="es-CO"/>
              </w:rPr>
            </w:pPr>
            <w:r w:rsidRPr="00AA1BC6">
              <w:rPr>
                <w:bCs/>
                <w:color w:val="000000"/>
                <w:sz w:val="22"/>
                <w:szCs w:val="22"/>
              </w:rPr>
              <w:t>Derivatizador -Baño Seco</w:t>
            </w:r>
          </w:p>
        </w:tc>
        <w:tc>
          <w:tcPr>
            <w:tcW w:w="2092" w:type="dxa"/>
          </w:tcPr>
          <w:p w:rsidR="008E45B1" w:rsidRPr="00AA1BC6" w:rsidRDefault="008E45B1" w:rsidP="00AA1BC6">
            <w:pPr>
              <w:tabs>
                <w:tab w:val="left" w:pos="1134"/>
              </w:tabs>
              <w:spacing w:after="240"/>
              <w:jc w:val="both"/>
              <w:rPr>
                <w:lang w:val="es-ES"/>
              </w:rPr>
            </w:pPr>
          </w:p>
          <w:p w:rsidR="008E45B1" w:rsidRPr="00AA1BC6" w:rsidRDefault="008E45B1" w:rsidP="00AA1BC6">
            <w:pPr>
              <w:tabs>
                <w:tab w:val="left" w:pos="1134"/>
              </w:tabs>
              <w:spacing w:after="240"/>
              <w:jc w:val="both"/>
              <w:rPr>
                <w:lang w:val="es-ES"/>
              </w:rPr>
            </w:pPr>
            <w:r w:rsidRPr="00AA1BC6">
              <w:rPr>
                <w:sz w:val="22"/>
                <w:szCs w:val="22"/>
                <w:lang w:val="es-ES"/>
              </w:rPr>
              <w:t>1,304.20</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t>Lote 2</w:t>
            </w:r>
          </w:p>
        </w:tc>
        <w:tc>
          <w:tcPr>
            <w:tcW w:w="4820" w:type="dxa"/>
          </w:tcPr>
          <w:p w:rsidR="008E45B1" w:rsidRPr="00AA1BC6" w:rsidRDefault="008E45B1" w:rsidP="00CB70D0">
            <w:pPr>
              <w:rPr>
                <w:bCs/>
                <w:color w:val="000000"/>
              </w:rPr>
            </w:pPr>
            <w:r w:rsidRPr="00AA1BC6">
              <w:rPr>
                <w:bCs/>
                <w:color w:val="000000"/>
                <w:sz w:val="22"/>
                <w:szCs w:val="22"/>
              </w:rPr>
              <w:t>Rotavapor</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35.00</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t>Lote 3</w:t>
            </w:r>
          </w:p>
        </w:tc>
        <w:tc>
          <w:tcPr>
            <w:tcW w:w="4820" w:type="dxa"/>
          </w:tcPr>
          <w:p w:rsidR="008E45B1" w:rsidRPr="00AA1BC6" w:rsidRDefault="008E45B1" w:rsidP="00CB70D0">
            <w:pPr>
              <w:rPr>
                <w:bCs/>
                <w:color w:val="000000"/>
              </w:rPr>
            </w:pPr>
            <w:r w:rsidRPr="00AA1BC6">
              <w:rPr>
                <w:bCs/>
                <w:color w:val="000000"/>
                <w:sz w:val="22"/>
                <w:szCs w:val="22"/>
              </w:rPr>
              <w:t>Campana de extracción</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20.00</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t>Lote 4</w:t>
            </w:r>
          </w:p>
        </w:tc>
        <w:tc>
          <w:tcPr>
            <w:tcW w:w="4820" w:type="dxa"/>
          </w:tcPr>
          <w:p w:rsidR="008E45B1" w:rsidRPr="000F535B" w:rsidRDefault="008E45B1" w:rsidP="00CB70D0">
            <w:pPr>
              <w:rPr>
                <w:bCs/>
                <w:color w:val="000000"/>
                <w:lang w:val="es-PE"/>
              </w:rPr>
            </w:pPr>
            <w:r w:rsidRPr="000F535B">
              <w:rPr>
                <w:bCs/>
                <w:color w:val="000000"/>
                <w:sz w:val="22"/>
                <w:szCs w:val="22"/>
                <w:lang w:val="es-PE"/>
              </w:rPr>
              <w:t>Micropipetas</w:t>
            </w:r>
          </w:p>
          <w:p w:rsidR="008E45B1" w:rsidRPr="000F535B" w:rsidRDefault="008E45B1" w:rsidP="00CB70D0">
            <w:pPr>
              <w:rPr>
                <w:bCs/>
                <w:color w:val="000000"/>
                <w:lang w:val="es-PE"/>
              </w:rPr>
            </w:pPr>
            <w:r w:rsidRPr="000F535B">
              <w:rPr>
                <w:bCs/>
                <w:color w:val="000000"/>
                <w:sz w:val="22"/>
                <w:szCs w:val="22"/>
                <w:lang w:val="es-PE"/>
              </w:rPr>
              <w:t>Micropipetas de volumen adjustable 1-10 microlitros  (2)</w:t>
            </w:r>
          </w:p>
          <w:p w:rsidR="008E45B1" w:rsidRPr="00AA1BC6" w:rsidRDefault="008E45B1" w:rsidP="00CB70D0">
            <w:pPr>
              <w:rPr>
                <w:bCs/>
                <w:color w:val="000000"/>
              </w:rPr>
            </w:pPr>
            <w:r w:rsidRPr="00AA1BC6">
              <w:rPr>
                <w:bCs/>
                <w:color w:val="000000"/>
                <w:sz w:val="22"/>
                <w:szCs w:val="22"/>
              </w:rPr>
              <w:t>Pipetas electrónicas 100-5000 microlitros (2)</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14.40</w:t>
            </w:r>
          </w:p>
        </w:tc>
      </w:tr>
      <w:tr w:rsidR="008E45B1" w:rsidTr="00AA1BC6">
        <w:tc>
          <w:tcPr>
            <w:tcW w:w="1242" w:type="dxa"/>
          </w:tcPr>
          <w:p w:rsidR="008E45B1" w:rsidRPr="00AA1BC6" w:rsidRDefault="008E45B1" w:rsidP="00BD4DE9">
            <w:pPr>
              <w:rPr>
                <w:sz w:val="20"/>
                <w:szCs w:val="20"/>
                <w:lang w:val="es-PE"/>
              </w:rPr>
            </w:pPr>
            <w:r w:rsidRPr="00AA1BC6">
              <w:rPr>
                <w:sz w:val="20"/>
                <w:szCs w:val="20"/>
                <w:lang w:val="es-PE"/>
              </w:rPr>
              <w:t>Lote 5</w:t>
            </w:r>
          </w:p>
        </w:tc>
        <w:tc>
          <w:tcPr>
            <w:tcW w:w="4820" w:type="dxa"/>
          </w:tcPr>
          <w:p w:rsidR="008E45B1" w:rsidRPr="00AA1BC6" w:rsidRDefault="008E45B1" w:rsidP="00AA1BC6">
            <w:pPr>
              <w:jc w:val="both"/>
              <w:rPr>
                <w:lang w:val="es-PE"/>
              </w:rPr>
            </w:pPr>
            <w:r w:rsidRPr="00AA1BC6">
              <w:rPr>
                <w:sz w:val="22"/>
                <w:szCs w:val="22"/>
                <w:lang w:val="es-PE"/>
              </w:rPr>
              <w:t>Cromatógrafo de gases acoplado a un espectrómetro de masas  triple  cuadrúpolo</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1,358.70</w:t>
            </w:r>
          </w:p>
        </w:tc>
      </w:tr>
      <w:tr w:rsidR="008E45B1" w:rsidTr="00AA1BC6">
        <w:tc>
          <w:tcPr>
            <w:tcW w:w="1242" w:type="dxa"/>
          </w:tcPr>
          <w:p w:rsidR="008E45B1" w:rsidRPr="00AA1BC6" w:rsidRDefault="008E45B1" w:rsidP="00BD4DE9">
            <w:pPr>
              <w:rPr>
                <w:sz w:val="20"/>
                <w:szCs w:val="20"/>
              </w:rPr>
            </w:pPr>
            <w:r w:rsidRPr="00AA1BC6">
              <w:rPr>
                <w:sz w:val="20"/>
                <w:szCs w:val="20"/>
                <w:lang w:val="es-PE"/>
              </w:rPr>
              <w:t>Lote 6</w:t>
            </w:r>
          </w:p>
        </w:tc>
        <w:tc>
          <w:tcPr>
            <w:tcW w:w="4820" w:type="dxa"/>
          </w:tcPr>
          <w:p w:rsidR="008E45B1" w:rsidRPr="00AA1BC6" w:rsidRDefault="008E45B1" w:rsidP="00AA1BC6">
            <w:pPr>
              <w:jc w:val="both"/>
            </w:pPr>
            <w:r w:rsidRPr="00AA1BC6">
              <w:rPr>
                <w:sz w:val="22"/>
                <w:szCs w:val="22"/>
              </w:rPr>
              <w:t>Conductivimeto (2)</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14.90</w:t>
            </w:r>
          </w:p>
        </w:tc>
      </w:tr>
      <w:tr w:rsidR="008E45B1" w:rsidTr="00AA1BC6">
        <w:tc>
          <w:tcPr>
            <w:tcW w:w="1242" w:type="dxa"/>
          </w:tcPr>
          <w:p w:rsidR="008E45B1" w:rsidRPr="00AA1BC6" w:rsidRDefault="008E45B1" w:rsidP="00BD4DE9">
            <w:pPr>
              <w:rPr>
                <w:sz w:val="20"/>
                <w:szCs w:val="20"/>
              </w:rPr>
            </w:pPr>
            <w:r w:rsidRPr="00AA1BC6">
              <w:rPr>
                <w:sz w:val="20"/>
                <w:szCs w:val="20"/>
                <w:lang w:val="es-PE"/>
              </w:rPr>
              <w:t>Lote 7</w:t>
            </w:r>
          </w:p>
        </w:tc>
        <w:tc>
          <w:tcPr>
            <w:tcW w:w="4820" w:type="dxa"/>
          </w:tcPr>
          <w:p w:rsidR="008E45B1" w:rsidRPr="004B3E38" w:rsidRDefault="008E45B1" w:rsidP="00AA1BC6">
            <w:pPr>
              <w:jc w:val="both"/>
              <w:rPr>
                <w:color w:val="000000"/>
                <w:lang w:val="es-PE"/>
              </w:rPr>
            </w:pPr>
            <w:r w:rsidRPr="004B3E38">
              <w:rPr>
                <w:color w:val="000000"/>
                <w:sz w:val="22"/>
                <w:szCs w:val="22"/>
                <w:lang w:val="es-PE"/>
              </w:rPr>
              <w:t>Cromatógrafo liquido  de alta resolución HPLC con detectores de arreglo de diodos</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820.00</w:t>
            </w:r>
          </w:p>
        </w:tc>
      </w:tr>
      <w:tr w:rsidR="008E45B1" w:rsidTr="00AA1BC6">
        <w:tc>
          <w:tcPr>
            <w:tcW w:w="1242" w:type="dxa"/>
          </w:tcPr>
          <w:p w:rsidR="008E45B1" w:rsidRPr="00AA1BC6" w:rsidRDefault="008E45B1" w:rsidP="00BD4DE9">
            <w:pPr>
              <w:rPr>
                <w:sz w:val="20"/>
                <w:szCs w:val="20"/>
              </w:rPr>
            </w:pPr>
            <w:r w:rsidRPr="00AA1BC6">
              <w:rPr>
                <w:sz w:val="20"/>
                <w:szCs w:val="20"/>
                <w:lang w:val="es-PE"/>
              </w:rPr>
              <w:t>Lote 8</w:t>
            </w:r>
          </w:p>
        </w:tc>
        <w:tc>
          <w:tcPr>
            <w:tcW w:w="4820" w:type="dxa"/>
          </w:tcPr>
          <w:p w:rsidR="008E45B1" w:rsidRPr="00AA1BC6" w:rsidRDefault="008E45B1" w:rsidP="00AA1BC6">
            <w:pPr>
              <w:jc w:val="both"/>
              <w:rPr>
                <w:color w:val="000000"/>
                <w:lang w:val="es-PE"/>
              </w:rPr>
            </w:pPr>
            <w:r w:rsidRPr="00AA1BC6">
              <w:rPr>
                <w:color w:val="000000"/>
                <w:sz w:val="22"/>
                <w:szCs w:val="22"/>
                <w:lang w:val="es-PE"/>
              </w:rPr>
              <w:t>Cuatro Items:</w:t>
            </w:r>
          </w:p>
          <w:p w:rsidR="008E45B1" w:rsidRPr="00AA1BC6" w:rsidRDefault="008E45B1" w:rsidP="00AA1BC6">
            <w:pPr>
              <w:jc w:val="both"/>
              <w:rPr>
                <w:color w:val="000000"/>
                <w:lang w:val="es-PE"/>
              </w:rPr>
            </w:pPr>
            <w:r w:rsidRPr="00AA1BC6">
              <w:rPr>
                <w:color w:val="000000"/>
                <w:sz w:val="22"/>
                <w:szCs w:val="22"/>
                <w:lang w:val="es-PE"/>
              </w:rPr>
              <w:t>Planchas calefactoras con agitador magnético digital</w:t>
            </w:r>
          </w:p>
          <w:p w:rsidR="008E45B1" w:rsidRPr="004B3E38" w:rsidRDefault="008E45B1" w:rsidP="00AA1BC6">
            <w:pPr>
              <w:jc w:val="both"/>
              <w:rPr>
                <w:color w:val="000000"/>
                <w:lang w:val="pt-BR"/>
              </w:rPr>
            </w:pPr>
            <w:r w:rsidRPr="004B3E38">
              <w:rPr>
                <w:color w:val="000000"/>
                <w:sz w:val="22"/>
                <w:szCs w:val="22"/>
                <w:lang w:val="pt-BR"/>
              </w:rPr>
              <w:lastRenderedPageBreak/>
              <w:t>Agitador magnético con plataforma acrílica</w:t>
            </w:r>
          </w:p>
          <w:p w:rsidR="008E45B1" w:rsidRPr="004B3E38" w:rsidRDefault="008E45B1" w:rsidP="00AA1BC6">
            <w:pPr>
              <w:jc w:val="both"/>
              <w:rPr>
                <w:color w:val="000000"/>
                <w:lang w:val="pt-BR"/>
              </w:rPr>
            </w:pPr>
            <w:r w:rsidRPr="004B3E38">
              <w:rPr>
                <w:color w:val="000000"/>
                <w:sz w:val="22"/>
                <w:szCs w:val="22"/>
                <w:lang w:val="pt-BR"/>
              </w:rPr>
              <w:t>Dispensadores  de Líquidos de 50 ml</w:t>
            </w:r>
          </w:p>
          <w:p w:rsidR="008E45B1" w:rsidRPr="004B3E38" w:rsidRDefault="008E45B1" w:rsidP="00AA1BC6">
            <w:pPr>
              <w:jc w:val="both"/>
              <w:rPr>
                <w:color w:val="000000"/>
                <w:lang w:val="pt-BR"/>
              </w:rPr>
            </w:pPr>
            <w:r w:rsidRPr="004B3E38">
              <w:rPr>
                <w:sz w:val="22"/>
                <w:szCs w:val="22"/>
                <w:lang w:val="pt-BR"/>
              </w:rPr>
              <w:t>Microcentrifuga no refrigerada</w:t>
            </w:r>
          </w:p>
        </w:tc>
        <w:tc>
          <w:tcPr>
            <w:tcW w:w="2092" w:type="dxa"/>
          </w:tcPr>
          <w:p w:rsidR="008E45B1" w:rsidRPr="004B3E38" w:rsidRDefault="008E45B1" w:rsidP="00AA1BC6">
            <w:pPr>
              <w:tabs>
                <w:tab w:val="left" w:pos="1134"/>
              </w:tabs>
              <w:spacing w:after="240"/>
              <w:jc w:val="both"/>
              <w:rPr>
                <w:lang w:val="pt-BR"/>
              </w:rPr>
            </w:pPr>
          </w:p>
          <w:p w:rsidR="008E45B1" w:rsidRPr="00AA1BC6" w:rsidRDefault="008E45B1" w:rsidP="00AA1BC6">
            <w:pPr>
              <w:tabs>
                <w:tab w:val="left" w:pos="1134"/>
              </w:tabs>
              <w:spacing w:after="240"/>
              <w:jc w:val="both"/>
              <w:rPr>
                <w:lang w:val="es-ES"/>
              </w:rPr>
            </w:pPr>
            <w:r w:rsidRPr="00AA1BC6">
              <w:rPr>
                <w:sz w:val="22"/>
                <w:szCs w:val="22"/>
                <w:lang w:val="es-ES"/>
              </w:rPr>
              <w:lastRenderedPageBreak/>
              <w:t>53.10</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lastRenderedPageBreak/>
              <w:t>Lote 9</w:t>
            </w:r>
          </w:p>
        </w:tc>
        <w:tc>
          <w:tcPr>
            <w:tcW w:w="4820" w:type="dxa"/>
            <w:vAlign w:val="center"/>
          </w:tcPr>
          <w:p w:rsidR="008E45B1" w:rsidRPr="00AA1BC6" w:rsidRDefault="008E45B1" w:rsidP="00AA1BC6">
            <w:pPr>
              <w:jc w:val="both"/>
              <w:rPr>
                <w:color w:val="000000"/>
                <w:lang w:val="es-PE"/>
              </w:rPr>
            </w:pPr>
            <w:r w:rsidRPr="00AA1BC6">
              <w:rPr>
                <w:color w:val="000000"/>
                <w:sz w:val="22"/>
                <w:szCs w:val="22"/>
                <w:lang w:val="es-PE"/>
              </w:rPr>
              <w:t>Dos Items:</w:t>
            </w:r>
          </w:p>
          <w:p w:rsidR="008E45B1" w:rsidRPr="00AA1BC6" w:rsidRDefault="008E45B1" w:rsidP="00AA1BC6">
            <w:pPr>
              <w:jc w:val="both"/>
              <w:rPr>
                <w:color w:val="000000"/>
                <w:lang w:val="es-PE"/>
              </w:rPr>
            </w:pPr>
            <w:r w:rsidRPr="00AA1BC6">
              <w:rPr>
                <w:color w:val="000000"/>
                <w:sz w:val="22"/>
                <w:szCs w:val="22"/>
                <w:lang w:val="es-PE"/>
              </w:rPr>
              <w:t>Buretas Digitales automáticas de 50 ml clase A</w:t>
            </w:r>
          </w:p>
          <w:p w:rsidR="008E45B1" w:rsidRPr="00AA1BC6" w:rsidRDefault="008E45B1" w:rsidP="00AA1BC6">
            <w:pPr>
              <w:jc w:val="both"/>
              <w:rPr>
                <w:color w:val="000000"/>
                <w:lang w:val="es-PE"/>
              </w:rPr>
            </w:pPr>
            <w:r w:rsidRPr="00AA1BC6">
              <w:rPr>
                <w:color w:val="000000"/>
                <w:sz w:val="22"/>
                <w:szCs w:val="22"/>
                <w:lang w:val="es-PE"/>
              </w:rPr>
              <w:t>Cabina vertical desecadoras con medidor de temperatura y humedad y autosecador</w:t>
            </w:r>
          </w:p>
        </w:tc>
        <w:tc>
          <w:tcPr>
            <w:tcW w:w="2092" w:type="dxa"/>
          </w:tcPr>
          <w:p w:rsidR="008E45B1" w:rsidRPr="00AA1BC6" w:rsidRDefault="008E45B1" w:rsidP="00AA1BC6">
            <w:pPr>
              <w:tabs>
                <w:tab w:val="left" w:pos="1134"/>
              </w:tabs>
              <w:spacing w:after="240"/>
              <w:jc w:val="both"/>
              <w:rPr>
                <w:lang w:val="es-ES"/>
              </w:rPr>
            </w:pPr>
          </w:p>
          <w:p w:rsidR="008E45B1" w:rsidRPr="00AA1BC6" w:rsidRDefault="008E45B1" w:rsidP="00AA1BC6">
            <w:pPr>
              <w:tabs>
                <w:tab w:val="left" w:pos="1134"/>
              </w:tabs>
              <w:spacing w:after="240"/>
              <w:jc w:val="both"/>
              <w:rPr>
                <w:lang w:val="es-ES"/>
              </w:rPr>
            </w:pPr>
            <w:r w:rsidRPr="00AA1BC6">
              <w:rPr>
                <w:sz w:val="22"/>
                <w:szCs w:val="22"/>
                <w:lang w:val="es-ES"/>
              </w:rPr>
              <w:t>31.10</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t>Lote 10</w:t>
            </w:r>
          </w:p>
        </w:tc>
        <w:tc>
          <w:tcPr>
            <w:tcW w:w="4820" w:type="dxa"/>
          </w:tcPr>
          <w:p w:rsidR="008E45B1" w:rsidRPr="00AA1BC6" w:rsidRDefault="008E45B1" w:rsidP="00AA1BC6">
            <w:pPr>
              <w:jc w:val="both"/>
              <w:rPr>
                <w:lang w:val="es-PE"/>
              </w:rPr>
            </w:pPr>
            <w:r w:rsidRPr="00AA1BC6">
              <w:rPr>
                <w:sz w:val="22"/>
                <w:szCs w:val="22"/>
                <w:lang w:val="es-PE"/>
              </w:rPr>
              <w:t>Balanza analítica manos libres con Kit antiestático integrado y con kit para determinación de densidad</w:t>
            </w:r>
          </w:p>
          <w:p w:rsidR="008E45B1" w:rsidRPr="00AA1BC6" w:rsidRDefault="008E45B1" w:rsidP="00AA1BC6">
            <w:pPr>
              <w:jc w:val="both"/>
              <w:rPr>
                <w:color w:val="000000"/>
                <w:lang w:val="es-PE"/>
              </w:rPr>
            </w:pP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145.000</w:t>
            </w:r>
          </w:p>
        </w:tc>
      </w:tr>
      <w:tr w:rsidR="008E45B1" w:rsidTr="00AA1BC6">
        <w:tc>
          <w:tcPr>
            <w:tcW w:w="1242" w:type="dxa"/>
          </w:tcPr>
          <w:p w:rsidR="008E45B1" w:rsidRPr="00AA1BC6" w:rsidRDefault="008E45B1" w:rsidP="00AA1BC6">
            <w:pPr>
              <w:pStyle w:val="Blockquote"/>
              <w:spacing w:before="0" w:after="0"/>
              <w:ind w:left="0"/>
              <w:rPr>
                <w:sz w:val="20"/>
                <w:lang w:val="es-PE"/>
              </w:rPr>
            </w:pPr>
            <w:r w:rsidRPr="00AA1BC6">
              <w:rPr>
                <w:sz w:val="20"/>
                <w:lang w:val="es-PE"/>
              </w:rPr>
              <w:t>Lote 11</w:t>
            </w:r>
          </w:p>
        </w:tc>
        <w:tc>
          <w:tcPr>
            <w:tcW w:w="4820" w:type="dxa"/>
          </w:tcPr>
          <w:p w:rsidR="008E45B1" w:rsidRPr="00AA1BC6" w:rsidRDefault="008E45B1" w:rsidP="00AA1BC6">
            <w:pPr>
              <w:jc w:val="both"/>
              <w:rPr>
                <w:lang w:val="es-PE"/>
              </w:rPr>
            </w:pPr>
            <w:r w:rsidRPr="00AA1BC6">
              <w:rPr>
                <w:sz w:val="22"/>
                <w:szCs w:val="22"/>
                <w:lang w:val="es-PE"/>
              </w:rPr>
              <w:t>Dos Items:</w:t>
            </w:r>
          </w:p>
          <w:p w:rsidR="008E45B1" w:rsidRPr="00AA1BC6" w:rsidRDefault="008E45B1" w:rsidP="00AA1BC6">
            <w:pPr>
              <w:jc w:val="both"/>
              <w:rPr>
                <w:lang w:val="es-PE"/>
              </w:rPr>
            </w:pPr>
            <w:r w:rsidRPr="00AA1BC6">
              <w:rPr>
                <w:sz w:val="22"/>
                <w:szCs w:val="22"/>
                <w:lang w:val="es-PE"/>
              </w:rPr>
              <w:t>Purificadores de agua por sistemas de osmosis  inversa</w:t>
            </w:r>
          </w:p>
          <w:p w:rsidR="008E45B1" w:rsidRPr="00AA1BC6" w:rsidRDefault="008E45B1" w:rsidP="00AA1BC6">
            <w:pPr>
              <w:jc w:val="both"/>
              <w:rPr>
                <w:lang w:val="es-PE"/>
              </w:rPr>
            </w:pPr>
            <w:r w:rsidRPr="00AA1BC6">
              <w:rPr>
                <w:sz w:val="22"/>
                <w:szCs w:val="22"/>
                <w:lang w:val="es-PE"/>
              </w:rPr>
              <w:t>Filtradores de solventes para  HPLC (2)</w:t>
            </w:r>
          </w:p>
        </w:tc>
        <w:tc>
          <w:tcPr>
            <w:tcW w:w="2092" w:type="dxa"/>
          </w:tcPr>
          <w:p w:rsidR="008E45B1" w:rsidRPr="00AA1BC6" w:rsidRDefault="008E45B1" w:rsidP="00AA1BC6">
            <w:pPr>
              <w:tabs>
                <w:tab w:val="left" w:pos="1134"/>
              </w:tabs>
              <w:spacing w:after="240"/>
              <w:jc w:val="both"/>
              <w:rPr>
                <w:lang w:val="es-ES"/>
              </w:rPr>
            </w:pPr>
          </w:p>
          <w:p w:rsidR="008E45B1" w:rsidRPr="00AA1BC6" w:rsidRDefault="008E45B1" w:rsidP="00AA1BC6">
            <w:pPr>
              <w:tabs>
                <w:tab w:val="left" w:pos="1134"/>
              </w:tabs>
              <w:spacing w:after="240"/>
              <w:jc w:val="both"/>
              <w:rPr>
                <w:lang w:val="es-ES"/>
              </w:rPr>
            </w:pPr>
            <w:r w:rsidRPr="00AA1BC6">
              <w:rPr>
                <w:sz w:val="22"/>
                <w:szCs w:val="22"/>
                <w:lang w:val="es-ES"/>
              </w:rPr>
              <w:t>115.70</w:t>
            </w:r>
          </w:p>
        </w:tc>
      </w:tr>
      <w:tr w:rsidR="008E45B1" w:rsidTr="00AA1BC6">
        <w:tc>
          <w:tcPr>
            <w:tcW w:w="1242" w:type="dxa"/>
          </w:tcPr>
          <w:p w:rsidR="008E45B1" w:rsidRPr="00AA1BC6" w:rsidRDefault="008E45B1" w:rsidP="00AA1BC6">
            <w:pPr>
              <w:pStyle w:val="Blockquote"/>
              <w:spacing w:before="0" w:after="0"/>
              <w:ind w:left="0"/>
              <w:rPr>
                <w:sz w:val="20"/>
                <w:lang w:val="es-ES_tradnl"/>
              </w:rPr>
            </w:pPr>
            <w:r w:rsidRPr="00AA1BC6">
              <w:rPr>
                <w:sz w:val="20"/>
                <w:lang w:val="es-ES_tradnl"/>
              </w:rPr>
              <w:t>Lote 12</w:t>
            </w:r>
          </w:p>
        </w:tc>
        <w:tc>
          <w:tcPr>
            <w:tcW w:w="4820" w:type="dxa"/>
          </w:tcPr>
          <w:p w:rsidR="008E45B1" w:rsidRPr="00AA1BC6" w:rsidRDefault="008E45B1" w:rsidP="00AA1BC6">
            <w:pPr>
              <w:jc w:val="both"/>
              <w:rPr>
                <w:lang w:val="es-PE"/>
              </w:rPr>
            </w:pPr>
            <w:r w:rsidRPr="00AA1BC6">
              <w:rPr>
                <w:sz w:val="22"/>
                <w:szCs w:val="22"/>
                <w:lang w:val="es-PE"/>
              </w:rPr>
              <w:t>Rotavapor acoplado con  multivapor y bomba de vacio</w:t>
            </w:r>
          </w:p>
          <w:p w:rsidR="008E45B1" w:rsidRPr="00AA1BC6" w:rsidRDefault="008E45B1" w:rsidP="00AA1BC6">
            <w:pPr>
              <w:jc w:val="both"/>
              <w:rPr>
                <w:lang w:val="es-PE"/>
              </w:rPr>
            </w:pP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210.00</w:t>
            </w:r>
          </w:p>
        </w:tc>
      </w:tr>
      <w:tr w:rsidR="008E45B1" w:rsidTr="00AA1BC6">
        <w:tc>
          <w:tcPr>
            <w:tcW w:w="1242" w:type="dxa"/>
          </w:tcPr>
          <w:p w:rsidR="008E45B1" w:rsidRPr="00AA1BC6" w:rsidRDefault="008E45B1" w:rsidP="00AA1BC6">
            <w:pPr>
              <w:pStyle w:val="Blockquote"/>
              <w:spacing w:before="0" w:after="0"/>
              <w:ind w:left="0"/>
              <w:rPr>
                <w:sz w:val="20"/>
                <w:lang w:val="es-ES_tradnl"/>
              </w:rPr>
            </w:pPr>
            <w:r w:rsidRPr="00AA1BC6">
              <w:rPr>
                <w:sz w:val="20"/>
                <w:lang w:val="es-ES_tradnl"/>
              </w:rPr>
              <w:t>Lote 13</w:t>
            </w:r>
          </w:p>
        </w:tc>
        <w:tc>
          <w:tcPr>
            <w:tcW w:w="4820" w:type="dxa"/>
          </w:tcPr>
          <w:p w:rsidR="008E45B1" w:rsidRPr="00AA1BC6" w:rsidRDefault="008E45B1" w:rsidP="00AA1BC6">
            <w:pPr>
              <w:jc w:val="both"/>
              <w:rPr>
                <w:color w:val="FF0000"/>
                <w:lang w:val="es-PE"/>
              </w:rPr>
            </w:pPr>
            <w:r w:rsidRPr="00AA1BC6">
              <w:rPr>
                <w:sz w:val="22"/>
                <w:szCs w:val="22"/>
                <w:lang w:val="es-PE"/>
              </w:rPr>
              <w:t>Equipo de Cromatografía liquida de Ultra alta Perfomance “Ultra High Performance Liquid Chromatography”   - UHPLC</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650.00</w:t>
            </w:r>
          </w:p>
        </w:tc>
      </w:tr>
      <w:tr w:rsidR="008E45B1" w:rsidTr="00AA1BC6">
        <w:tc>
          <w:tcPr>
            <w:tcW w:w="1242" w:type="dxa"/>
          </w:tcPr>
          <w:p w:rsidR="008E45B1" w:rsidRPr="00AA1BC6" w:rsidRDefault="008E45B1" w:rsidP="00AA1BC6">
            <w:pPr>
              <w:pStyle w:val="Blockquote"/>
              <w:spacing w:before="0" w:after="0"/>
              <w:ind w:left="0"/>
              <w:rPr>
                <w:sz w:val="20"/>
                <w:lang w:val="es-ES_tradnl"/>
              </w:rPr>
            </w:pPr>
            <w:r w:rsidRPr="00AA1BC6">
              <w:rPr>
                <w:sz w:val="20"/>
                <w:lang w:val="es-ES_tradnl"/>
              </w:rPr>
              <w:t>Lote 14</w:t>
            </w:r>
          </w:p>
        </w:tc>
        <w:tc>
          <w:tcPr>
            <w:tcW w:w="4820" w:type="dxa"/>
          </w:tcPr>
          <w:p w:rsidR="008E45B1" w:rsidRPr="00AA1BC6" w:rsidRDefault="008E45B1" w:rsidP="00AA1BC6">
            <w:pPr>
              <w:jc w:val="both"/>
              <w:rPr>
                <w:lang w:val="es-PE"/>
              </w:rPr>
            </w:pPr>
            <w:r w:rsidRPr="00AA1BC6">
              <w:rPr>
                <w:sz w:val="22"/>
                <w:szCs w:val="22"/>
                <w:lang w:val="es-PE"/>
              </w:rPr>
              <w:t>Espectrofotómetro de absorción  y emisión atómica  compacto optimizado para  flama y horno de grafito  con calentamiento transversal.</w:t>
            </w:r>
          </w:p>
        </w:tc>
        <w:tc>
          <w:tcPr>
            <w:tcW w:w="2092" w:type="dxa"/>
          </w:tcPr>
          <w:p w:rsidR="008E45B1" w:rsidRPr="00AA1BC6" w:rsidRDefault="008E45B1" w:rsidP="00AA1BC6">
            <w:pPr>
              <w:tabs>
                <w:tab w:val="left" w:pos="1134"/>
              </w:tabs>
              <w:spacing w:after="240"/>
              <w:jc w:val="both"/>
              <w:rPr>
                <w:lang w:val="es-ES"/>
              </w:rPr>
            </w:pPr>
            <w:r w:rsidRPr="00AA1BC6">
              <w:rPr>
                <w:sz w:val="22"/>
                <w:szCs w:val="22"/>
                <w:lang w:val="es-ES"/>
              </w:rPr>
              <w:t>725.00</w:t>
            </w:r>
          </w:p>
        </w:tc>
      </w:tr>
    </w:tbl>
    <w:p w:rsidR="008E45B1" w:rsidRPr="00D2211D" w:rsidRDefault="008E45B1" w:rsidP="00490F55">
      <w:pPr>
        <w:tabs>
          <w:tab w:val="left" w:pos="1134"/>
        </w:tabs>
        <w:spacing w:after="240"/>
        <w:ind w:left="1134"/>
        <w:jc w:val="both"/>
        <w:rPr>
          <w:sz w:val="22"/>
          <w:lang w:val="es-ES"/>
        </w:rPr>
      </w:pPr>
    </w:p>
    <w:p w:rsidR="008E45B1" w:rsidRPr="00D2211D" w:rsidRDefault="008E45B1" w:rsidP="00490F55">
      <w:pPr>
        <w:numPr>
          <w:ilvl w:val="0"/>
          <w:numId w:val="7"/>
        </w:numPr>
        <w:tabs>
          <w:tab w:val="clear" w:pos="1452"/>
          <w:tab w:val="left" w:pos="1134"/>
        </w:tabs>
        <w:spacing w:after="240"/>
        <w:ind w:left="1134" w:hanging="414"/>
        <w:jc w:val="both"/>
        <w:rPr>
          <w:sz w:val="22"/>
          <w:lang w:val="es-ES"/>
        </w:rPr>
      </w:pPr>
      <w:r w:rsidRPr="00D2211D">
        <w:rPr>
          <w:sz w:val="22"/>
          <w:lang w:val="es-ES"/>
        </w:rPr>
        <w:t>El “Formulario de presentación de una oferta para un contrato de suministros”, debidamente completado, que incluya la declaración del licitador, punto 7, (de cada miembro en caso de un consorcio):</w:t>
      </w:r>
    </w:p>
    <w:p w:rsidR="008E45B1" w:rsidRPr="00D2211D" w:rsidRDefault="008E45B1" w:rsidP="00490F55">
      <w:pPr>
        <w:numPr>
          <w:ilvl w:val="0"/>
          <w:numId w:val="7"/>
        </w:numPr>
        <w:tabs>
          <w:tab w:val="clear" w:pos="1452"/>
          <w:tab w:val="left" w:pos="1134"/>
        </w:tabs>
        <w:spacing w:after="240"/>
        <w:ind w:left="1134" w:hanging="414"/>
        <w:jc w:val="both"/>
        <w:rPr>
          <w:sz w:val="22"/>
          <w:lang w:val="es-ES"/>
        </w:rPr>
      </w:pPr>
      <w:r w:rsidRPr="00D2211D">
        <w:rPr>
          <w:sz w:val="22"/>
          <w:lang w:val="es-ES"/>
        </w:rPr>
        <w:t>Los datos de la cuenta bancaria en la que deban efectuarse los pagos (hoja de identificación financiera)</w:t>
      </w:r>
      <w:r>
        <w:rPr>
          <w:sz w:val="22"/>
          <w:lang w:val="es-ES"/>
        </w:rPr>
        <w:t>.</w:t>
      </w:r>
      <w:r w:rsidRPr="00D2211D">
        <w:rPr>
          <w:sz w:val="22"/>
          <w:lang w:val="es-ES"/>
        </w:rPr>
        <w:t xml:space="preserve"> (Cuando el licitador ha firmado ya otro contrato con la Comisión Europea, éste puede proporcionar en vez de la ficha de identificación financiera, bien su número de hoja de identificación financiera o una copia de la hoja de identificación financiera proporcionada para esa ocasión, a menos que se produzca un cambio mientras tanto).</w:t>
      </w:r>
    </w:p>
    <w:p w:rsidR="008E45B1" w:rsidRPr="00D2211D" w:rsidRDefault="008E45B1" w:rsidP="00490F55">
      <w:pPr>
        <w:numPr>
          <w:ilvl w:val="0"/>
          <w:numId w:val="7"/>
        </w:numPr>
        <w:tabs>
          <w:tab w:val="clear" w:pos="1452"/>
          <w:tab w:val="left" w:pos="1134"/>
        </w:tabs>
        <w:spacing w:after="240"/>
        <w:ind w:left="1134" w:hanging="414"/>
        <w:jc w:val="both"/>
        <w:rPr>
          <w:sz w:val="22"/>
          <w:lang w:val="es-ES"/>
        </w:rPr>
      </w:pPr>
      <w:r w:rsidRPr="00D2211D">
        <w:rPr>
          <w:sz w:val="22"/>
          <w:lang w:val="es-ES"/>
        </w:rPr>
        <w:t>La ficha de entidad legal y los documentos justificativos (Cuando el licitador ha firmado ya otro contrato con la Comisión Europea, éste puede proporcionar en vez de la ficha de entidad legal y los documentos justificativos, bien su número de entidad legal o bien una copia de la ficha de entidad legal proporcionada para esa ocasión, a menos que un cambio en su personalidad jurídica se produzca mientras tanto).</w:t>
      </w:r>
    </w:p>
    <w:p w:rsidR="008E45B1" w:rsidRPr="000523BD" w:rsidRDefault="008E45B1" w:rsidP="00490F55">
      <w:pPr>
        <w:spacing w:after="240"/>
        <w:ind w:left="720"/>
        <w:rPr>
          <w:sz w:val="22"/>
          <w:szCs w:val="22"/>
          <w:lang w:val="es-AR"/>
        </w:rPr>
      </w:pPr>
      <w:r w:rsidRPr="008D73E7">
        <w:rPr>
          <w:sz w:val="22"/>
          <w:szCs w:val="22"/>
        </w:rPr>
        <w:t xml:space="preserve">Preséntense en </w:t>
      </w:r>
      <w:r w:rsidRPr="000523BD">
        <w:rPr>
          <w:sz w:val="22"/>
          <w:szCs w:val="22"/>
          <w:lang w:val="es-AR"/>
        </w:rPr>
        <w:t>tres formatos:</w:t>
      </w:r>
    </w:p>
    <w:p w:rsidR="008E45B1" w:rsidRPr="008D73E7" w:rsidRDefault="008E45B1" w:rsidP="00490F55">
      <w:pPr>
        <w:numPr>
          <w:ilvl w:val="0"/>
          <w:numId w:val="7"/>
        </w:numPr>
        <w:tabs>
          <w:tab w:val="clear" w:pos="1452"/>
          <w:tab w:val="left" w:pos="1134"/>
        </w:tabs>
        <w:spacing w:after="240"/>
        <w:ind w:left="1134" w:hanging="414"/>
        <w:jc w:val="both"/>
        <w:rPr>
          <w:sz w:val="22"/>
          <w:szCs w:val="22"/>
          <w:lang w:val="es-ES"/>
        </w:rPr>
      </w:pPr>
      <w:r w:rsidRPr="008D73E7">
        <w:rPr>
          <w:sz w:val="22"/>
          <w:szCs w:val="22"/>
          <w:lang w:val="es-ES"/>
        </w:rPr>
        <w:t>Una descripción de la</w:t>
      </w:r>
      <w:r>
        <w:rPr>
          <w:sz w:val="22"/>
          <w:szCs w:val="22"/>
          <w:lang w:val="es-ES"/>
        </w:rPr>
        <w:t>s condiciones de</w:t>
      </w:r>
      <w:r w:rsidRPr="008D73E7">
        <w:rPr>
          <w:sz w:val="22"/>
          <w:szCs w:val="22"/>
          <w:lang w:val="es-ES"/>
        </w:rPr>
        <w:t xml:space="preserve"> garantía, que deberá cumplir las condiciones establecidas en el artículo 32 de las Condiciones Generales.</w:t>
      </w:r>
    </w:p>
    <w:p w:rsidR="008E45B1" w:rsidRPr="006B4A4C" w:rsidRDefault="008E45B1" w:rsidP="00490F55">
      <w:pPr>
        <w:numPr>
          <w:ilvl w:val="0"/>
          <w:numId w:val="7"/>
        </w:numPr>
        <w:tabs>
          <w:tab w:val="clear" w:pos="1452"/>
          <w:tab w:val="left" w:pos="1134"/>
        </w:tabs>
        <w:spacing w:after="240"/>
        <w:ind w:left="1134" w:hanging="414"/>
        <w:jc w:val="both"/>
        <w:rPr>
          <w:lang w:val="es-ES"/>
        </w:rPr>
      </w:pPr>
      <w:r w:rsidRPr="006B4A4C">
        <w:rPr>
          <w:sz w:val="22"/>
          <w:lang w:val="es-ES"/>
        </w:rPr>
        <w:t>Una descripción de la organización que presta la garantía de la oferta, que deberá cumplir con las condiciones establecidas en el artículo 32 de las Condiciones Particulares.</w:t>
      </w:r>
    </w:p>
    <w:p w:rsidR="008E45B1" w:rsidRPr="008D73E7" w:rsidRDefault="008E45B1" w:rsidP="00490F55">
      <w:pPr>
        <w:numPr>
          <w:ilvl w:val="0"/>
          <w:numId w:val="7"/>
        </w:numPr>
        <w:tabs>
          <w:tab w:val="clear" w:pos="1452"/>
          <w:tab w:val="left" w:pos="1134"/>
        </w:tabs>
        <w:spacing w:after="240"/>
        <w:ind w:left="1134" w:hanging="414"/>
        <w:jc w:val="both"/>
        <w:rPr>
          <w:sz w:val="22"/>
          <w:lang w:val="es-ES"/>
        </w:rPr>
      </w:pPr>
      <w:bookmarkStart w:id="123" w:name="_Toc39462854"/>
      <w:bookmarkStart w:id="124" w:name="_Toc39462284"/>
      <w:r w:rsidRPr="008D73E7">
        <w:rPr>
          <w:sz w:val="22"/>
          <w:lang w:val="es-ES"/>
        </w:rPr>
        <w:t>Una declaración del licitador que atestigüe el origen de los suministros incluidos en la oferta (</w:t>
      </w:r>
      <w:r>
        <w:rPr>
          <w:sz w:val="22"/>
          <w:lang w:val="es-ES"/>
        </w:rPr>
        <w:t>u</w:t>
      </w:r>
      <w:r w:rsidRPr="008D73E7">
        <w:rPr>
          <w:sz w:val="22"/>
          <w:lang w:val="es-ES"/>
        </w:rPr>
        <w:t xml:space="preserve"> otras pruebas de origen).</w:t>
      </w:r>
      <w:bookmarkEnd w:id="123"/>
      <w:bookmarkEnd w:id="124"/>
    </w:p>
    <w:p w:rsidR="008E45B1" w:rsidRPr="008D73E7" w:rsidRDefault="008E45B1" w:rsidP="00490F55">
      <w:pPr>
        <w:numPr>
          <w:ilvl w:val="0"/>
          <w:numId w:val="7"/>
        </w:numPr>
        <w:tabs>
          <w:tab w:val="clear" w:pos="1452"/>
          <w:tab w:val="left" w:pos="1134"/>
        </w:tabs>
        <w:spacing w:after="240"/>
        <w:ind w:left="1134" w:hanging="414"/>
        <w:jc w:val="both"/>
        <w:rPr>
          <w:sz w:val="22"/>
          <w:lang w:val="es-ES"/>
        </w:rPr>
      </w:pPr>
      <w:bookmarkStart w:id="125" w:name="_Toc39462855"/>
      <w:bookmarkStart w:id="126" w:name="_Toc39462285"/>
      <w:r w:rsidRPr="008D73E7">
        <w:rPr>
          <w:sz w:val="22"/>
          <w:lang w:val="es-ES"/>
        </w:rPr>
        <w:lastRenderedPageBreak/>
        <w:t>La firma debidamente autorizada:</w:t>
      </w:r>
      <w:bookmarkEnd w:id="125"/>
      <w:bookmarkEnd w:id="126"/>
      <w:r w:rsidRPr="008D73E7">
        <w:rPr>
          <w:sz w:val="22"/>
          <w:lang w:val="es-ES"/>
        </w:rPr>
        <w:t xml:space="preserve"> un documento oficial (estatutos, poderes de representación, acta notarial, etc.) que pruebe que la persona que firma en nombre de la compañía/asociación temporal de empresas/consorcio está debidamente autorizada para hacerlo.</w:t>
      </w:r>
    </w:p>
    <w:p w:rsidR="008E45B1" w:rsidRPr="000523BD" w:rsidRDefault="008E45B1" w:rsidP="00490F55">
      <w:pPr>
        <w:spacing w:after="240"/>
        <w:ind w:left="567"/>
        <w:jc w:val="both"/>
        <w:outlineLvl w:val="0"/>
        <w:rPr>
          <w:sz w:val="22"/>
          <w:szCs w:val="22"/>
          <w:lang w:val="es-DO"/>
        </w:rPr>
      </w:pPr>
      <w:r w:rsidRPr="000523BD">
        <w:rPr>
          <w:sz w:val="22"/>
          <w:szCs w:val="22"/>
          <w:lang w:val="es-DO"/>
        </w:rPr>
        <w:t>Observaciones:</w:t>
      </w:r>
    </w:p>
    <w:p w:rsidR="008E45B1" w:rsidRPr="008D73E7" w:rsidRDefault="008E45B1" w:rsidP="00490F55">
      <w:pPr>
        <w:spacing w:after="240"/>
        <w:ind w:left="567"/>
        <w:rPr>
          <w:sz w:val="22"/>
          <w:szCs w:val="22"/>
          <w:lang w:val="es-ES"/>
        </w:rPr>
      </w:pPr>
      <w:r w:rsidRPr="008D73E7">
        <w:rPr>
          <w:sz w:val="22"/>
          <w:szCs w:val="22"/>
          <w:lang w:val="es-ES"/>
        </w:rPr>
        <w:t>Se solicita a los licitadores que sigan este orden de presentación.</w:t>
      </w:r>
    </w:p>
    <w:p w:rsidR="008E45B1" w:rsidRPr="002D63A4" w:rsidRDefault="008E45B1" w:rsidP="00490F55">
      <w:pPr>
        <w:spacing w:after="240"/>
        <w:ind w:left="567"/>
        <w:rPr>
          <w:lang w:val="es-PE"/>
        </w:rPr>
      </w:pPr>
      <w:r w:rsidRPr="008D73E7">
        <w:rPr>
          <w:sz w:val="22"/>
          <w:szCs w:val="22"/>
          <w:lang w:val="es-ES"/>
        </w:rPr>
        <w:t xml:space="preserve">El Anexo* hace referencia a los modelos adjuntos al expediente de licitación. Estos modelos se encuentran también disponibles en: </w:t>
      </w:r>
      <w:hyperlink r:id="rId8" w:history="1">
        <w:r w:rsidRPr="00235375">
          <w:rPr>
            <w:rStyle w:val="Hipervnculo"/>
            <w:sz w:val="22"/>
            <w:szCs w:val="22"/>
            <w:lang w:val="es-PE"/>
          </w:rPr>
          <w:t>http://ec.europa.eu/europeaid/work/procedures/index_es.htm</w:t>
        </w:r>
      </w:hyperlink>
    </w:p>
    <w:p w:rsidR="008E45B1" w:rsidRPr="00B75AA2" w:rsidRDefault="008E45B1" w:rsidP="00490F55">
      <w:pPr>
        <w:spacing w:after="240"/>
        <w:ind w:left="567"/>
        <w:rPr>
          <w:sz w:val="22"/>
          <w:szCs w:val="22"/>
          <w:lang w:val="es-ES"/>
        </w:rPr>
      </w:pPr>
      <w:r w:rsidRPr="00B75AA2">
        <w:rPr>
          <w:lang w:val="es-PE"/>
        </w:rPr>
        <w:t>No incluir disquete o CD-ROM con la versión impresa de las ofertas</w:t>
      </w:r>
    </w:p>
    <w:p w:rsidR="008E45B1" w:rsidRDefault="008E45B1" w:rsidP="00490F55">
      <w:pPr>
        <w:pStyle w:val="Ttulo1"/>
        <w:numPr>
          <w:ilvl w:val="0"/>
          <w:numId w:val="4"/>
        </w:numPr>
        <w:spacing w:before="0" w:after="240"/>
        <w:ind w:left="567" w:hanging="567"/>
        <w:rPr>
          <w:rFonts w:ascii="Times New Roman" w:hAnsi="Times New Roman"/>
          <w:i w:val="0"/>
          <w:sz w:val="24"/>
          <w:szCs w:val="24"/>
        </w:rPr>
      </w:pPr>
      <w:r>
        <w:rPr>
          <w:rFonts w:ascii="Times New Roman" w:hAnsi="Times New Roman"/>
          <w:i w:val="0"/>
          <w:sz w:val="24"/>
          <w:szCs w:val="24"/>
        </w:rPr>
        <w:t>Tasas y otros derechos</w:t>
      </w:r>
    </w:p>
    <w:p w:rsidR="008E45B1" w:rsidRPr="00B54A76" w:rsidRDefault="008E45B1" w:rsidP="00490F55">
      <w:pPr>
        <w:spacing w:before="120"/>
        <w:ind w:left="567"/>
        <w:jc w:val="both"/>
        <w:rPr>
          <w:sz w:val="22"/>
          <w:szCs w:val="22"/>
          <w:lang w:val="es-ES_tradnl"/>
        </w:rPr>
      </w:pPr>
      <w:r w:rsidRPr="00B54A76">
        <w:rPr>
          <w:sz w:val="22"/>
          <w:szCs w:val="22"/>
          <w:lang w:val="es-ES_tradnl"/>
        </w:rPr>
        <w:t xml:space="preserve">No hay acuerdo entre la Comisión Europea y </w:t>
      </w:r>
      <w:r>
        <w:rPr>
          <w:sz w:val="22"/>
          <w:szCs w:val="22"/>
          <w:lang w:val="es-ES_tradnl"/>
        </w:rPr>
        <w:t xml:space="preserve"> la Comunidad Andina</w:t>
      </w:r>
      <w:r w:rsidRPr="00B54A76">
        <w:rPr>
          <w:sz w:val="22"/>
          <w:szCs w:val="22"/>
          <w:lang w:val="es-ES_tradnl"/>
        </w:rPr>
        <w:t xml:space="preserve"> </w:t>
      </w:r>
      <w:r>
        <w:rPr>
          <w:sz w:val="22"/>
          <w:szCs w:val="22"/>
          <w:lang w:val="es-ES_tradnl"/>
        </w:rPr>
        <w:t>por el que los impuestos estén parcial o totalmente exentos. Los beneficiarios finales realizarán los trámites  de exenciones que aplique.</w:t>
      </w:r>
    </w:p>
    <w:p w:rsidR="008E45B1" w:rsidRDefault="008E45B1" w:rsidP="00490F55">
      <w:pPr>
        <w:spacing w:after="240"/>
        <w:jc w:val="both"/>
        <w:rPr>
          <w:sz w:val="22"/>
          <w:lang w:val="es-ES_tradnl"/>
        </w:rPr>
      </w:pP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27" w:name="_Toc43004179"/>
      <w:bookmarkStart w:id="128" w:name="_Toc39896810"/>
      <w:bookmarkStart w:id="129" w:name="_Toc39463052"/>
      <w:bookmarkStart w:id="130" w:name="_Toc39462868"/>
      <w:bookmarkStart w:id="131" w:name="_Toc39462296"/>
      <w:r w:rsidRPr="00106900">
        <w:rPr>
          <w:rFonts w:ascii="Times New Roman" w:hAnsi="Times New Roman"/>
          <w:i w:val="0"/>
          <w:sz w:val="24"/>
          <w:szCs w:val="24"/>
        </w:rPr>
        <w:t>Información complementaria antes de que finalice el plazo de presentación de las ofertas</w:t>
      </w:r>
      <w:bookmarkEnd w:id="127"/>
      <w:bookmarkEnd w:id="128"/>
      <w:bookmarkEnd w:id="129"/>
      <w:bookmarkEnd w:id="130"/>
      <w:bookmarkEnd w:id="131"/>
    </w:p>
    <w:p w:rsidR="008E45B1" w:rsidRPr="008D73E7" w:rsidRDefault="008E45B1" w:rsidP="00490F55">
      <w:pPr>
        <w:spacing w:after="240"/>
        <w:ind w:left="567"/>
        <w:jc w:val="both"/>
        <w:rPr>
          <w:sz w:val="22"/>
          <w:lang w:val="es-ES"/>
        </w:rPr>
      </w:pPr>
      <w:r w:rsidRPr="008D73E7">
        <w:rPr>
          <w:sz w:val="22"/>
          <w:lang w:val="es-ES"/>
        </w:rPr>
        <w:t>El expediente de licitación debe ser lo suficientemente claro como para evitar que los licitadores tengan que solicitar información complementaria en el curso del procedimiento. Si el Órgano de Contratación, por iniciativa propia o a instancia de un potencial licitador, proporciona información complementaria sobre el expediente de licitación, debe hacerlo por escrito y simultáneamente a todos los demás licitadores.</w:t>
      </w:r>
    </w:p>
    <w:p w:rsidR="008E45B1" w:rsidRPr="008D73E7" w:rsidRDefault="008E45B1" w:rsidP="00490F55">
      <w:pPr>
        <w:keepNext/>
        <w:spacing w:after="240"/>
        <w:ind w:left="567"/>
        <w:jc w:val="both"/>
        <w:rPr>
          <w:sz w:val="22"/>
          <w:lang w:val="es-ES"/>
        </w:rPr>
      </w:pPr>
      <w:r w:rsidRPr="008D73E7">
        <w:rPr>
          <w:sz w:val="22"/>
          <w:lang w:val="es-ES"/>
        </w:rPr>
        <w:t xml:space="preserve">Los licitadores potenciales pueden enviar sus consultas por escrito hasta 21 días antes de la fecha límite de presentación de las ofertas, especificando la </w:t>
      </w:r>
      <w:r w:rsidRPr="008D73E7">
        <w:rPr>
          <w:b/>
          <w:sz w:val="22"/>
          <w:lang w:val="es-ES"/>
        </w:rPr>
        <w:t>referencia de publicación</w:t>
      </w:r>
      <w:r w:rsidRPr="008D73E7">
        <w:rPr>
          <w:sz w:val="22"/>
          <w:lang w:val="es-ES"/>
        </w:rPr>
        <w:t xml:space="preserve"> y </w:t>
      </w:r>
      <w:r w:rsidRPr="008D73E7">
        <w:rPr>
          <w:b/>
          <w:sz w:val="22"/>
          <w:lang w:val="es-ES"/>
        </w:rPr>
        <w:t>el título del contrato</w:t>
      </w:r>
      <w:r w:rsidRPr="008D73E7">
        <w:rPr>
          <w:sz w:val="22"/>
          <w:lang w:val="es-ES"/>
        </w:rPr>
        <w:t xml:space="preserve"> a la siguiente dirección:</w:t>
      </w:r>
    </w:p>
    <w:p w:rsidR="008E45B1" w:rsidRDefault="008E45B1" w:rsidP="00490F55">
      <w:pPr>
        <w:pStyle w:val="Textoindependiente"/>
        <w:spacing w:before="0" w:after="240"/>
        <w:ind w:left="567"/>
        <w:rPr>
          <w:rFonts w:ascii="Times New Roman" w:hAnsi="Times New Roman"/>
          <w:sz w:val="22"/>
        </w:rPr>
      </w:pPr>
      <w:r w:rsidRPr="00026094">
        <w:rPr>
          <w:rFonts w:ascii="Times New Roman" w:hAnsi="Times New Roman"/>
          <w:sz w:val="22"/>
        </w:rPr>
        <w:t>Nombre de la persona de contacto</w:t>
      </w:r>
      <w:r>
        <w:rPr>
          <w:rFonts w:ascii="Times New Roman" w:hAnsi="Times New Roman"/>
          <w:sz w:val="22"/>
        </w:rPr>
        <w:t>: Santiago Segovia Larrea</w:t>
      </w:r>
      <w:r w:rsidRPr="00026094">
        <w:rPr>
          <w:rFonts w:ascii="Times New Roman" w:hAnsi="Times New Roman"/>
          <w:sz w:val="22"/>
        </w:rPr>
        <w:br/>
        <w:t>Dirección</w:t>
      </w:r>
      <w:r>
        <w:rPr>
          <w:rFonts w:ascii="Times New Roman" w:hAnsi="Times New Roman"/>
          <w:sz w:val="22"/>
        </w:rPr>
        <w:t>: Av. Aramburú Cdra. 4 esquina con Paseo de la República, San Isidro, Lima- Perú</w:t>
      </w:r>
      <w:r w:rsidRPr="00026094">
        <w:rPr>
          <w:rFonts w:ascii="Times New Roman" w:hAnsi="Times New Roman"/>
          <w:sz w:val="22"/>
        </w:rPr>
        <w:br/>
        <w:t>Número de fax</w:t>
      </w:r>
      <w:r>
        <w:rPr>
          <w:rFonts w:ascii="Times New Roman" w:hAnsi="Times New Roman"/>
          <w:sz w:val="22"/>
        </w:rPr>
        <w:t xml:space="preserve">: </w:t>
      </w:r>
      <w:r w:rsidRPr="005B2CF0">
        <w:rPr>
          <w:rFonts w:ascii="Times New Roman" w:hAnsi="Times New Roman"/>
          <w:sz w:val="22"/>
        </w:rPr>
        <w:t>243- 7535</w:t>
      </w:r>
      <w:r>
        <w:rPr>
          <w:rFonts w:ascii="Times New Roman" w:hAnsi="Times New Roman"/>
          <w:sz w:val="22"/>
        </w:rPr>
        <w:t xml:space="preserve"> </w:t>
      </w:r>
      <w:r w:rsidRPr="00026094">
        <w:rPr>
          <w:rFonts w:ascii="Times New Roman" w:hAnsi="Times New Roman"/>
          <w:sz w:val="22"/>
        </w:rPr>
        <w:br/>
        <w:t>Dirección de correo electrónico</w:t>
      </w:r>
      <w:r>
        <w:rPr>
          <w:rFonts w:ascii="Times New Roman" w:hAnsi="Times New Roman"/>
          <w:sz w:val="22"/>
        </w:rPr>
        <w:t xml:space="preserve">: </w:t>
      </w:r>
      <w:hyperlink r:id="rId9" w:history="1">
        <w:r w:rsidRPr="00D435DC">
          <w:rPr>
            <w:rStyle w:val="Hipervnculo"/>
            <w:rFonts w:ascii="Times New Roman" w:hAnsi="Times New Roman"/>
            <w:sz w:val="22"/>
          </w:rPr>
          <w:t>intercan@comunidadandina.</w:t>
        </w:r>
        <w:r>
          <w:rPr>
            <w:rStyle w:val="Hipervnculo"/>
            <w:rFonts w:ascii="Times New Roman" w:hAnsi="Times New Roman"/>
            <w:sz w:val="22"/>
          </w:rPr>
          <w:t>org</w:t>
        </w:r>
      </w:hyperlink>
      <w:r>
        <w:rPr>
          <w:rFonts w:ascii="Times New Roman" w:hAnsi="Times New Roman"/>
          <w:sz w:val="22"/>
        </w:rPr>
        <w:t xml:space="preserve">  y </w:t>
      </w:r>
      <w:hyperlink r:id="rId10" w:history="1">
        <w:r w:rsidRPr="00D435DC">
          <w:rPr>
            <w:rStyle w:val="Hipervnculo"/>
            <w:rFonts w:ascii="Times New Roman" w:hAnsi="Times New Roman"/>
            <w:sz w:val="22"/>
          </w:rPr>
          <w:t>ssegovia@comunidadandina.org</w:t>
        </w:r>
      </w:hyperlink>
    </w:p>
    <w:p w:rsidR="008E45B1" w:rsidRPr="008D73E7" w:rsidRDefault="008E45B1" w:rsidP="00490F55">
      <w:pPr>
        <w:pStyle w:val="Textoindependiente"/>
        <w:spacing w:before="0" w:after="240"/>
        <w:ind w:left="567"/>
        <w:jc w:val="both"/>
        <w:rPr>
          <w:rFonts w:ascii="Times New Roman" w:hAnsi="Times New Roman"/>
        </w:rPr>
      </w:pPr>
      <w:r w:rsidRPr="008D73E7">
        <w:rPr>
          <w:rFonts w:ascii="Times New Roman" w:hAnsi="Times New Roman"/>
          <w:sz w:val="22"/>
        </w:rPr>
        <w:t>Después de esta fecha</w:t>
      </w:r>
      <w:r>
        <w:rPr>
          <w:rFonts w:ascii="Times New Roman" w:hAnsi="Times New Roman"/>
          <w:sz w:val="22"/>
        </w:rPr>
        <w:t xml:space="preserve"> el Órgano de Contratación no estará obligado a </w:t>
      </w:r>
      <w:r w:rsidRPr="008D73E7">
        <w:rPr>
          <w:rFonts w:ascii="Times New Roman" w:hAnsi="Times New Roman"/>
          <w:sz w:val="22"/>
        </w:rPr>
        <w:t xml:space="preserve"> dar más aclaraciones.</w:t>
      </w:r>
    </w:p>
    <w:p w:rsidR="008E45B1" w:rsidRDefault="008E45B1" w:rsidP="00490F55">
      <w:pPr>
        <w:pStyle w:val="Textoindependiente"/>
        <w:spacing w:before="0" w:after="240"/>
        <w:ind w:left="567"/>
        <w:jc w:val="both"/>
        <w:rPr>
          <w:rFonts w:ascii="Times New Roman" w:hAnsi="Times New Roman"/>
          <w:sz w:val="22"/>
        </w:rPr>
      </w:pPr>
      <w:r w:rsidRPr="008D73E7">
        <w:rPr>
          <w:rFonts w:ascii="Times New Roman" w:hAnsi="Times New Roman"/>
          <w:sz w:val="22"/>
        </w:rPr>
        <w:t>Las eventuales aclaraciones del expediente de licitación se publicarán en el sitio Internet de EuropeAid</w:t>
      </w:r>
      <w:r>
        <w:rPr>
          <w:rFonts w:ascii="Times New Roman" w:hAnsi="Times New Roman"/>
          <w:sz w:val="22"/>
        </w:rPr>
        <w:t xml:space="preserve"> en la dirección </w:t>
      </w:r>
      <w:hyperlink r:id="rId11" w:history="1">
        <w:r w:rsidRPr="00E54955">
          <w:rPr>
            <w:rStyle w:val="Hipervnculo"/>
            <w:sz w:val="22"/>
          </w:rPr>
          <w:t>h</w:t>
        </w:r>
        <w:r w:rsidRPr="00E54955">
          <w:rPr>
            <w:rStyle w:val="Hipervnculo"/>
          </w:rPr>
          <w:t>ttps://webgate.ec.europa.eu/europeaid/online-services/index.cfm?do=publi.welcome</w:t>
        </w:r>
      </w:hyperlink>
      <w:r>
        <w:rPr>
          <w:rFonts w:ascii="Times New Roman" w:hAnsi="Times New Roman"/>
          <w:sz w:val="22"/>
        </w:rPr>
        <w:t xml:space="preserve"> </w:t>
      </w:r>
      <w:r w:rsidRPr="008D73E7">
        <w:rPr>
          <w:rFonts w:ascii="Times New Roman" w:hAnsi="Times New Roman"/>
          <w:sz w:val="22"/>
        </w:rPr>
        <w:t xml:space="preserve">y </w:t>
      </w:r>
      <w:r>
        <w:rPr>
          <w:rFonts w:ascii="Times New Roman" w:hAnsi="Times New Roman"/>
          <w:sz w:val="22"/>
        </w:rPr>
        <w:t xml:space="preserve"> </w:t>
      </w:r>
      <w:hyperlink r:id="rId12" w:history="1">
        <w:r w:rsidRPr="00B732D3">
          <w:rPr>
            <w:rStyle w:val="Hipervnculo"/>
            <w:rFonts w:ascii="Times New Roman" w:hAnsi="Times New Roman"/>
            <w:sz w:val="22"/>
          </w:rPr>
          <w:t>http://www.comunidadandina.org/servicios/empleos.htm</w:t>
        </w:r>
      </w:hyperlink>
    </w:p>
    <w:p w:rsidR="008E45B1" w:rsidRPr="008D73E7" w:rsidRDefault="008E45B1" w:rsidP="00490F55">
      <w:pPr>
        <w:pStyle w:val="Textoindependiente"/>
        <w:spacing w:before="0" w:after="240"/>
        <w:ind w:left="567"/>
        <w:jc w:val="both"/>
        <w:rPr>
          <w:rFonts w:ascii="Times New Roman" w:hAnsi="Times New Roman"/>
          <w:sz w:val="22"/>
        </w:rPr>
      </w:pPr>
      <w:r w:rsidRPr="008D73E7">
        <w:rPr>
          <w:rFonts w:ascii="Times New Roman" w:hAnsi="Times New Roman"/>
          <w:sz w:val="22"/>
        </w:rPr>
        <w:t xml:space="preserve"> al menos 11 días antes de que finalice el plazo de presentación de las ofertas. Todo licitador que trate de organizar reuniones individuales con el Órgano de Contratación o con la Comisión Europea durante el </w:t>
      </w:r>
      <w:r>
        <w:rPr>
          <w:rFonts w:ascii="Times New Roman" w:hAnsi="Times New Roman"/>
          <w:sz w:val="22"/>
        </w:rPr>
        <w:t>período</w:t>
      </w:r>
      <w:r w:rsidRPr="008D73E7">
        <w:rPr>
          <w:rFonts w:ascii="Times New Roman" w:hAnsi="Times New Roman"/>
          <w:sz w:val="22"/>
        </w:rPr>
        <w:t xml:space="preserve"> de licitación puede ser excluido de la licitación.</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32" w:name="_Toc43004180"/>
      <w:bookmarkStart w:id="133" w:name="_Toc39896811"/>
      <w:bookmarkStart w:id="134" w:name="_Toc39463053"/>
      <w:bookmarkStart w:id="135" w:name="_Toc39462869"/>
      <w:bookmarkStart w:id="136" w:name="_Toc39462297"/>
      <w:r w:rsidRPr="00106900">
        <w:rPr>
          <w:rFonts w:ascii="Times New Roman" w:hAnsi="Times New Roman"/>
          <w:i w:val="0"/>
          <w:sz w:val="24"/>
          <w:szCs w:val="24"/>
        </w:rPr>
        <w:lastRenderedPageBreak/>
        <w:t>Reunión aclaratoria / visita sobre el terreno</w:t>
      </w:r>
      <w:bookmarkEnd w:id="132"/>
      <w:bookmarkEnd w:id="133"/>
      <w:bookmarkEnd w:id="134"/>
      <w:bookmarkEnd w:id="135"/>
      <w:bookmarkEnd w:id="136"/>
    </w:p>
    <w:p w:rsidR="008E45B1" w:rsidRDefault="008E45B1" w:rsidP="00490F55">
      <w:pPr>
        <w:pStyle w:val="Textoindependiente"/>
        <w:numPr>
          <w:ilvl w:val="1"/>
          <w:numId w:val="10"/>
        </w:numPr>
        <w:spacing w:before="0" w:after="240"/>
        <w:rPr>
          <w:rFonts w:ascii="Times New Roman" w:hAnsi="Times New Roman"/>
          <w:sz w:val="22"/>
          <w:szCs w:val="22"/>
        </w:rPr>
      </w:pPr>
      <w:r w:rsidRPr="002D63A4">
        <w:rPr>
          <w:rFonts w:ascii="Times New Roman" w:hAnsi="Times New Roman"/>
          <w:sz w:val="22"/>
          <w:szCs w:val="22"/>
        </w:rPr>
        <w:t>No se prevé realizar ninguna reunión aclaratoria / visita sobre el terreno. No se podrán organizar visitas a título individual para los licitadores potenciales durante el período de licitación.</w:t>
      </w:r>
      <w:bookmarkStart w:id="137" w:name="_Toc39462871"/>
      <w:bookmarkStart w:id="138" w:name="_Toc39462299"/>
    </w:p>
    <w:p w:rsidR="008E45B1" w:rsidRPr="002D63A4" w:rsidRDefault="008E45B1" w:rsidP="00490F55">
      <w:pPr>
        <w:pStyle w:val="Textoindependiente"/>
        <w:numPr>
          <w:ilvl w:val="1"/>
          <w:numId w:val="10"/>
        </w:numPr>
        <w:spacing w:before="0" w:after="240"/>
        <w:rPr>
          <w:rFonts w:ascii="Times New Roman" w:hAnsi="Times New Roman"/>
          <w:sz w:val="22"/>
          <w:szCs w:val="22"/>
        </w:rPr>
      </w:pPr>
      <w:r w:rsidRPr="002D63A4">
        <w:rPr>
          <w:rFonts w:ascii="Times New Roman" w:hAnsi="Times New Roman"/>
          <w:sz w:val="22"/>
          <w:szCs w:val="22"/>
        </w:rPr>
        <w:t>Durante el procedimiento no se pueden organizar visitas de licitadores individuales.</w:t>
      </w:r>
      <w:bookmarkEnd w:id="137"/>
      <w:bookmarkEnd w:id="138"/>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39" w:name="_Toc43004181"/>
      <w:bookmarkStart w:id="140" w:name="_Toc39896812"/>
      <w:bookmarkStart w:id="141" w:name="_Toc39463054"/>
      <w:bookmarkStart w:id="142" w:name="_Toc39462872"/>
      <w:bookmarkStart w:id="143" w:name="_Toc39462300"/>
      <w:r w:rsidRPr="00106900">
        <w:rPr>
          <w:rFonts w:ascii="Times New Roman" w:hAnsi="Times New Roman"/>
          <w:i w:val="0"/>
          <w:sz w:val="24"/>
          <w:szCs w:val="24"/>
        </w:rPr>
        <w:t>Modificación o retirada de las ofertas</w:t>
      </w:r>
      <w:bookmarkEnd w:id="139"/>
      <w:bookmarkEnd w:id="140"/>
      <w:bookmarkEnd w:id="141"/>
      <w:bookmarkEnd w:id="142"/>
      <w:bookmarkEnd w:id="143"/>
    </w:p>
    <w:p w:rsidR="008E45B1" w:rsidRPr="008D73E7" w:rsidRDefault="008E45B1" w:rsidP="00490F55">
      <w:pPr>
        <w:spacing w:after="240"/>
        <w:ind w:left="993" w:hanging="567"/>
        <w:jc w:val="both"/>
        <w:rPr>
          <w:sz w:val="22"/>
          <w:lang w:val="es-ES"/>
        </w:rPr>
      </w:pPr>
      <w:bookmarkStart w:id="144" w:name="_Toc39462873"/>
      <w:bookmarkStart w:id="145" w:name="_Toc39462301"/>
      <w:r>
        <w:rPr>
          <w:sz w:val="22"/>
          <w:lang w:val="es-ES"/>
        </w:rPr>
        <w:t>15</w:t>
      </w:r>
      <w:r w:rsidRPr="008D73E7">
        <w:rPr>
          <w:sz w:val="22"/>
          <w:lang w:val="es-ES"/>
        </w:rPr>
        <w:t>.1</w:t>
      </w:r>
      <w:r w:rsidRPr="008D73E7">
        <w:rPr>
          <w:sz w:val="22"/>
          <w:lang w:val="es-ES"/>
        </w:rPr>
        <w:tab/>
        <w:t>Los licitadores pueden modificar o retirar sus ofertas mediante notificación escrita antes de que venza el plazo de presentación de ofertas mencionado en el artículo 10.1. Después de este plazo no se podrán modificar las ofertas. Las retiradas se harán sin condiciones y pondrán fin a la participación en la licitación.</w:t>
      </w:r>
      <w:bookmarkEnd w:id="144"/>
      <w:bookmarkEnd w:id="145"/>
    </w:p>
    <w:p w:rsidR="008E45B1" w:rsidRPr="008D73E7" w:rsidRDefault="008E45B1" w:rsidP="00490F55">
      <w:pPr>
        <w:spacing w:after="240"/>
        <w:ind w:left="993" w:hanging="567"/>
        <w:jc w:val="both"/>
        <w:rPr>
          <w:sz w:val="22"/>
          <w:lang w:val="es-ES"/>
        </w:rPr>
      </w:pPr>
      <w:bookmarkStart w:id="146" w:name="_Toc39462874"/>
      <w:bookmarkStart w:id="147" w:name="_Toc39462302"/>
      <w:r>
        <w:rPr>
          <w:sz w:val="22"/>
          <w:lang w:val="es-ES"/>
        </w:rPr>
        <w:t>15</w:t>
      </w:r>
      <w:r w:rsidRPr="008D73E7">
        <w:rPr>
          <w:sz w:val="22"/>
          <w:lang w:val="es-ES"/>
        </w:rPr>
        <w:t>.2</w:t>
      </w:r>
      <w:r w:rsidRPr="008D73E7">
        <w:rPr>
          <w:sz w:val="22"/>
          <w:lang w:val="es-ES"/>
        </w:rPr>
        <w:tab/>
        <w:t>Las notificaciones de modificación o retirada deberán prepararse y presentarse con arreglo a lo dispuesto en el artículo 10. El sobre exterior debe llevar la mención «Modificación» o «Retirada», según proceda.</w:t>
      </w:r>
      <w:bookmarkEnd w:id="146"/>
      <w:bookmarkEnd w:id="147"/>
    </w:p>
    <w:p w:rsidR="008E45B1" w:rsidRPr="008D73E7" w:rsidRDefault="008E45B1" w:rsidP="00490F55">
      <w:pPr>
        <w:spacing w:after="240"/>
        <w:ind w:left="993" w:hanging="567"/>
        <w:jc w:val="both"/>
        <w:rPr>
          <w:sz w:val="22"/>
          <w:lang w:val="es-ES"/>
        </w:rPr>
      </w:pPr>
      <w:bookmarkStart w:id="148" w:name="_Toc39462875"/>
      <w:bookmarkStart w:id="149" w:name="_Toc39462303"/>
      <w:r>
        <w:rPr>
          <w:sz w:val="22"/>
          <w:lang w:val="es-ES"/>
        </w:rPr>
        <w:t>15</w:t>
      </w:r>
      <w:r w:rsidRPr="008D73E7">
        <w:rPr>
          <w:sz w:val="22"/>
          <w:lang w:val="es-ES"/>
        </w:rPr>
        <w:t>.3</w:t>
      </w:r>
      <w:r w:rsidRPr="008D73E7">
        <w:rPr>
          <w:sz w:val="22"/>
          <w:lang w:val="es-ES"/>
        </w:rPr>
        <w:tab/>
        <w:t xml:space="preserve">No puede retirarse ninguna oferta dentro del </w:t>
      </w:r>
      <w:r>
        <w:rPr>
          <w:sz w:val="22"/>
          <w:lang w:val="es-ES"/>
        </w:rPr>
        <w:t>período</w:t>
      </w:r>
      <w:r w:rsidRPr="008D73E7">
        <w:rPr>
          <w:sz w:val="22"/>
          <w:lang w:val="es-ES"/>
        </w:rPr>
        <w:t xml:space="preserve"> comprendido entre el final del plazo de presentación de ofertas, mencionado en el artículo 10.1, y el vencimiento del plazo de validez de las ofertas. La retirada de una oferta durante este </w:t>
      </w:r>
      <w:r>
        <w:rPr>
          <w:sz w:val="22"/>
          <w:lang w:val="es-ES"/>
        </w:rPr>
        <w:t>período</w:t>
      </w:r>
      <w:r w:rsidRPr="008D73E7">
        <w:rPr>
          <w:sz w:val="22"/>
          <w:lang w:val="es-ES"/>
        </w:rPr>
        <w:t xml:space="preserve"> puede tener como resultado la pérdida de la garantía de licitación.</w:t>
      </w:r>
      <w:bookmarkEnd w:id="148"/>
      <w:bookmarkEnd w:id="149"/>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50" w:name="_Toc43004182"/>
      <w:bookmarkStart w:id="151" w:name="_Toc39896813"/>
      <w:bookmarkStart w:id="152" w:name="_Toc39463055"/>
      <w:bookmarkStart w:id="153" w:name="_Toc39462876"/>
      <w:bookmarkStart w:id="154" w:name="_Toc39462304"/>
      <w:r w:rsidRPr="00106900">
        <w:rPr>
          <w:rFonts w:ascii="Times New Roman" w:hAnsi="Times New Roman"/>
          <w:i w:val="0"/>
          <w:sz w:val="24"/>
          <w:szCs w:val="24"/>
        </w:rPr>
        <w:t>Costes de preparación de las ofertas</w:t>
      </w:r>
      <w:bookmarkEnd w:id="150"/>
      <w:bookmarkEnd w:id="151"/>
      <w:bookmarkEnd w:id="152"/>
      <w:bookmarkEnd w:id="153"/>
      <w:bookmarkEnd w:id="154"/>
    </w:p>
    <w:p w:rsidR="008E45B1" w:rsidRPr="008D73E7" w:rsidRDefault="008E45B1" w:rsidP="00490F55">
      <w:pPr>
        <w:tabs>
          <w:tab w:val="left" w:pos="567"/>
        </w:tabs>
        <w:spacing w:after="240"/>
        <w:ind w:left="567"/>
        <w:jc w:val="both"/>
        <w:rPr>
          <w:lang w:val="es-ES"/>
        </w:rPr>
      </w:pPr>
      <w:r w:rsidRPr="008D73E7">
        <w:rPr>
          <w:sz w:val="22"/>
          <w:lang w:val="es-ES"/>
        </w:rPr>
        <w:t>Los costes en que incurra el licitador para preparar y presentar su oferta no serán reembolsables y correrán a su cargo.</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55" w:name="_Toc43004183"/>
      <w:bookmarkStart w:id="156" w:name="_Toc39896814"/>
      <w:bookmarkStart w:id="157" w:name="_Toc39463056"/>
      <w:bookmarkStart w:id="158" w:name="_Toc39462877"/>
      <w:bookmarkStart w:id="159" w:name="_Toc39462305"/>
      <w:r w:rsidRPr="00106900">
        <w:rPr>
          <w:rFonts w:ascii="Times New Roman" w:hAnsi="Times New Roman"/>
          <w:i w:val="0"/>
          <w:sz w:val="24"/>
          <w:szCs w:val="24"/>
        </w:rPr>
        <w:t>Propiedad de las ofertas</w:t>
      </w:r>
      <w:bookmarkEnd w:id="155"/>
      <w:bookmarkEnd w:id="156"/>
      <w:bookmarkEnd w:id="157"/>
      <w:bookmarkEnd w:id="158"/>
      <w:bookmarkEnd w:id="159"/>
    </w:p>
    <w:p w:rsidR="008E45B1" w:rsidRPr="008D73E7" w:rsidRDefault="008E45B1" w:rsidP="00490F55">
      <w:pPr>
        <w:spacing w:after="240"/>
        <w:ind w:left="567"/>
        <w:jc w:val="both"/>
        <w:rPr>
          <w:sz w:val="22"/>
          <w:lang w:val="es-ES"/>
        </w:rPr>
      </w:pPr>
      <w:r w:rsidRPr="008D73E7">
        <w:rPr>
          <w:sz w:val="22"/>
          <w:lang w:val="es-ES"/>
        </w:rPr>
        <w:t>Todas las ofertas recibidas en virtud de esta licitación pasan a ser propiedad del Órgano de Contratación. Por consiguiente, los licitadores no tienen derecho a la devolución de sus ofertas.</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60" w:name="_Toc43004184"/>
      <w:bookmarkStart w:id="161" w:name="_Toc39896815"/>
      <w:bookmarkStart w:id="162" w:name="_Toc39463057"/>
      <w:bookmarkStart w:id="163" w:name="_Toc39462878"/>
      <w:bookmarkStart w:id="164" w:name="_Toc39462306"/>
      <w:r w:rsidRPr="00106900">
        <w:rPr>
          <w:rFonts w:ascii="Times New Roman" w:hAnsi="Times New Roman"/>
          <w:i w:val="0"/>
          <w:sz w:val="24"/>
          <w:szCs w:val="24"/>
        </w:rPr>
        <w:t>Asociación temporal de empresas o consorcio</w:t>
      </w:r>
      <w:bookmarkEnd w:id="160"/>
      <w:bookmarkEnd w:id="161"/>
      <w:bookmarkEnd w:id="162"/>
      <w:bookmarkEnd w:id="163"/>
      <w:bookmarkEnd w:id="164"/>
    </w:p>
    <w:p w:rsidR="008E45B1" w:rsidRPr="008D73E7" w:rsidRDefault="008E45B1" w:rsidP="00490F55">
      <w:pPr>
        <w:spacing w:after="240"/>
        <w:ind w:left="993" w:hanging="567"/>
        <w:jc w:val="both"/>
        <w:rPr>
          <w:sz w:val="22"/>
          <w:lang w:val="es-ES"/>
        </w:rPr>
      </w:pPr>
      <w:bookmarkStart w:id="165" w:name="_Toc39462879"/>
      <w:bookmarkStart w:id="166" w:name="_Toc39462307"/>
      <w:r>
        <w:rPr>
          <w:sz w:val="22"/>
          <w:lang w:val="es-ES"/>
        </w:rPr>
        <w:t>18</w:t>
      </w:r>
      <w:r w:rsidRPr="008D73E7">
        <w:rPr>
          <w:sz w:val="22"/>
          <w:lang w:val="es-ES"/>
        </w:rPr>
        <w:t>.1</w:t>
      </w:r>
      <w:r w:rsidRPr="008D73E7">
        <w:rPr>
          <w:sz w:val="22"/>
          <w:lang w:val="es-ES"/>
        </w:rPr>
        <w:tab/>
        <w:t>Cuando el licitador sea una asociación temporal de empresas o un consorcio de dos o más personas, la oferta debe ser única con objeto de asegurar un único contrato y todos los miembros de la asociación o el consorcio deben firmar la oferta, quedando todos ellos obligados solidariamente por la oferta y por cualquier contrato resultante de la misma. Deberán designar a uno de ellos para que actúe como persona facultada para comprometer a la asociación temporal de empresas o al consorcio. La composición de la asociación temporal de empresas o del consorcio no podrá modificarse sin el consentimiento previo escrito del Órgano de Contratación.</w:t>
      </w:r>
      <w:bookmarkEnd w:id="165"/>
      <w:bookmarkEnd w:id="166"/>
    </w:p>
    <w:p w:rsidR="008E45B1" w:rsidRPr="008D73E7" w:rsidRDefault="008E45B1" w:rsidP="00490F55">
      <w:pPr>
        <w:spacing w:after="240"/>
        <w:ind w:left="993" w:hanging="567"/>
        <w:jc w:val="both"/>
        <w:rPr>
          <w:sz w:val="20"/>
          <w:lang w:val="es-ES"/>
        </w:rPr>
      </w:pPr>
      <w:bookmarkStart w:id="167" w:name="_Toc39462880"/>
      <w:bookmarkStart w:id="168" w:name="_Toc39462308"/>
      <w:r w:rsidRPr="008D73E7">
        <w:rPr>
          <w:sz w:val="22"/>
          <w:lang w:val="es-ES"/>
        </w:rPr>
        <w:t>1</w:t>
      </w:r>
      <w:r>
        <w:rPr>
          <w:sz w:val="22"/>
          <w:lang w:val="es-ES"/>
        </w:rPr>
        <w:t>8.</w:t>
      </w:r>
      <w:r w:rsidRPr="008D73E7">
        <w:rPr>
          <w:sz w:val="22"/>
          <w:lang w:val="es-ES"/>
        </w:rPr>
        <w:t>2</w:t>
      </w:r>
      <w:r w:rsidRPr="008D73E7">
        <w:rPr>
          <w:sz w:val="22"/>
          <w:lang w:val="es-ES"/>
        </w:rPr>
        <w:tab/>
        <w:t xml:space="preserve">La oferta solo puede ser firmada por el representante de la asociación temporal de empresas o del consorcio si los miembros de la asociación temporal de empresas o del consorcio le han dado una autorización expresa y por escrito para ello, debiendo presentarse en tal caso el contrato de autorización o el acta o documento notarial al Órgano de Contratación de acuerdo con el punto 11 de estas Instrucciones para los licitadores. Todas las firmas del documento de autorización deben estar certificadas de conformidad con las disposiciones legales y reglamentarias de cada una de las partes que compongan la asociación temporal de empresas o el consorcio, al igual que los poderes de representación que establezcan por escrito que los firmantes de la oferta están facultados para contraer obligaciones en nombre de los otros miembros de la asociación temporal de empresas o del consorcio. Cada </w:t>
      </w:r>
      <w:r w:rsidRPr="008D73E7">
        <w:rPr>
          <w:sz w:val="22"/>
          <w:lang w:val="es-ES"/>
        </w:rPr>
        <w:lastRenderedPageBreak/>
        <w:t>miembro de la asociación temporal de empresas o del consorcio debe facilitar la prueba que se exige en el artículo 3.5 como si él mismo fuera el licitador</w:t>
      </w:r>
      <w:r w:rsidRPr="008D73E7">
        <w:rPr>
          <w:lang w:val="es-ES"/>
        </w:rPr>
        <w:t>.</w:t>
      </w:r>
      <w:bookmarkEnd w:id="167"/>
      <w:bookmarkEnd w:id="168"/>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69" w:name="_Toc43004185"/>
      <w:bookmarkStart w:id="170" w:name="_Toc39896816"/>
      <w:bookmarkStart w:id="171" w:name="_Toc39463058"/>
      <w:bookmarkStart w:id="172" w:name="_Toc39462881"/>
      <w:bookmarkStart w:id="173" w:name="_Toc39462309"/>
      <w:r w:rsidRPr="00106900">
        <w:rPr>
          <w:rFonts w:ascii="Times New Roman" w:hAnsi="Times New Roman"/>
          <w:i w:val="0"/>
          <w:sz w:val="24"/>
          <w:szCs w:val="24"/>
        </w:rPr>
        <w:t>Apertura de plicas</w:t>
      </w:r>
      <w:bookmarkEnd w:id="169"/>
      <w:bookmarkEnd w:id="170"/>
      <w:bookmarkEnd w:id="171"/>
      <w:bookmarkEnd w:id="172"/>
      <w:bookmarkEnd w:id="173"/>
    </w:p>
    <w:p w:rsidR="008E45B1" w:rsidRPr="008D73E7" w:rsidRDefault="008E45B1" w:rsidP="00490F55">
      <w:pPr>
        <w:spacing w:after="240"/>
        <w:ind w:left="993" w:hanging="567"/>
        <w:jc w:val="both"/>
        <w:rPr>
          <w:sz w:val="22"/>
          <w:lang w:val="es-ES"/>
        </w:rPr>
      </w:pPr>
      <w:bookmarkStart w:id="174" w:name="_Toc39462882"/>
      <w:bookmarkStart w:id="175" w:name="_Toc39462310"/>
      <w:r>
        <w:rPr>
          <w:sz w:val="22"/>
          <w:lang w:val="es-ES"/>
        </w:rPr>
        <w:t>19</w:t>
      </w:r>
      <w:r w:rsidRPr="008D73E7">
        <w:rPr>
          <w:sz w:val="22"/>
          <w:lang w:val="es-ES"/>
        </w:rPr>
        <w:t>.1</w:t>
      </w:r>
      <w:r w:rsidRPr="008D73E7">
        <w:rPr>
          <w:sz w:val="22"/>
          <w:lang w:val="es-ES"/>
        </w:rPr>
        <w:tab/>
        <w:t>La sesión de apertura y análisis de las ofertas tiene por objeto comprobar si las ofertas están completas, si se ha aportado la garantía de licitación requerida, si se han incluido debidamente los documentos solicitados y si, en términos generales, las ofertas se han presentado conforme a lo establecido.</w:t>
      </w:r>
      <w:bookmarkEnd w:id="174"/>
      <w:bookmarkEnd w:id="175"/>
    </w:p>
    <w:p w:rsidR="008E45B1" w:rsidRPr="008D73E7" w:rsidRDefault="008E45B1" w:rsidP="00490F55">
      <w:pPr>
        <w:spacing w:after="240"/>
        <w:ind w:left="993" w:hanging="567"/>
        <w:jc w:val="both"/>
        <w:rPr>
          <w:sz w:val="22"/>
          <w:lang w:val="es-ES"/>
        </w:rPr>
      </w:pPr>
      <w:bookmarkStart w:id="176" w:name="_Toc39462883"/>
      <w:bookmarkStart w:id="177" w:name="_Toc39462311"/>
      <w:r>
        <w:rPr>
          <w:sz w:val="22"/>
          <w:lang w:val="es-ES"/>
        </w:rPr>
        <w:t>19</w:t>
      </w:r>
      <w:r w:rsidRPr="008D73E7">
        <w:rPr>
          <w:sz w:val="22"/>
          <w:lang w:val="es-ES"/>
        </w:rPr>
        <w:t>.2</w:t>
      </w:r>
      <w:r w:rsidRPr="008D73E7">
        <w:rPr>
          <w:sz w:val="22"/>
          <w:lang w:val="es-ES"/>
        </w:rPr>
        <w:tab/>
        <w:t xml:space="preserve">Las ofertas se abrirán en sesión pública el </w:t>
      </w:r>
      <w:r>
        <w:rPr>
          <w:sz w:val="22"/>
          <w:lang w:val="es-ES"/>
        </w:rPr>
        <w:t>23 de octubre de 2012 a las 15:00 horas en la Secretaría General de la Comunidad Andina, Av. Aramburú Crda. 4  esquina con Paseo de la República, San Isidro, Lima- Perú</w:t>
      </w:r>
      <w:r w:rsidRPr="008D73E7">
        <w:rPr>
          <w:sz w:val="22"/>
          <w:lang w:val="es-ES"/>
        </w:rPr>
        <w:t xml:space="preserve"> por el Comité nombrado a tal efecto. El Comité levantará acta de la reunión, que estará disponible previa solicitud.</w:t>
      </w:r>
      <w:bookmarkEnd w:id="176"/>
      <w:bookmarkEnd w:id="177"/>
    </w:p>
    <w:p w:rsidR="008E45B1" w:rsidRPr="008D73E7" w:rsidRDefault="008E45B1" w:rsidP="00490F55">
      <w:pPr>
        <w:spacing w:after="240"/>
        <w:ind w:left="993" w:hanging="567"/>
        <w:jc w:val="both"/>
        <w:rPr>
          <w:sz w:val="22"/>
          <w:lang w:val="es-ES"/>
        </w:rPr>
      </w:pPr>
      <w:bookmarkStart w:id="178" w:name="_Toc39462884"/>
      <w:bookmarkStart w:id="179" w:name="_Toc39462312"/>
      <w:r>
        <w:rPr>
          <w:sz w:val="22"/>
          <w:lang w:val="es-ES"/>
        </w:rPr>
        <w:t>19</w:t>
      </w:r>
      <w:r w:rsidRPr="008D73E7">
        <w:rPr>
          <w:sz w:val="22"/>
          <w:lang w:val="es-ES"/>
        </w:rPr>
        <w:t>.3</w:t>
      </w:r>
      <w:r w:rsidRPr="008D73E7">
        <w:rPr>
          <w:sz w:val="22"/>
          <w:lang w:val="es-ES"/>
        </w:rPr>
        <w:tab/>
        <w:t xml:space="preserve">En la sesión de apertura de plicas deberán anunciarse los nombres de los licitadores, los precios de las ofertas, los descuentos ofrecidos, las notificaciones escritas de </w:t>
      </w:r>
      <w:r>
        <w:rPr>
          <w:sz w:val="22"/>
          <w:lang w:val="es-ES"/>
        </w:rPr>
        <w:t>alteración</w:t>
      </w:r>
      <w:r w:rsidRPr="008D73E7">
        <w:rPr>
          <w:sz w:val="22"/>
          <w:lang w:val="es-ES"/>
        </w:rPr>
        <w:t xml:space="preserve"> y de retirada, la existencia de la garantía de licitación requerida</w:t>
      </w:r>
      <w:r>
        <w:rPr>
          <w:sz w:val="22"/>
          <w:lang w:val="es-ES"/>
        </w:rPr>
        <w:t xml:space="preserve"> (si procede)</w:t>
      </w:r>
      <w:r w:rsidRPr="008D73E7">
        <w:rPr>
          <w:sz w:val="22"/>
          <w:lang w:val="es-ES"/>
        </w:rPr>
        <w:t xml:space="preserve"> y cualesquiera otros pormenores que el Órgano de Contratación considere conveniente comunicar.</w:t>
      </w:r>
      <w:bookmarkEnd w:id="178"/>
      <w:bookmarkEnd w:id="179"/>
    </w:p>
    <w:p w:rsidR="008E45B1" w:rsidRPr="008D73E7" w:rsidRDefault="008E45B1" w:rsidP="00490F55">
      <w:pPr>
        <w:spacing w:after="240"/>
        <w:ind w:left="993" w:hanging="567"/>
        <w:jc w:val="both"/>
        <w:rPr>
          <w:sz w:val="22"/>
          <w:lang w:val="es-ES"/>
        </w:rPr>
      </w:pPr>
      <w:bookmarkStart w:id="180" w:name="_Toc39462885"/>
      <w:bookmarkStart w:id="181" w:name="_Toc39462313"/>
      <w:r>
        <w:rPr>
          <w:sz w:val="22"/>
          <w:lang w:val="es-ES"/>
        </w:rPr>
        <w:t>19</w:t>
      </w:r>
      <w:r w:rsidRPr="008D73E7">
        <w:rPr>
          <w:sz w:val="22"/>
          <w:lang w:val="es-ES"/>
        </w:rPr>
        <w:t>.4</w:t>
      </w:r>
      <w:r w:rsidRPr="008D73E7">
        <w:rPr>
          <w:sz w:val="22"/>
          <w:lang w:val="es-ES"/>
        </w:rPr>
        <w:tab/>
        <w:t>Tras la apertura pública de las ofertas no podrá revelarse hasta la adjudicación del contrato ningún dato relativo al análisis, a la aclaración, a la evaluación o a la comparación de las ofertas, ni recomendación alguna relativa a la adjudicación del contrato.</w:t>
      </w:r>
      <w:bookmarkEnd w:id="180"/>
      <w:bookmarkEnd w:id="181"/>
    </w:p>
    <w:p w:rsidR="008E45B1" w:rsidRPr="008D73E7" w:rsidRDefault="008E45B1" w:rsidP="00490F55">
      <w:pPr>
        <w:spacing w:after="240"/>
        <w:ind w:left="993" w:hanging="567"/>
        <w:jc w:val="both"/>
        <w:rPr>
          <w:sz w:val="22"/>
          <w:lang w:val="es-ES"/>
        </w:rPr>
      </w:pPr>
      <w:bookmarkStart w:id="182" w:name="_Toc39462887"/>
      <w:bookmarkStart w:id="183" w:name="_Toc39462315"/>
      <w:r>
        <w:rPr>
          <w:sz w:val="22"/>
          <w:lang w:val="es-ES"/>
        </w:rPr>
        <w:t>19</w:t>
      </w:r>
      <w:r w:rsidRPr="008D73E7">
        <w:rPr>
          <w:sz w:val="22"/>
          <w:lang w:val="es-ES"/>
        </w:rPr>
        <w:t>.5</w:t>
      </w:r>
      <w:r w:rsidRPr="008D73E7">
        <w:rPr>
          <w:sz w:val="22"/>
          <w:lang w:val="es-ES"/>
        </w:rPr>
        <w:tab/>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relativa a la adjudicación del contrato tendrá como consecuencia la inmediata desestimación de su oferta.</w:t>
      </w:r>
      <w:bookmarkEnd w:id="182"/>
      <w:bookmarkEnd w:id="183"/>
    </w:p>
    <w:p w:rsidR="008E45B1" w:rsidRPr="008D73E7" w:rsidRDefault="008E45B1" w:rsidP="00490F55">
      <w:pPr>
        <w:spacing w:after="240"/>
        <w:ind w:left="993" w:hanging="567"/>
        <w:jc w:val="both"/>
        <w:rPr>
          <w:sz w:val="22"/>
          <w:lang w:val="es-ES"/>
        </w:rPr>
      </w:pPr>
      <w:bookmarkStart w:id="184" w:name="_Toc39462888"/>
      <w:bookmarkStart w:id="185" w:name="_Toc39462316"/>
      <w:r>
        <w:rPr>
          <w:sz w:val="22"/>
          <w:lang w:val="es-ES"/>
        </w:rPr>
        <w:t>19</w:t>
      </w:r>
      <w:r w:rsidRPr="008D73E7">
        <w:rPr>
          <w:sz w:val="22"/>
          <w:lang w:val="es-ES"/>
        </w:rPr>
        <w:t>.6</w:t>
      </w:r>
      <w:r w:rsidRPr="008D73E7">
        <w:rPr>
          <w:sz w:val="22"/>
          <w:lang w:val="es-ES"/>
        </w:rPr>
        <w:tab/>
        <w:t>El Órgano de Contratación conservará todas las ofertas recibidas tras la fecha límite de presentación de las ofertas indicada en el anuncio de licitación o en las presentes instrucciones. Las garantías correspondientes se devolverán a los licitadores. No se aceptará ninguna responsabilidad por el retraso en la entrega de las ofertas. Las ofertas recibidas después del vencimiento del plazo de presentación no se tomarán en consideración y no serán evaluadas.</w:t>
      </w:r>
      <w:bookmarkEnd w:id="184"/>
      <w:bookmarkEnd w:id="185"/>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186" w:name="_Toc43004186"/>
      <w:bookmarkStart w:id="187" w:name="_Toc39896817"/>
      <w:bookmarkStart w:id="188" w:name="_Toc39463059"/>
      <w:bookmarkStart w:id="189" w:name="_Toc39462889"/>
      <w:bookmarkStart w:id="190" w:name="_Toc39462317"/>
      <w:r w:rsidRPr="00106900">
        <w:rPr>
          <w:rFonts w:ascii="Times New Roman" w:hAnsi="Times New Roman"/>
          <w:i w:val="0"/>
          <w:sz w:val="24"/>
          <w:szCs w:val="24"/>
        </w:rPr>
        <w:t>Evaluación de las ofertas</w:t>
      </w:r>
      <w:bookmarkEnd w:id="186"/>
      <w:bookmarkEnd w:id="187"/>
      <w:bookmarkEnd w:id="188"/>
      <w:bookmarkEnd w:id="189"/>
      <w:bookmarkEnd w:id="190"/>
    </w:p>
    <w:p w:rsidR="008E45B1" w:rsidRPr="008D73E7" w:rsidRDefault="008E45B1" w:rsidP="00490F55">
      <w:pPr>
        <w:spacing w:after="240"/>
        <w:ind w:left="993" w:hanging="567"/>
        <w:rPr>
          <w:sz w:val="22"/>
          <w:lang w:val="es-ES"/>
        </w:rPr>
      </w:pPr>
      <w:bookmarkStart w:id="191" w:name="_Toc39462890"/>
      <w:bookmarkStart w:id="192" w:name="_Toc39462318"/>
      <w:r w:rsidRPr="008D73E7">
        <w:rPr>
          <w:sz w:val="22"/>
          <w:lang w:val="es-ES"/>
        </w:rPr>
        <w:t>2</w:t>
      </w:r>
      <w:r>
        <w:rPr>
          <w:sz w:val="22"/>
          <w:lang w:val="es-ES"/>
        </w:rPr>
        <w:t>0</w:t>
      </w:r>
      <w:r w:rsidRPr="008D73E7">
        <w:rPr>
          <w:sz w:val="22"/>
          <w:lang w:val="es-ES"/>
        </w:rPr>
        <w:t>.1</w:t>
      </w:r>
      <w:r w:rsidRPr="008D73E7">
        <w:rPr>
          <w:sz w:val="22"/>
          <w:lang w:val="es-ES"/>
        </w:rPr>
        <w:tab/>
        <w:t>Examen de la conformidad administrativa de las ofertas</w:t>
      </w:r>
      <w:bookmarkEnd w:id="191"/>
      <w:bookmarkEnd w:id="192"/>
    </w:p>
    <w:p w:rsidR="008E45B1" w:rsidRPr="008D73E7" w:rsidRDefault="008E45B1" w:rsidP="00490F55">
      <w:pPr>
        <w:spacing w:after="240"/>
        <w:ind w:left="993"/>
        <w:jc w:val="both"/>
        <w:outlineLvl w:val="0"/>
        <w:rPr>
          <w:sz w:val="20"/>
          <w:lang w:val="es-ES"/>
        </w:rPr>
      </w:pPr>
      <w:r w:rsidRPr="008D73E7">
        <w:rPr>
          <w:sz w:val="22"/>
          <w:lang w:val="es-ES"/>
        </w:rPr>
        <w:t>El objetivo de esta fase es determinar si las ofertas responden en lo esencial a las exigencias del expediente de licitación. Se considera que una oferta es conforme cuando satisface todas las condiciones, procedimientos y especificaciones fijados en el expediente de licitación sin desviaciones ni restricciones sustanciales.</w:t>
      </w:r>
    </w:p>
    <w:p w:rsidR="008E45B1" w:rsidRPr="008D73E7" w:rsidRDefault="008E45B1" w:rsidP="00490F55">
      <w:pPr>
        <w:spacing w:after="240"/>
        <w:ind w:left="993"/>
        <w:jc w:val="both"/>
        <w:outlineLvl w:val="0"/>
        <w:rPr>
          <w:lang w:val="es-ES"/>
        </w:rPr>
      </w:pPr>
      <w:r w:rsidRPr="008D73E7">
        <w:rPr>
          <w:sz w:val="22"/>
          <w:lang w:val="es-ES"/>
        </w:rP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del contrato y afectan a la situación, respecto de la competencia, de los licitadores que hayan presentado ofertas conformes. Las decisiones que tengan como efecto declarar administrativamente no conforme una oferta deben justificarse debidamente en las actas de evaluación.</w:t>
      </w:r>
    </w:p>
    <w:p w:rsidR="008E45B1" w:rsidRPr="008D73E7" w:rsidRDefault="008E45B1" w:rsidP="00490F55">
      <w:pPr>
        <w:spacing w:after="240"/>
        <w:ind w:left="993"/>
        <w:jc w:val="both"/>
        <w:outlineLvl w:val="0"/>
        <w:rPr>
          <w:sz w:val="22"/>
          <w:lang w:val="es-ES"/>
        </w:rPr>
      </w:pPr>
      <w:r w:rsidRPr="008D73E7">
        <w:rPr>
          <w:sz w:val="22"/>
          <w:lang w:val="es-ES"/>
        </w:rPr>
        <w:lastRenderedPageBreak/>
        <w:t>Si una oferta no es conforme con el expediente de licitación, será rechazada inmediatamente y no podrá obtener más tarde la conformidad por correcciones o por la supresión de las desviaciones o restricciones.</w:t>
      </w:r>
    </w:p>
    <w:p w:rsidR="008E45B1" w:rsidRPr="008D73E7" w:rsidRDefault="008E45B1" w:rsidP="00490F55">
      <w:pPr>
        <w:spacing w:after="240"/>
        <w:ind w:left="993" w:hanging="567"/>
        <w:rPr>
          <w:sz w:val="22"/>
          <w:lang w:val="es-ES"/>
        </w:rPr>
      </w:pPr>
      <w:bookmarkStart w:id="193" w:name="_Toc39462891"/>
      <w:bookmarkStart w:id="194" w:name="_Toc39462319"/>
      <w:r>
        <w:rPr>
          <w:sz w:val="22"/>
          <w:lang w:val="es-ES"/>
        </w:rPr>
        <w:t>20</w:t>
      </w:r>
      <w:r w:rsidRPr="008D73E7">
        <w:rPr>
          <w:sz w:val="22"/>
          <w:lang w:val="es-ES"/>
        </w:rPr>
        <w:t>.2</w:t>
      </w:r>
      <w:r w:rsidRPr="008D73E7">
        <w:rPr>
          <w:sz w:val="22"/>
          <w:lang w:val="es-ES"/>
        </w:rPr>
        <w:tab/>
        <w:t>Evaluación técnica</w:t>
      </w:r>
      <w:bookmarkEnd w:id="193"/>
      <w:bookmarkEnd w:id="194"/>
    </w:p>
    <w:p w:rsidR="008E45B1" w:rsidRPr="008D73E7" w:rsidRDefault="008E45B1" w:rsidP="00490F55">
      <w:pPr>
        <w:spacing w:after="240"/>
        <w:ind w:left="993"/>
        <w:jc w:val="both"/>
        <w:outlineLvl w:val="0"/>
        <w:rPr>
          <w:sz w:val="22"/>
          <w:lang w:val="es-ES"/>
        </w:rPr>
      </w:pPr>
      <w:bookmarkStart w:id="195" w:name="_Ref500330647"/>
      <w:r w:rsidRPr="008D73E7">
        <w:rPr>
          <w:sz w:val="22"/>
          <w:lang w:val="es-ES"/>
        </w:rPr>
        <w:t>Una vez efectuado el análisis de las ofertas consideradas conformes desde el punto de vista administrativo, el Comité de Evaluación deberá evaluar la conformidad técnica de cada oferta y clasificará las ofertas en dos categorías: conformes o no conformes técnicamente.</w:t>
      </w:r>
    </w:p>
    <w:p w:rsidR="008E45B1" w:rsidRDefault="008E45B1" w:rsidP="00490F55">
      <w:pPr>
        <w:spacing w:after="240"/>
        <w:ind w:left="993"/>
        <w:jc w:val="both"/>
        <w:outlineLvl w:val="0"/>
        <w:rPr>
          <w:sz w:val="22"/>
          <w:lang w:val="es-ES"/>
        </w:rPr>
      </w:pPr>
      <w:r w:rsidRPr="008D73E7">
        <w:rPr>
          <w:sz w:val="22"/>
          <w:lang w:val="es-ES"/>
        </w:rPr>
        <w:t>Las calificaciones mínimas requeridas (véanse los criterios de selección del Anuncio de Licitación, punto 16) se han de evaluar al comienzo de esta etapa.</w:t>
      </w:r>
    </w:p>
    <w:p w:rsidR="008E45B1" w:rsidRPr="008D73E7" w:rsidRDefault="008E45B1" w:rsidP="00490F55">
      <w:pPr>
        <w:spacing w:after="240"/>
        <w:ind w:left="993"/>
        <w:jc w:val="both"/>
        <w:outlineLvl w:val="0"/>
        <w:rPr>
          <w:sz w:val="22"/>
          <w:lang w:val="es-ES"/>
        </w:rPr>
      </w:pPr>
      <w:r>
        <w:rPr>
          <w:sz w:val="22"/>
          <w:lang w:val="es-ES"/>
        </w:rPr>
        <w:t>En los casos de contratos que incluyan servicios postventa o de formación, al efectuar el análisis técnico de las ofertas se podrá evaluar también la calidad técnica de esos servicios usando el criterio si/no tal como se especifica en el expediente de licitación.</w:t>
      </w:r>
    </w:p>
    <w:p w:rsidR="008E45B1" w:rsidRPr="008D73E7" w:rsidRDefault="008E45B1" w:rsidP="00490F55">
      <w:pPr>
        <w:spacing w:after="240"/>
        <w:ind w:left="993" w:hanging="567"/>
        <w:jc w:val="both"/>
        <w:rPr>
          <w:sz w:val="22"/>
          <w:lang w:val="es-ES"/>
        </w:rPr>
      </w:pPr>
      <w:bookmarkStart w:id="196" w:name="_Toc39462892"/>
      <w:bookmarkStart w:id="197" w:name="_Toc39462320"/>
      <w:bookmarkEnd w:id="195"/>
      <w:r>
        <w:rPr>
          <w:sz w:val="22"/>
          <w:lang w:val="es-ES"/>
        </w:rPr>
        <w:t>20</w:t>
      </w:r>
      <w:r w:rsidRPr="008D73E7">
        <w:rPr>
          <w:sz w:val="22"/>
          <w:lang w:val="es-ES"/>
        </w:rPr>
        <w:t>.3</w:t>
      </w:r>
      <w:r w:rsidRPr="008D73E7">
        <w:rPr>
          <w:sz w:val="22"/>
          <w:lang w:val="es-ES"/>
        </w:rPr>
        <w:tab/>
        <w:t xml:space="preserve">En aras de la transparencia y la igualdad de trato, y a fin de facilitar el examen y la evaluación de las ofertas, el Comité de Evaluación podrá solicitar a cada licitador aclaraciones relativas a su oferta incluida el desglose de los precios unitarios, en un plazo razonable que será fijado por el Comité de Evaluación. La solicitud de aclaración y la respuesta se formularán por escrito, pero no se podrá pretender, ofrecer ni admitir cambio alguno en el precio o en el contenido de la oferta, salvo los que sean necesarios para confirmar la corrección de errores aritméticos descubiertos durante la evaluación de las ofertas en aplicación del </w:t>
      </w:r>
      <w:r w:rsidRPr="0046034E">
        <w:rPr>
          <w:sz w:val="22"/>
          <w:lang w:val="es-ES"/>
        </w:rPr>
        <w:t>artículo 20.4.</w:t>
      </w:r>
      <w:r w:rsidRPr="008D73E7">
        <w:rPr>
          <w:sz w:val="22"/>
          <w:lang w:val="es-ES"/>
        </w:rPr>
        <w:t xml:space="preserve"> Ninguna solicitud de aclaración deberá falsear la competencia. Las decisiones que tengan como efecto declarar no conforme una oferta deben justificarse debidamente en las actas de evaluación.</w:t>
      </w:r>
      <w:bookmarkEnd w:id="196"/>
      <w:bookmarkEnd w:id="197"/>
    </w:p>
    <w:p w:rsidR="008E45B1" w:rsidRPr="008D73E7" w:rsidRDefault="008E45B1" w:rsidP="00490F55">
      <w:pPr>
        <w:spacing w:after="240"/>
        <w:ind w:left="993" w:hanging="567"/>
        <w:rPr>
          <w:sz w:val="22"/>
          <w:lang w:val="es-ES"/>
        </w:rPr>
      </w:pPr>
      <w:bookmarkStart w:id="198" w:name="_Toc39462893"/>
      <w:bookmarkStart w:id="199" w:name="_Toc39462321"/>
      <w:r>
        <w:rPr>
          <w:sz w:val="22"/>
          <w:lang w:val="es-ES"/>
        </w:rPr>
        <w:t>20</w:t>
      </w:r>
      <w:r w:rsidRPr="008D73E7">
        <w:rPr>
          <w:sz w:val="22"/>
          <w:lang w:val="es-ES"/>
        </w:rPr>
        <w:t>.4</w:t>
      </w:r>
      <w:r w:rsidRPr="008D73E7">
        <w:rPr>
          <w:sz w:val="22"/>
          <w:lang w:val="es-ES"/>
        </w:rPr>
        <w:tab/>
        <w:t>Evaluación financiera</w:t>
      </w:r>
      <w:bookmarkEnd w:id="198"/>
      <w:bookmarkEnd w:id="199"/>
    </w:p>
    <w:p w:rsidR="008E45B1" w:rsidRPr="008D73E7" w:rsidRDefault="008E45B1" w:rsidP="00490F55">
      <w:pPr>
        <w:numPr>
          <w:ilvl w:val="0"/>
          <w:numId w:val="8"/>
        </w:numPr>
        <w:tabs>
          <w:tab w:val="clear" w:pos="927"/>
          <w:tab w:val="left" w:pos="993"/>
        </w:tabs>
        <w:spacing w:after="240"/>
        <w:ind w:left="993" w:hanging="284"/>
        <w:jc w:val="both"/>
        <w:rPr>
          <w:sz w:val="22"/>
          <w:lang w:val="es-ES"/>
        </w:rPr>
      </w:pPr>
      <w:bookmarkStart w:id="200" w:name="_Toc39462894"/>
      <w:r w:rsidRPr="008D73E7">
        <w:rPr>
          <w:sz w:val="22"/>
          <w:lang w:val="es-ES"/>
        </w:rPr>
        <w:t>Deberá comprobarse la posible existencia de errores aritméticos en los cálculos y en los totales de las ofertas que se hayan considerado técnicamente conformes. El Comité de Evaluación corregirá dichos errores de la manera siguiente:</w:t>
      </w:r>
      <w:bookmarkEnd w:id="200"/>
    </w:p>
    <w:p w:rsidR="008E45B1" w:rsidRPr="008D73E7" w:rsidRDefault="008E45B1" w:rsidP="00490F55">
      <w:pPr>
        <w:numPr>
          <w:ilvl w:val="1"/>
          <w:numId w:val="8"/>
        </w:numPr>
        <w:tabs>
          <w:tab w:val="clear" w:pos="1647"/>
        </w:tabs>
        <w:spacing w:after="120"/>
        <w:ind w:left="1135" w:hanging="284"/>
        <w:jc w:val="both"/>
        <w:outlineLvl w:val="0"/>
        <w:rPr>
          <w:sz w:val="22"/>
          <w:lang w:val="es-ES"/>
        </w:rPr>
      </w:pPr>
      <w:r w:rsidRPr="008D73E7">
        <w:rPr>
          <w:sz w:val="22"/>
          <w:lang w:val="es-ES"/>
        </w:rPr>
        <w:t>cuando exista una discrepancia entre las cantidades expresadas en cifras y las expresadas en letras, prevalecerán estas últimas;</w:t>
      </w:r>
    </w:p>
    <w:p w:rsidR="008E45B1" w:rsidRPr="008D73E7" w:rsidRDefault="008E45B1" w:rsidP="00490F55">
      <w:pPr>
        <w:numPr>
          <w:ilvl w:val="1"/>
          <w:numId w:val="8"/>
        </w:numPr>
        <w:tabs>
          <w:tab w:val="clear" w:pos="1647"/>
        </w:tabs>
        <w:spacing w:after="120"/>
        <w:ind w:left="1135" w:hanging="284"/>
        <w:jc w:val="both"/>
        <w:outlineLvl w:val="0"/>
        <w:rPr>
          <w:sz w:val="22"/>
          <w:lang w:val="es-ES"/>
        </w:rPr>
      </w:pPr>
      <w:r w:rsidRPr="008D73E7">
        <w:rPr>
          <w:sz w:val="22"/>
          <w:lang w:val="es-ES"/>
        </w:rPr>
        <w:t>excepto en el caso de contratos a tanto alzado, cuando haya una discrepancia entre el precio unitario y el precio total resultante de la multiplicación del precio unitario por la cantidad de unidades, prevalecerá el precio unitario indicado.</w:t>
      </w:r>
    </w:p>
    <w:p w:rsidR="008E45B1" w:rsidRPr="008D73E7" w:rsidRDefault="008E45B1" w:rsidP="00490F55">
      <w:pPr>
        <w:numPr>
          <w:ilvl w:val="0"/>
          <w:numId w:val="8"/>
        </w:numPr>
        <w:tabs>
          <w:tab w:val="clear" w:pos="927"/>
        </w:tabs>
        <w:spacing w:after="240"/>
        <w:ind w:left="993" w:hanging="284"/>
        <w:jc w:val="both"/>
        <w:rPr>
          <w:sz w:val="22"/>
          <w:lang w:val="es-ES"/>
        </w:rPr>
      </w:pPr>
      <w:bookmarkStart w:id="201" w:name="_Toc39462895"/>
      <w:r w:rsidRPr="008D73E7">
        <w:rPr>
          <w:sz w:val="22"/>
          <w:lang w:val="es-ES"/>
        </w:rPr>
        <w:t>Los importes resultantes de esta corrección serán vinculantes para el licitador. En caso de que el licitador no los acepte, su oferta será rechazada.</w:t>
      </w:r>
      <w:bookmarkEnd w:id="201"/>
    </w:p>
    <w:p w:rsidR="008E45B1" w:rsidRPr="008D73E7" w:rsidRDefault="008E45B1" w:rsidP="00490F55">
      <w:pPr>
        <w:spacing w:after="240"/>
        <w:ind w:left="567" w:hanging="567"/>
        <w:rPr>
          <w:sz w:val="22"/>
          <w:lang w:val="es-ES"/>
        </w:rPr>
      </w:pPr>
      <w:bookmarkStart w:id="202" w:name="_Toc39462896"/>
      <w:bookmarkStart w:id="203" w:name="_Toc39462322"/>
      <w:r>
        <w:rPr>
          <w:sz w:val="22"/>
          <w:lang w:val="es-ES"/>
        </w:rPr>
        <w:t>20</w:t>
      </w:r>
      <w:r w:rsidRPr="008D73E7">
        <w:rPr>
          <w:sz w:val="22"/>
          <w:lang w:val="es-ES"/>
        </w:rPr>
        <w:t>.5</w:t>
      </w:r>
      <w:r w:rsidRPr="008D73E7">
        <w:rPr>
          <w:sz w:val="22"/>
          <w:lang w:val="es-ES"/>
        </w:rPr>
        <w:tab/>
        <w:t>Variantes</w:t>
      </w:r>
      <w:bookmarkEnd w:id="202"/>
      <w:bookmarkEnd w:id="203"/>
    </w:p>
    <w:p w:rsidR="008E45B1" w:rsidRPr="008D73E7" w:rsidRDefault="008E45B1" w:rsidP="00490F55">
      <w:pPr>
        <w:spacing w:after="240"/>
        <w:ind w:left="567"/>
        <w:rPr>
          <w:sz w:val="22"/>
          <w:lang w:val="es-ES"/>
        </w:rPr>
      </w:pPr>
      <w:r w:rsidRPr="00AC6D9C">
        <w:rPr>
          <w:sz w:val="22"/>
          <w:lang w:val="es-ES"/>
        </w:rPr>
        <w:t xml:space="preserve">No se </w:t>
      </w:r>
      <w:r>
        <w:rPr>
          <w:sz w:val="22"/>
          <w:lang w:val="es-ES"/>
        </w:rPr>
        <w:t>tendrán en cuenta las variantes</w:t>
      </w:r>
      <w:r w:rsidRPr="00AC6D9C">
        <w:rPr>
          <w:sz w:val="22"/>
          <w:lang w:val="es-ES"/>
        </w:rPr>
        <w:t>.</w:t>
      </w:r>
    </w:p>
    <w:p w:rsidR="008E45B1" w:rsidRPr="008D73E7" w:rsidRDefault="008E45B1" w:rsidP="00490F55">
      <w:pPr>
        <w:spacing w:after="240"/>
        <w:ind w:left="567" w:hanging="567"/>
        <w:rPr>
          <w:sz w:val="22"/>
          <w:lang w:val="es-ES"/>
        </w:rPr>
      </w:pPr>
      <w:bookmarkStart w:id="204" w:name="_Toc39462897"/>
      <w:bookmarkStart w:id="205" w:name="_Toc39462323"/>
      <w:r>
        <w:rPr>
          <w:sz w:val="22"/>
          <w:lang w:val="es-ES"/>
        </w:rPr>
        <w:t>20</w:t>
      </w:r>
      <w:r w:rsidRPr="008D73E7">
        <w:rPr>
          <w:sz w:val="22"/>
          <w:lang w:val="es-ES"/>
        </w:rPr>
        <w:t>.6</w:t>
      </w:r>
      <w:r w:rsidRPr="008D73E7">
        <w:rPr>
          <w:sz w:val="22"/>
          <w:lang w:val="es-ES"/>
        </w:rPr>
        <w:tab/>
        <w:t>Criterios de adjudicación</w:t>
      </w:r>
      <w:bookmarkEnd w:id="204"/>
      <w:bookmarkEnd w:id="205"/>
    </w:p>
    <w:p w:rsidR="008E45B1" w:rsidRPr="00B556F1" w:rsidRDefault="008E45B1" w:rsidP="00490F55">
      <w:pPr>
        <w:spacing w:after="240"/>
        <w:ind w:left="567"/>
        <w:jc w:val="both"/>
        <w:outlineLvl w:val="0"/>
        <w:rPr>
          <w:sz w:val="22"/>
          <w:lang w:val="es-ES"/>
        </w:rPr>
      </w:pPr>
      <w:r w:rsidRPr="00B556F1">
        <w:rPr>
          <w:sz w:val="22"/>
          <w:lang w:val="es-ES"/>
        </w:rPr>
        <w:t>El único criterio de adjudicación será el precio. El contrato será atribuido a la oferta conforme que ofrezca el precio más bajo</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206" w:name="_Toc43004187"/>
      <w:bookmarkStart w:id="207" w:name="_Toc39896819"/>
      <w:bookmarkStart w:id="208" w:name="_Toc39463061"/>
      <w:bookmarkStart w:id="209" w:name="_Toc39462902"/>
      <w:bookmarkStart w:id="210" w:name="_Toc39462328"/>
      <w:r w:rsidRPr="00106900">
        <w:rPr>
          <w:rFonts w:ascii="Times New Roman" w:hAnsi="Times New Roman"/>
          <w:i w:val="0"/>
          <w:sz w:val="24"/>
          <w:szCs w:val="24"/>
        </w:rPr>
        <w:t>Firma del contrato y garantía de ejecución</w:t>
      </w:r>
      <w:bookmarkEnd w:id="206"/>
      <w:bookmarkEnd w:id="207"/>
      <w:bookmarkEnd w:id="208"/>
      <w:bookmarkEnd w:id="209"/>
      <w:bookmarkEnd w:id="210"/>
    </w:p>
    <w:p w:rsidR="008E45B1" w:rsidRPr="00FA703A" w:rsidRDefault="008E45B1" w:rsidP="00490F55">
      <w:pPr>
        <w:spacing w:after="240"/>
        <w:ind w:left="567" w:hanging="567"/>
        <w:jc w:val="both"/>
        <w:rPr>
          <w:sz w:val="22"/>
          <w:lang w:val="es-ES"/>
        </w:rPr>
      </w:pPr>
      <w:bookmarkStart w:id="211" w:name="_Toc39462903"/>
      <w:bookmarkStart w:id="212" w:name="_Toc39462329"/>
      <w:r>
        <w:rPr>
          <w:sz w:val="22"/>
          <w:lang w:val="es-ES"/>
        </w:rPr>
        <w:t>21.1</w:t>
      </w:r>
      <w:r>
        <w:rPr>
          <w:sz w:val="22"/>
          <w:lang w:val="es-ES"/>
        </w:rPr>
        <w:tab/>
      </w:r>
      <w:r w:rsidRPr="008D73E7">
        <w:rPr>
          <w:sz w:val="22"/>
          <w:lang w:val="es-ES"/>
        </w:rPr>
        <w:t>El adjudicatario será informado por escrito de que su oferta ha sido seleccionada (notificación de la adjudicación del contrato).</w:t>
      </w:r>
      <w:r w:rsidRPr="00FA703A">
        <w:rPr>
          <w:sz w:val="22"/>
          <w:lang w:val="es-ES"/>
        </w:rPr>
        <w:t xml:space="preserve">Antes de la firma del contrato entre el Órgano de contratación y </w:t>
      </w:r>
      <w:r w:rsidRPr="00FA703A">
        <w:rPr>
          <w:sz w:val="22"/>
          <w:lang w:val="es-ES"/>
        </w:rPr>
        <w:lastRenderedPageBreak/>
        <w:t xml:space="preserve">el licitador, este último debe presentar los </w:t>
      </w:r>
      <w:r w:rsidRPr="00802C39">
        <w:rPr>
          <w:sz w:val="22"/>
          <w:lang w:val="es-ES"/>
        </w:rPr>
        <w:t xml:space="preserve">documentos </w:t>
      </w:r>
      <w:r w:rsidRPr="00FA703A">
        <w:rPr>
          <w:sz w:val="22"/>
          <w:lang w:val="es-ES"/>
        </w:rPr>
        <w:t xml:space="preserve">o declaraciones exigidos por la legislación del país en el que la sociedad (o cada una de las sociedades en caso de consorcio) esté establecida, como prueba de que no se halla en ninguna de las situaciones previstas en el apartado 2.3.3. de la Guía práctica de los procedimientos contractuales para las acciones exteriores de la </w:t>
      </w:r>
      <w:r>
        <w:rPr>
          <w:sz w:val="22"/>
          <w:lang w:val="es-ES"/>
        </w:rPr>
        <w:t>Unión</w:t>
      </w:r>
      <w:r w:rsidRPr="00FA703A">
        <w:rPr>
          <w:sz w:val="22"/>
          <w:lang w:val="es-ES"/>
        </w:rPr>
        <w:t xml:space="preserve"> Europea.  La fecha de estas pruebas, declaraciones o documentos no puede ser anterior en más de un año a la fecha de presentación de la oferta. Además el adjudicatario debe presentar una declaración en la que indique que su situación no ha cambiado después del establecimiento de las pruebas</w:t>
      </w:r>
      <w:r w:rsidRPr="00FA703A">
        <w:rPr>
          <w:sz w:val="22"/>
          <w:szCs w:val="22"/>
          <w:lang w:val="es-ES"/>
        </w:rPr>
        <w:t>.</w:t>
      </w:r>
    </w:p>
    <w:p w:rsidR="008E45B1" w:rsidRPr="008D73E7" w:rsidRDefault="008E45B1" w:rsidP="00490F55">
      <w:pPr>
        <w:spacing w:after="240"/>
        <w:ind w:left="567" w:hanging="567"/>
        <w:jc w:val="both"/>
        <w:rPr>
          <w:sz w:val="22"/>
          <w:lang w:val="es-ES"/>
        </w:rPr>
      </w:pPr>
      <w:r>
        <w:rPr>
          <w:sz w:val="22"/>
          <w:lang w:val="es-ES"/>
        </w:rPr>
        <w:t>21</w:t>
      </w:r>
      <w:r w:rsidRPr="00FA703A">
        <w:rPr>
          <w:sz w:val="22"/>
          <w:lang w:val="es-ES"/>
        </w:rPr>
        <w:t>.</w:t>
      </w:r>
      <w:r>
        <w:rPr>
          <w:sz w:val="22"/>
          <w:lang w:val="es-ES"/>
        </w:rPr>
        <w:t>2</w:t>
      </w:r>
      <w:r w:rsidRPr="00FA703A">
        <w:rPr>
          <w:sz w:val="22"/>
          <w:lang w:val="es-ES"/>
        </w:rPr>
        <w:tab/>
        <w:t>El adjudicatario deberá también presentar prueba de su capacidad</w:t>
      </w:r>
      <w:r w:rsidRPr="008D73E7">
        <w:rPr>
          <w:sz w:val="22"/>
          <w:lang w:val="es-ES"/>
        </w:rPr>
        <w:t xml:space="preserve"> financiera y económica, así como de su capacidad técnica y profesional con arreglo a los criterios de selección de esta licitación tal como se especifica en el punto 16 del anuncio de licitación. Las pruebas documentales exigidas se enumeran en </w:t>
      </w:r>
      <w:r>
        <w:rPr>
          <w:sz w:val="22"/>
          <w:lang w:val="es-ES"/>
        </w:rPr>
        <w:t>el</w:t>
      </w:r>
      <w:r w:rsidRPr="008D73E7">
        <w:rPr>
          <w:sz w:val="22"/>
          <w:lang w:val="es-ES"/>
        </w:rPr>
        <w:t xml:space="preserve"> apartado</w:t>
      </w:r>
      <w:r>
        <w:rPr>
          <w:sz w:val="22"/>
          <w:lang w:val="es-ES"/>
        </w:rPr>
        <w:t xml:space="preserve"> 2.4.11</w:t>
      </w:r>
      <w:r w:rsidRPr="008D73E7">
        <w:rPr>
          <w:sz w:val="22"/>
          <w:lang w:val="es-ES"/>
        </w:rPr>
        <w:t xml:space="preserve"> de la Guía Práctica de los procedimientos contractuales para las acciones exteriores de la </w:t>
      </w:r>
      <w:r>
        <w:rPr>
          <w:sz w:val="22"/>
          <w:lang w:val="es-ES"/>
        </w:rPr>
        <w:t>Unión</w:t>
      </w:r>
      <w:r w:rsidRPr="008D73E7">
        <w:rPr>
          <w:sz w:val="22"/>
          <w:lang w:val="es-ES"/>
        </w:rPr>
        <w:t xml:space="preserve"> Europea.</w:t>
      </w:r>
    </w:p>
    <w:p w:rsidR="008E45B1" w:rsidRPr="008D73E7" w:rsidRDefault="008E45B1" w:rsidP="00490F55">
      <w:pPr>
        <w:spacing w:after="240"/>
        <w:ind w:left="567" w:hanging="567"/>
        <w:jc w:val="both"/>
        <w:rPr>
          <w:sz w:val="22"/>
          <w:lang w:val="es-ES"/>
        </w:rPr>
      </w:pPr>
      <w:r>
        <w:rPr>
          <w:sz w:val="22"/>
          <w:lang w:val="es-ES"/>
        </w:rPr>
        <w:t>21</w:t>
      </w:r>
      <w:r w:rsidRPr="008D73E7">
        <w:rPr>
          <w:sz w:val="22"/>
          <w:lang w:val="es-ES"/>
        </w:rPr>
        <w:t>.</w:t>
      </w:r>
      <w:r>
        <w:rPr>
          <w:sz w:val="22"/>
          <w:lang w:val="es-ES"/>
        </w:rPr>
        <w:t>3</w:t>
      </w:r>
      <w:r>
        <w:rPr>
          <w:sz w:val="22"/>
          <w:lang w:val="es-ES"/>
        </w:rPr>
        <w:tab/>
      </w:r>
      <w:r w:rsidRPr="008D73E7">
        <w:rPr>
          <w:sz w:val="22"/>
          <w:lang w:val="es-ES"/>
        </w:rPr>
        <w:t>Si el adjudicatario no presenta estas pruebas documentales o declaraciones en el plazo de 15 días naturales a partir de la notificación de la adjudicación del contrato o se comprueba que ha facilitado informaciones falsas, la adjudicación del contrato se considera nula. En éste caso, el Órgano de contratación puede adjudicar el contrato al  licitador que haya presentado la siguiente oferta económica más baja o anular el procedimiento de licitación</w:t>
      </w:r>
      <w:r>
        <w:rPr>
          <w:sz w:val="22"/>
          <w:szCs w:val="22"/>
          <w:lang w:val="es-ES"/>
        </w:rPr>
        <w:t>.</w:t>
      </w:r>
    </w:p>
    <w:p w:rsidR="008E45B1" w:rsidRPr="008D73E7" w:rsidRDefault="008E45B1" w:rsidP="00490F55">
      <w:pPr>
        <w:tabs>
          <w:tab w:val="num" w:pos="567"/>
        </w:tabs>
        <w:spacing w:after="240"/>
        <w:ind w:left="567" w:hanging="567"/>
        <w:jc w:val="both"/>
        <w:outlineLvl w:val="0"/>
        <w:rPr>
          <w:sz w:val="22"/>
          <w:lang w:val="es-ES"/>
        </w:rPr>
      </w:pPr>
      <w:r>
        <w:rPr>
          <w:sz w:val="22"/>
          <w:lang w:val="es-ES"/>
        </w:rPr>
        <w:t>21</w:t>
      </w:r>
      <w:r w:rsidRPr="008D73E7">
        <w:rPr>
          <w:sz w:val="22"/>
          <w:lang w:val="es-ES"/>
        </w:rPr>
        <w:t>.</w:t>
      </w:r>
      <w:r>
        <w:rPr>
          <w:sz w:val="22"/>
          <w:lang w:val="es-ES"/>
        </w:rPr>
        <w:t>4</w:t>
      </w:r>
      <w:r w:rsidRPr="008D73E7">
        <w:rPr>
          <w:sz w:val="22"/>
          <w:lang w:val="es-ES"/>
        </w:rPr>
        <w:tab/>
        <w:t>El Órgano de Contratación se reserva el derecho de modificar las cantidades previstas para el/los lote(s)/los componentes de los lotes(s) n°</w:t>
      </w:r>
      <w:r w:rsidRPr="008D73E7">
        <w:rPr>
          <w:sz w:val="22"/>
          <w:szCs w:val="22"/>
          <w:lang w:val="es-ES"/>
        </w:rPr>
        <w:t xml:space="preserve"> </w:t>
      </w:r>
      <w:r>
        <w:rPr>
          <w:sz w:val="22"/>
          <w:szCs w:val="22"/>
          <w:lang w:val="es-ES"/>
        </w:rPr>
        <w:t xml:space="preserve">1 al 14 </w:t>
      </w:r>
      <w:r w:rsidRPr="008D73E7">
        <w:rPr>
          <w:sz w:val="22"/>
          <w:szCs w:val="22"/>
          <w:lang w:val="es-ES"/>
        </w:rPr>
        <w:t xml:space="preserve">dentro de un porcentaje del 100%. </w:t>
      </w:r>
      <w:r w:rsidRPr="008D73E7">
        <w:rPr>
          <w:sz w:val="22"/>
          <w:lang w:val="es-ES"/>
        </w:rPr>
        <w:t xml:space="preserve">Como consecuencia de la modificación de las cantidades, </w:t>
      </w:r>
      <w:r w:rsidRPr="008D73E7">
        <w:rPr>
          <w:sz w:val="22"/>
          <w:szCs w:val="22"/>
          <w:lang w:val="es-ES"/>
        </w:rPr>
        <w:t>el valor total de los suministros no podrá aumentar o disminuir en más del 25 % del precio de</w:t>
      </w:r>
      <w:r>
        <w:rPr>
          <w:sz w:val="22"/>
          <w:szCs w:val="22"/>
          <w:lang w:val="es-ES"/>
        </w:rPr>
        <w:t xml:space="preserve"> la oferta</w:t>
      </w:r>
      <w:r w:rsidRPr="008D73E7">
        <w:rPr>
          <w:sz w:val="22"/>
          <w:szCs w:val="22"/>
          <w:lang w:val="es-ES"/>
        </w:rPr>
        <w:t xml:space="preserve"> en el momento de la contratación y durante la validez del contrato. </w:t>
      </w:r>
      <w:r w:rsidRPr="008D73E7">
        <w:rPr>
          <w:sz w:val="22"/>
          <w:lang w:val="es-ES"/>
        </w:rPr>
        <w:t>Los precios unitarios de la oferta deberán aplicarse a las cantidades procuradas en virtud de esta modificación.</w:t>
      </w:r>
    </w:p>
    <w:p w:rsidR="008E45B1" w:rsidRPr="008D73E7" w:rsidRDefault="008E45B1" w:rsidP="00490F55">
      <w:pPr>
        <w:spacing w:after="240"/>
        <w:ind w:left="540" w:hanging="540"/>
        <w:jc w:val="both"/>
        <w:rPr>
          <w:sz w:val="22"/>
          <w:lang w:val="es-ES"/>
        </w:rPr>
      </w:pPr>
      <w:r>
        <w:rPr>
          <w:sz w:val="22"/>
          <w:lang w:val="es-ES"/>
        </w:rPr>
        <w:t>21</w:t>
      </w:r>
      <w:r w:rsidRPr="008D73E7">
        <w:rPr>
          <w:sz w:val="22"/>
          <w:lang w:val="es-ES"/>
        </w:rPr>
        <w:t>.</w:t>
      </w:r>
      <w:r>
        <w:rPr>
          <w:sz w:val="22"/>
          <w:lang w:val="es-ES"/>
        </w:rPr>
        <w:t>5</w:t>
      </w:r>
      <w:r>
        <w:rPr>
          <w:sz w:val="22"/>
          <w:lang w:val="es-ES"/>
        </w:rPr>
        <w:tab/>
      </w:r>
      <w:r w:rsidRPr="008D73E7">
        <w:rPr>
          <w:sz w:val="22"/>
          <w:lang w:val="es-ES"/>
        </w:rPr>
        <w:t>En un plazo de 30 días desde la recepción del contrato ya firmado por el Órgano de Contratación, el adjudicatario debe firmarlo, fecharlo y devolverlo al Órgano de Contratación junto con la garantía de ejecución</w:t>
      </w:r>
      <w:r>
        <w:rPr>
          <w:sz w:val="22"/>
          <w:lang w:val="es-ES"/>
        </w:rPr>
        <w:t xml:space="preserve"> (si procede ésta última)</w:t>
      </w:r>
      <w:r w:rsidRPr="008D73E7">
        <w:rPr>
          <w:sz w:val="22"/>
          <w:lang w:val="es-ES"/>
        </w:rPr>
        <w:t>. Al firmar el contrato, el licitador seleccionado pasará a ser el Contratista y el contrato entrará en vigor.</w:t>
      </w:r>
      <w:bookmarkEnd w:id="211"/>
      <w:bookmarkEnd w:id="212"/>
    </w:p>
    <w:p w:rsidR="008E45B1" w:rsidRPr="008D73E7" w:rsidRDefault="008E45B1" w:rsidP="00490F55">
      <w:pPr>
        <w:spacing w:after="240"/>
        <w:ind w:left="540" w:hanging="567"/>
        <w:jc w:val="both"/>
        <w:rPr>
          <w:sz w:val="22"/>
          <w:lang w:val="es-ES"/>
        </w:rPr>
      </w:pPr>
      <w:bookmarkStart w:id="213" w:name="_Toc39462904"/>
      <w:bookmarkStart w:id="214" w:name="_Toc39462330"/>
      <w:bookmarkStart w:id="215" w:name="_Ref500418776"/>
      <w:r>
        <w:rPr>
          <w:sz w:val="22"/>
          <w:lang w:val="es-ES"/>
        </w:rPr>
        <w:t>21</w:t>
      </w:r>
      <w:r w:rsidRPr="008D73E7">
        <w:rPr>
          <w:sz w:val="22"/>
          <w:lang w:val="es-ES"/>
        </w:rPr>
        <w:t>.</w:t>
      </w:r>
      <w:r>
        <w:rPr>
          <w:sz w:val="22"/>
          <w:lang w:val="es-ES"/>
        </w:rPr>
        <w:t>6</w:t>
      </w:r>
      <w:r>
        <w:rPr>
          <w:sz w:val="22"/>
          <w:lang w:val="es-ES"/>
        </w:rPr>
        <w:tab/>
      </w:r>
      <w:r w:rsidRPr="008D73E7">
        <w:rPr>
          <w:sz w:val="22"/>
          <w:lang w:val="es-ES"/>
        </w:rPr>
        <w:t>Si el licitador seleccionado no firma el contrato ni lo devuelve, junto con las garantías financieras requeridas, en un plazo de 30 días desde la recepción de la notificación, el Órgano de Contratación podrá considerar nula la aceptación de la oferta, sin perjuicio de la retención de la garantía de licitación, de los derechos compensatorios o de los recursos que estén a su disposición derivados de ese incumplimiento y sin posibilidad de reclamación por parte del licitador seleccionado.</w:t>
      </w:r>
      <w:bookmarkEnd w:id="213"/>
      <w:bookmarkEnd w:id="214"/>
    </w:p>
    <w:bookmarkEnd w:id="215"/>
    <w:p w:rsidR="008E45B1" w:rsidRPr="008D73E7" w:rsidRDefault="008E45B1" w:rsidP="00490F55">
      <w:pPr>
        <w:tabs>
          <w:tab w:val="num" w:pos="567"/>
        </w:tabs>
        <w:spacing w:after="240"/>
        <w:ind w:left="567" w:hanging="567"/>
        <w:jc w:val="both"/>
        <w:outlineLvl w:val="0"/>
        <w:rPr>
          <w:sz w:val="20"/>
          <w:lang w:val="es-ES"/>
        </w:rPr>
      </w:pPr>
      <w:r>
        <w:rPr>
          <w:sz w:val="22"/>
          <w:szCs w:val="22"/>
          <w:lang w:val="es-ES"/>
        </w:rPr>
        <w:t>21</w:t>
      </w:r>
      <w:r w:rsidRPr="004539C3">
        <w:rPr>
          <w:sz w:val="22"/>
          <w:szCs w:val="22"/>
          <w:lang w:val="es-ES"/>
        </w:rPr>
        <w:t>.7</w:t>
      </w:r>
      <w:r w:rsidRPr="008D73E7">
        <w:rPr>
          <w:lang w:val="es-ES"/>
        </w:rPr>
        <w:tab/>
      </w:r>
      <w:r w:rsidRPr="008D73E7">
        <w:rPr>
          <w:sz w:val="22"/>
          <w:lang w:val="es-ES"/>
        </w:rPr>
        <w:t xml:space="preserve">La garantía de ejecución mencionada en las Condiciones Generales se fija en </w:t>
      </w:r>
      <w:r>
        <w:rPr>
          <w:sz w:val="22"/>
          <w:lang w:val="es-ES"/>
        </w:rPr>
        <w:t xml:space="preserve">el 5% del precio </w:t>
      </w:r>
      <w:r w:rsidRPr="008D73E7">
        <w:rPr>
          <w:sz w:val="22"/>
          <w:lang w:val="es-ES"/>
        </w:rPr>
        <w:t xml:space="preserve"> del contrato y debe presentarse con a</w:t>
      </w:r>
      <w:r>
        <w:rPr>
          <w:sz w:val="22"/>
          <w:lang w:val="es-ES"/>
        </w:rPr>
        <w:t>rreglo al modelo que figura anex</w:t>
      </w:r>
      <w:r w:rsidRPr="008D73E7">
        <w:rPr>
          <w:sz w:val="22"/>
          <w:lang w:val="es-ES"/>
        </w:rPr>
        <w:t xml:space="preserve">o al expediente de licitación. La garantía se liberará en un plazo de </w:t>
      </w:r>
      <w:r w:rsidRPr="006B1865">
        <w:rPr>
          <w:sz w:val="22"/>
          <w:lang w:val="es-ES"/>
        </w:rPr>
        <w:t>45</w:t>
      </w:r>
      <w:r w:rsidRPr="008D73E7">
        <w:rPr>
          <w:sz w:val="22"/>
          <w:lang w:val="es-ES"/>
        </w:rPr>
        <w:t xml:space="preserve"> días a partir de la fecha del certificado de recepción definitiva expedido por el Órgano de Contratación, excepto la proporción asignada para los servicios posventa.</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216" w:name="_Toc43004188"/>
      <w:bookmarkStart w:id="217" w:name="_Toc39896820"/>
      <w:bookmarkStart w:id="218" w:name="_Toc39463062"/>
      <w:bookmarkStart w:id="219" w:name="_Toc39462905"/>
      <w:bookmarkStart w:id="220" w:name="_Toc39462331"/>
      <w:r w:rsidRPr="00106900">
        <w:rPr>
          <w:rFonts w:ascii="Times New Roman" w:hAnsi="Times New Roman"/>
          <w:i w:val="0"/>
          <w:sz w:val="24"/>
          <w:szCs w:val="24"/>
        </w:rPr>
        <w:t>Garantía de licitación</w:t>
      </w:r>
      <w:bookmarkEnd w:id="216"/>
      <w:bookmarkEnd w:id="217"/>
      <w:bookmarkEnd w:id="218"/>
      <w:bookmarkEnd w:id="219"/>
      <w:bookmarkEnd w:id="220"/>
    </w:p>
    <w:p w:rsidR="008E45B1" w:rsidRDefault="008E45B1" w:rsidP="00490F55">
      <w:pPr>
        <w:spacing w:after="240"/>
        <w:ind w:left="567"/>
        <w:jc w:val="both"/>
        <w:rPr>
          <w:sz w:val="22"/>
          <w:lang w:val="es-ES_tradnl"/>
        </w:rPr>
      </w:pPr>
      <w:r w:rsidRPr="008D73E7">
        <w:rPr>
          <w:sz w:val="22"/>
          <w:lang w:val="es-ES_tradnl"/>
        </w:rPr>
        <w:t xml:space="preserve">La garantía de licitación referida en el artículo 11 de las presentes instrucciones es fijada en </w:t>
      </w:r>
      <w:r>
        <w:rPr>
          <w:sz w:val="22"/>
          <w:lang w:val="es-ES_tradnl"/>
        </w:rPr>
        <w:t>el 1%  del presupuesto disponible para el/los lote/lotes</w:t>
      </w:r>
      <w:r w:rsidRPr="008D73E7">
        <w:rPr>
          <w:sz w:val="22"/>
          <w:lang w:val="es-ES_tradnl"/>
        </w:rPr>
        <w:t xml:space="preserve"> </w:t>
      </w:r>
    </w:p>
    <w:p w:rsidR="008E45B1" w:rsidRDefault="008E45B1" w:rsidP="00490F55">
      <w:pPr>
        <w:spacing w:after="240"/>
        <w:ind w:left="567"/>
        <w:jc w:val="both"/>
        <w:rPr>
          <w:sz w:val="22"/>
          <w:lang w:val="es-ES_tradnl"/>
        </w:rPr>
      </w:pPr>
    </w:p>
    <w:p w:rsidR="008E45B1" w:rsidRDefault="008E45B1" w:rsidP="00490F55">
      <w:pPr>
        <w:spacing w:after="240"/>
        <w:ind w:left="567"/>
        <w:jc w:val="both"/>
        <w:rPr>
          <w:sz w:val="22"/>
          <w:lang w:val="es-ES_tradnl"/>
        </w:rPr>
      </w:pPr>
    </w:p>
    <w:p w:rsidR="008E45B1" w:rsidRDefault="008E45B1" w:rsidP="00490F55">
      <w:pPr>
        <w:spacing w:after="240"/>
        <w:ind w:left="567"/>
        <w:jc w:val="both"/>
        <w:rPr>
          <w:sz w:val="22"/>
          <w:lang w:val="es-ES_tradnl"/>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5245"/>
        <w:gridCol w:w="1525"/>
      </w:tblGrid>
      <w:tr w:rsidR="008E45B1" w:rsidRPr="000F535B" w:rsidTr="00AA1BC6">
        <w:tc>
          <w:tcPr>
            <w:tcW w:w="1384" w:type="dxa"/>
            <w:shd w:val="clear" w:color="auto" w:fill="D9D9D9"/>
          </w:tcPr>
          <w:p w:rsidR="008E45B1" w:rsidRPr="00AA1BC6" w:rsidRDefault="008E45B1" w:rsidP="00AA1BC6">
            <w:pPr>
              <w:tabs>
                <w:tab w:val="left" w:pos="1134"/>
              </w:tabs>
              <w:spacing w:after="240"/>
              <w:jc w:val="center"/>
              <w:rPr>
                <w:lang w:val="es-ES"/>
              </w:rPr>
            </w:pPr>
          </w:p>
          <w:p w:rsidR="008E45B1" w:rsidRPr="00AA1BC6" w:rsidRDefault="008E45B1" w:rsidP="00AA1BC6">
            <w:pPr>
              <w:tabs>
                <w:tab w:val="left" w:pos="1134"/>
              </w:tabs>
              <w:spacing w:after="240"/>
              <w:jc w:val="center"/>
              <w:rPr>
                <w:lang w:val="es-ES"/>
              </w:rPr>
            </w:pPr>
            <w:r w:rsidRPr="00AA1BC6">
              <w:rPr>
                <w:sz w:val="22"/>
                <w:szCs w:val="22"/>
                <w:lang w:val="es-ES"/>
              </w:rPr>
              <w:t>LOTES</w:t>
            </w:r>
          </w:p>
        </w:tc>
        <w:tc>
          <w:tcPr>
            <w:tcW w:w="5245" w:type="dxa"/>
            <w:shd w:val="clear" w:color="auto" w:fill="D9D9D9"/>
          </w:tcPr>
          <w:p w:rsidR="008E45B1" w:rsidRPr="00AA1BC6" w:rsidRDefault="008E45B1" w:rsidP="00AA1BC6">
            <w:pPr>
              <w:tabs>
                <w:tab w:val="left" w:pos="1134"/>
              </w:tabs>
              <w:spacing w:after="240"/>
              <w:jc w:val="center"/>
              <w:rPr>
                <w:lang w:val="es-ES"/>
              </w:rPr>
            </w:pPr>
          </w:p>
          <w:p w:rsidR="008E45B1" w:rsidRPr="00AA1BC6" w:rsidRDefault="008E45B1" w:rsidP="00AA1BC6">
            <w:pPr>
              <w:tabs>
                <w:tab w:val="left" w:pos="1134"/>
              </w:tabs>
              <w:spacing w:after="240"/>
              <w:jc w:val="center"/>
              <w:rPr>
                <w:lang w:val="es-ES"/>
              </w:rPr>
            </w:pPr>
            <w:r w:rsidRPr="00AA1BC6">
              <w:rPr>
                <w:sz w:val="22"/>
                <w:szCs w:val="22"/>
                <w:lang w:val="es-ES"/>
              </w:rPr>
              <w:t>DESCRIPCIÓN</w:t>
            </w:r>
          </w:p>
        </w:tc>
        <w:tc>
          <w:tcPr>
            <w:tcW w:w="1525" w:type="dxa"/>
            <w:shd w:val="clear" w:color="auto" w:fill="D9D9D9"/>
          </w:tcPr>
          <w:p w:rsidR="008E45B1" w:rsidRPr="00AA1BC6" w:rsidRDefault="008E45B1" w:rsidP="00AA1BC6">
            <w:pPr>
              <w:tabs>
                <w:tab w:val="left" w:pos="1134"/>
              </w:tabs>
              <w:spacing w:after="240"/>
              <w:jc w:val="center"/>
              <w:rPr>
                <w:lang w:val="es-ES"/>
              </w:rPr>
            </w:pPr>
          </w:p>
          <w:p w:rsidR="008E45B1" w:rsidRPr="00AA1BC6" w:rsidRDefault="008E45B1" w:rsidP="00AA1BC6">
            <w:pPr>
              <w:tabs>
                <w:tab w:val="left" w:pos="1134"/>
              </w:tabs>
              <w:jc w:val="center"/>
              <w:rPr>
                <w:lang w:val="es-ES"/>
              </w:rPr>
            </w:pPr>
            <w:r w:rsidRPr="00AA1BC6">
              <w:rPr>
                <w:sz w:val="22"/>
                <w:szCs w:val="22"/>
                <w:lang w:val="es-ES"/>
              </w:rPr>
              <w:t xml:space="preserve">MONTO DE GARANTÍA DE LICITACIÓN       </w:t>
            </w:r>
          </w:p>
          <w:p w:rsidR="008E45B1" w:rsidRPr="00AA1BC6" w:rsidRDefault="008E45B1" w:rsidP="00AA1BC6">
            <w:pPr>
              <w:tabs>
                <w:tab w:val="left" w:pos="1134"/>
              </w:tabs>
              <w:jc w:val="center"/>
              <w:rPr>
                <w:lang w:val="es-ES"/>
              </w:rPr>
            </w:pPr>
            <w:r w:rsidRPr="00AA1BC6">
              <w:rPr>
                <w:sz w:val="22"/>
                <w:szCs w:val="22"/>
                <w:lang w:val="es-ES"/>
              </w:rPr>
              <w:t xml:space="preserve"> (en euros)</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1</w:t>
            </w:r>
          </w:p>
        </w:tc>
        <w:tc>
          <w:tcPr>
            <w:tcW w:w="5245" w:type="dxa"/>
          </w:tcPr>
          <w:p w:rsidR="008E45B1" w:rsidRPr="00AA1BC6" w:rsidRDefault="008E45B1" w:rsidP="00CB70D0">
            <w:pPr>
              <w:rPr>
                <w:lang w:val="es-CO"/>
              </w:rPr>
            </w:pPr>
            <w:r w:rsidRPr="00AA1BC6">
              <w:rPr>
                <w:sz w:val="22"/>
                <w:szCs w:val="22"/>
                <w:lang w:val="es-CO"/>
              </w:rPr>
              <w:t xml:space="preserve">Tres Items:  </w:t>
            </w:r>
          </w:p>
          <w:p w:rsidR="008E45B1" w:rsidRPr="00AA1BC6" w:rsidRDefault="008E45B1" w:rsidP="00CB70D0">
            <w:pPr>
              <w:rPr>
                <w:lang w:val="es-CO"/>
              </w:rPr>
            </w:pPr>
            <w:r w:rsidRPr="00AA1BC6">
              <w:rPr>
                <w:sz w:val="22"/>
                <w:szCs w:val="22"/>
                <w:lang w:val="es-CO"/>
              </w:rPr>
              <w:t>Cromatografo de gases-detector espectrómetro de masas</w:t>
            </w:r>
          </w:p>
          <w:p w:rsidR="008E45B1" w:rsidRPr="00AA1BC6" w:rsidRDefault="008E45B1" w:rsidP="00CB70D0">
            <w:pPr>
              <w:rPr>
                <w:bCs/>
                <w:color w:val="000000"/>
              </w:rPr>
            </w:pPr>
            <w:r w:rsidRPr="00AA1BC6">
              <w:rPr>
                <w:bCs/>
                <w:color w:val="000000"/>
                <w:sz w:val="22"/>
                <w:szCs w:val="22"/>
              </w:rPr>
              <w:t>Ultrasonido</w:t>
            </w:r>
          </w:p>
          <w:p w:rsidR="008E45B1" w:rsidRPr="00AA1BC6" w:rsidRDefault="008E45B1" w:rsidP="00AA1BC6">
            <w:pPr>
              <w:jc w:val="both"/>
              <w:rPr>
                <w:lang w:val="es-CO"/>
              </w:rPr>
            </w:pPr>
            <w:r w:rsidRPr="00AA1BC6">
              <w:rPr>
                <w:bCs/>
                <w:color w:val="000000"/>
                <w:sz w:val="22"/>
                <w:szCs w:val="22"/>
              </w:rPr>
              <w:t>Derivatizador -Baño Seco</w:t>
            </w:r>
          </w:p>
        </w:tc>
        <w:tc>
          <w:tcPr>
            <w:tcW w:w="1525" w:type="dxa"/>
          </w:tcPr>
          <w:p w:rsidR="008E45B1" w:rsidRPr="00AA1BC6" w:rsidRDefault="008E45B1" w:rsidP="00AA1BC6">
            <w:pPr>
              <w:tabs>
                <w:tab w:val="left" w:pos="1134"/>
              </w:tabs>
              <w:spacing w:after="240"/>
              <w:jc w:val="both"/>
              <w:rPr>
                <w:lang w:val="es-ES"/>
              </w:rPr>
            </w:pPr>
          </w:p>
          <w:p w:rsidR="008E45B1" w:rsidRPr="00AA1BC6" w:rsidRDefault="008E45B1" w:rsidP="00AA1BC6">
            <w:pPr>
              <w:tabs>
                <w:tab w:val="left" w:pos="1134"/>
              </w:tabs>
              <w:spacing w:after="240"/>
              <w:jc w:val="both"/>
              <w:rPr>
                <w:lang w:val="es-ES"/>
              </w:rPr>
            </w:pPr>
            <w:r w:rsidRPr="00AA1BC6">
              <w:rPr>
                <w:sz w:val="22"/>
                <w:szCs w:val="22"/>
                <w:lang w:val="es-ES"/>
              </w:rPr>
              <w:t>1,304.20</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2</w:t>
            </w:r>
          </w:p>
        </w:tc>
        <w:tc>
          <w:tcPr>
            <w:tcW w:w="5245" w:type="dxa"/>
          </w:tcPr>
          <w:p w:rsidR="008E45B1" w:rsidRPr="00AA1BC6" w:rsidRDefault="008E45B1" w:rsidP="00CB70D0">
            <w:pPr>
              <w:rPr>
                <w:bCs/>
                <w:color w:val="000000"/>
              </w:rPr>
            </w:pPr>
            <w:r w:rsidRPr="00AA1BC6">
              <w:rPr>
                <w:bCs/>
                <w:color w:val="000000"/>
                <w:sz w:val="22"/>
                <w:szCs w:val="22"/>
              </w:rPr>
              <w:t>Rotavapor</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35.00</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3</w:t>
            </w:r>
          </w:p>
        </w:tc>
        <w:tc>
          <w:tcPr>
            <w:tcW w:w="5245" w:type="dxa"/>
          </w:tcPr>
          <w:p w:rsidR="008E45B1" w:rsidRPr="00AA1BC6" w:rsidRDefault="008E45B1" w:rsidP="00CB70D0">
            <w:pPr>
              <w:rPr>
                <w:bCs/>
                <w:color w:val="000000"/>
              </w:rPr>
            </w:pPr>
            <w:r w:rsidRPr="00AA1BC6">
              <w:rPr>
                <w:bCs/>
                <w:color w:val="000000"/>
                <w:sz w:val="22"/>
                <w:szCs w:val="22"/>
              </w:rPr>
              <w:t>Campana de extracción</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20.00</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4</w:t>
            </w:r>
          </w:p>
        </w:tc>
        <w:tc>
          <w:tcPr>
            <w:tcW w:w="5245" w:type="dxa"/>
          </w:tcPr>
          <w:p w:rsidR="008E45B1" w:rsidRPr="000F535B" w:rsidRDefault="008E45B1" w:rsidP="00CB70D0">
            <w:pPr>
              <w:rPr>
                <w:bCs/>
                <w:color w:val="000000"/>
                <w:lang w:val="es-PE"/>
              </w:rPr>
            </w:pPr>
            <w:r w:rsidRPr="000F535B">
              <w:rPr>
                <w:bCs/>
                <w:color w:val="000000"/>
                <w:sz w:val="22"/>
                <w:szCs w:val="22"/>
                <w:lang w:val="es-PE"/>
              </w:rPr>
              <w:t>Micropipetas</w:t>
            </w:r>
          </w:p>
          <w:p w:rsidR="008E45B1" w:rsidRPr="000F535B" w:rsidRDefault="008E45B1" w:rsidP="001F256C">
            <w:pPr>
              <w:rPr>
                <w:bCs/>
                <w:color w:val="000000"/>
                <w:lang w:val="es-PE"/>
              </w:rPr>
            </w:pPr>
            <w:r w:rsidRPr="000F535B">
              <w:rPr>
                <w:bCs/>
                <w:color w:val="000000"/>
                <w:sz w:val="22"/>
                <w:szCs w:val="22"/>
                <w:lang w:val="es-PE"/>
              </w:rPr>
              <w:t>Micropipetas de volumen adjustable 1-10 microlitros  (2)</w:t>
            </w:r>
          </w:p>
          <w:p w:rsidR="008E45B1" w:rsidRPr="00AA1BC6" w:rsidRDefault="008E45B1" w:rsidP="001F256C">
            <w:pPr>
              <w:rPr>
                <w:bCs/>
                <w:color w:val="000000"/>
              </w:rPr>
            </w:pPr>
            <w:r w:rsidRPr="00AA1BC6">
              <w:rPr>
                <w:bCs/>
                <w:color w:val="000000"/>
                <w:sz w:val="22"/>
                <w:szCs w:val="22"/>
              </w:rPr>
              <w:t>Pipetas electrónicas 100-5000 microlitros (2)</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14.40</w:t>
            </w:r>
          </w:p>
        </w:tc>
      </w:tr>
      <w:tr w:rsidR="008E45B1" w:rsidTr="00AA1BC6">
        <w:tc>
          <w:tcPr>
            <w:tcW w:w="1384" w:type="dxa"/>
          </w:tcPr>
          <w:p w:rsidR="008E45B1" w:rsidRPr="00AA1BC6" w:rsidRDefault="008E45B1" w:rsidP="00BD4DE9">
            <w:pPr>
              <w:rPr>
                <w:sz w:val="20"/>
                <w:szCs w:val="20"/>
                <w:lang w:val="es-PE"/>
              </w:rPr>
            </w:pPr>
            <w:r w:rsidRPr="00AA1BC6">
              <w:rPr>
                <w:sz w:val="20"/>
                <w:szCs w:val="20"/>
                <w:lang w:val="es-PE"/>
              </w:rPr>
              <w:t>Lote 5</w:t>
            </w:r>
          </w:p>
        </w:tc>
        <w:tc>
          <w:tcPr>
            <w:tcW w:w="5245" w:type="dxa"/>
          </w:tcPr>
          <w:p w:rsidR="008E45B1" w:rsidRPr="00AA1BC6" w:rsidRDefault="008E45B1" w:rsidP="00AA1BC6">
            <w:pPr>
              <w:jc w:val="both"/>
              <w:rPr>
                <w:lang w:val="es-PE"/>
              </w:rPr>
            </w:pPr>
            <w:r w:rsidRPr="00AA1BC6">
              <w:rPr>
                <w:sz w:val="22"/>
                <w:szCs w:val="22"/>
                <w:lang w:val="es-PE"/>
              </w:rPr>
              <w:t>Cromatógrafo de gases acoplado a un espectrómetro de masas  triple  cuadrúpolo</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1,358.70</w:t>
            </w:r>
          </w:p>
        </w:tc>
      </w:tr>
      <w:tr w:rsidR="008E45B1" w:rsidTr="00AA1BC6">
        <w:tc>
          <w:tcPr>
            <w:tcW w:w="1384" w:type="dxa"/>
          </w:tcPr>
          <w:p w:rsidR="008E45B1" w:rsidRPr="00AA1BC6" w:rsidRDefault="008E45B1" w:rsidP="00BD4DE9">
            <w:pPr>
              <w:rPr>
                <w:sz w:val="20"/>
                <w:szCs w:val="20"/>
              </w:rPr>
            </w:pPr>
            <w:r w:rsidRPr="00AA1BC6">
              <w:rPr>
                <w:sz w:val="20"/>
                <w:szCs w:val="20"/>
                <w:lang w:val="es-PE"/>
              </w:rPr>
              <w:t>Lote 6</w:t>
            </w:r>
          </w:p>
        </w:tc>
        <w:tc>
          <w:tcPr>
            <w:tcW w:w="5245" w:type="dxa"/>
          </w:tcPr>
          <w:p w:rsidR="008E45B1" w:rsidRPr="00AA1BC6" w:rsidRDefault="008E45B1" w:rsidP="00AA1BC6">
            <w:pPr>
              <w:jc w:val="both"/>
            </w:pPr>
            <w:r w:rsidRPr="00AA1BC6">
              <w:rPr>
                <w:sz w:val="22"/>
                <w:szCs w:val="22"/>
              </w:rPr>
              <w:t>Conductivimeto (2)</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14.90</w:t>
            </w:r>
          </w:p>
        </w:tc>
      </w:tr>
      <w:tr w:rsidR="008E45B1" w:rsidTr="00AA1BC6">
        <w:tc>
          <w:tcPr>
            <w:tcW w:w="1384" w:type="dxa"/>
          </w:tcPr>
          <w:p w:rsidR="008E45B1" w:rsidRPr="00AA1BC6" w:rsidRDefault="008E45B1" w:rsidP="00BD4DE9">
            <w:pPr>
              <w:rPr>
                <w:sz w:val="20"/>
                <w:szCs w:val="20"/>
              </w:rPr>
            </w:pPr>
            <w:r w:rsidRPr="00AA1BC6">
              <w:rPr>
                <w:sz w:val="20"/>
                <w:szCs w:val="20"/>
                <w:lang w:val="es-PE"/>
              </w:rPr>
              <w:t>Lote 7</w:t>
            </w:r>
          </w:p>
        </w:tc>
        <w:tc>
          <w:tcPr>
            <w:tcW w:w="5245" w:type="dxa"/>
          </w:tcPr>
          <w:p w:rsidR="008E45B1" w:rsidRPr="000F535B" w:rsidRDefault="008E45B1" w:rsidP="00AA1BC6">
            <w:pPr>
              <w:jc w:val="both"/>
              <w:rPr>
                <w:color w:val="000000"/>
                <w:lang w:val="es-PE"/>
              </w:rPr>
            </w:pPr>
            <w:r w:rsidRPr="000F535B">
              <w:rPr>
                <w:color w:val="000000"/>
                <w:sz w:val="22"/>
                <w:szCs w:val="22"/>
                <w:lang w:val="es-PE"/>
              </w:rPr>
              <w:t>Cromatógrafo líquido  de alta resolución HPLC con detectores de arreglo de didodos</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820.00</w:t>
            </w:r>
          </w:p>
        </w:tc>
      </w:tr>
      <w:tr w:rsidR="008E45B1" w:rsidTr="00AA1BC6">
        <w:tc>
          <w:tcPr>
            <w:tcW w:w="1384" w:type="dxa"/>
          </w:tcPr>
          <w:p w:rsidR="008E45B1" w:rsidRPr="00AA1BC6" w:rsidRDefault="008E45B1" w:rsidP="00BD4DE9">
            <w:pPr>
              <w:rPr>
                <w:sz w:val="20"/>
                <w:szCs w:val="20"/>
              </w:rPr>
            </w:pPr>
            <w:r w:rsidRPr="00AA1BC6">
              <w:rPr>
                <w:sz w:val="20"/>
                <w:szCs w:val="20"/>
                <w:lang w:val="es-PE"/>
              </w:rPr>
              <w:t>Lote 8</w:t>
            </w:r>
          </w:p>
        </w:tc>
        <w:tc>
          <w:tcPr>
            <w:tcW w:w="5245" w:type="dxa"/>
          </w:tcPr>
          <w:p w:rsidR="008E45B1" w:rsidRPr="00AA1BC6" w:rsidRDefault="008E45B1" w:rsidP="00AA1BC6">
            <w:pPr>
              <w:jc w:val="both"/>
              <w:rPr>
                <w:color w:val="000000"/>
                <w:lang w:val="es-PE"/>
              </w:rPr>
            </w:pPr>
            <w:r w:rsidRPr="00AA1BC6">
              <w:rPr>
                <w:color w:val="000000"/>
                <w:sz w:val="22"/>
                <w:szCs w:val="22"/>
                <w:lang w:val="es-PE"/>
              </w:rPr>
              <w:t>Cuatro Items:</w:t>
            </w:r>
          </w:p>
          <w:p w:rsidR="008E45B1" w:rsidRPr="00AA1BC6" w:rsidRDefault="008E45B1" w:rsidP="00AA1BC6">
            <w:pPr>
              <w:jc w:val="both"/>
              <w:rPr>
                <w:color w:val="000000"/>
                <w:lang w:val="es-PE"/>
              </w:rPr>
            </w:pPr>
            <w:r w:rsidRPr="00AA1BC6">
              <w:rPr>
                <w:color w:val="000000"/>
                <w:sz w:val="22"/>
                <w:szCs w:val="22"/>
                <w:lang w:val="es-PE"/>
              </w:rPr>
              <w:t>Planchas calefactoras con agitador magnético digital</w:t>
            </w:r>
          </w:p>
          <w:p w:rsidR="008E45B1" w:rsidRPr="004B3E38" w:rsidRDefault="008E45B1" w:rsidP="00AA1BC6">
            <w:pPr>
              <w:jc w:val="both"/>
              <w:rPr>
                <w:color w:val="000000"/>
                <w:lang w:val="pt-BR"/>
              </w:rPr>
            </w:pPr>
            <w:r w:rsidRPr="004B3E38">
              <w:rPr>
                <w:color w:val="000000"/>
                <w:sz w:val="22"/>
                <w:szCs w:val="22"/>
                <w:lang w:val="pt-BR"/>
              </w:rPr>
              <w:t>Agitador magnético con plataforma acrílica</w:t>
            </w:r>
          </w:p>
          <w:p w:rsidR="008E45B1" w:rsidRPr="004B3E38" w:rsidRDefault="008E45B1" w:rsidP="00AA1BC6">
            <w:pPr>
              <w:jc w:val="both"/>
              <w:rPr>
                <w:color w:val="000000"/>
                <w:lang w:val="pt-BR"/>
              </w:rPr>
            </w:pPr>
            <w:r w:rsidRPr="004B3E38">
              <w:rPr>
                <w:color w:val="000000"/>
                <w:sz w:val="22"/>
                <w:szCs w:val="22"/>
                <w:lang w:val="pt-BR"/>
              </w:rPr>
              <w:t>Dispensadores  de Líquidos de 50 ml</w:t>
            </w:r>
          </w:p>
          <w:p w:rsidR="008E45B1" w:rsidRPr="004B3E38" w:rsidRDefault="008E45B1" w:rsidP="00AA1BC6">
            <w:pPr>
              <w:jc w:val="both"/>
              <w:rPr>
                <w:color w:val="000000"/>
                <w:lang w:val="pt-BR"/>
              </w:rPr>
            </w:pPr>
            <w:r w:rsidRPr="004B3E38">
              <w:rPr>
                <w:sz w:val="22"/>
                <w:szCs w:val="22"/>
                <w:lang w:val="pt-BR"/>
              </w:rPr>
              <w:t>Microcentrifuga no refrigerada</w:t>
            </w:r>
          </w:p>
        </w:tc>
        <w:tc>
          <w:tcPr>
            <w:tcW w:w="1525" w:type="dxa"/>
          </w:tcPr>
          <w:p w:rsidR="008E45B1" w:rsidRPr="004B3E38" w:rsidRDefault="008E45B1" w:rsidP="00AA1BC6">
            <w:pPr>
              <w:tabs>
                <w:tab w:val="left" w:pos="1134"/>
              </w:tabs>
              <w:spacing w:after="240"/>
              <w:jc w:val="both"/>
              <w:rPr>
                <w:lang w:val="pt-BR"/>
              </w:rPr>
            </w:pPr>
          </w:p>
          <w:p w:rsidR="008E45B1" w:rsidRPr="00AA1BC6" w:rsidRDefault="008E45B1" w:rsidP="00AA1BC6">
            <w:pPr>
              <w:tabs>
                <w:tab w:val="left" w:pos="1134"/>
              </w:tabs>
              <w:spacing w:after="240"/>
              <w:jc w:val="both"/>
              <w:rPr>
                <w:lang w:val="es-ES"/>
              </w:rPr>
            </w:pPr>
            <w:r w:rsidRPr="00AA1BC6">
              <w:rPr>
                <w:sz w:val="22"/>
                <w:szCs w:val="22"/>
                <w:lang w:val="es-ES"/>
              </w:rPr>
              <w:t>53.10</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9</w:t>
            </w:r>
          </w:p>
        </w:tc>
        <w:tc>
          <w:tcPr>
            <w:tcW w:w="5245" w:type="dxa"/>
            <w:vAlign w:val="center"/>
          </w:tcPr>
          <w:p w:rsidR="008E45B1" w:rsidRPr="00AA1BC6" w:rsidRDefault="008E45B1" w:rsidP="00AA1BC6">
            <w:pPr>
              <w:jc w:val="both"/>
              <w:rPr>
                <w:color w:val="000000"/>
                <w:lang w:val="es-PE"/>
              </w:rPr>
            </w:pPr>
            <w:r w:rsidRPr="00AA1BC6">
              <w:rPr>
                <w:color w:val="000000"/>
                <w:sz w:val="22"/>
                <w:szCs w:val="22"/>
                <w:lang w:val="es-PE"/>
              </w:rPr>
              <w:t>Dos Items:</w:t>
            </w:r>
          </w:p>
          <w:p w:rsidR="008E45B1" w:rsidRPr="00AA1BC6" w:rsidRDefault="008E45B1" w:rsidP="00AA1BC6">
            <w:pPr>
              <w:jc w:val="both"/>
              <w:rPr>
                <w:color w:val="000000"/>
                <w:lang w:val="es-PE"/>
              </w:rPr>
            </w:pPr>
            <w:r w:rsidRPr="00AA1BC6">
              <w:rPr>
                <w:color w:val="000000"/>
                <w:sz w:val="22"/>
                <w:szCs w:val="22"/>
                <w:lang w:val="es-PE"/>
              </w:rPr>
              <w:t>Buretas Digitales automáticas de 50 ml clase A</w:t>
            </w:r>
          </w:p>
          <w:p w:rsidR="008E45B1" w:rsidRPr="00AA1BC6" w:rsidRDefault="008E45B1" w:rsidP="00AA1BC6">
            <w:pPr>
              <w:jc w:val="both"/>
              <w:rPr>
                <w:color w:val="000000"/>
                <w:lang w:val="es-PE"/>
              </w:rPr>
            </w:pPr>
            <w:r w:rsidRPr="00AA1BC6">
              <w:rPr>
                <w:color w:val="000000"/>
                <w:sz w:val="22"/>
                <w:szCs w:val="22"/>
                <w:lang w:val="es-PE"/>
              </w:rPr>
              <w:t>Cabina vertical desecadoras con medidor de temperatura y humedad y autosecador</w:t>
            </w:r>
          </w:p>
        </w:tc>
        <w:tc>
          <w:tcPr>
            <w:tcW w:w="1525" w:type="dxa"/>
          </w:tcPr>
          <w:p w:rsidR="008E45B1" w:rsidRPr="00AA1BC6" w:rsidRDefault="008E45B1" w:rsidP="00AA1BC6">
            <w:pPr>
              <w:tabs>
                <w:tab w:val="left" w:pos="1134"/>
              </w:tabs>
              <w:spacing w:after="240"/>
              <w:jc w:val="both"/>
              <w:rPr>
                <w:lang w:val="es-ES"/>
              </w:rPr>
            </w:pPr>
          </w:p>
          <w:p w:rsidR="008E45B1" w:rsidRPr="00AA1BC6" w:rsidRDefault="008E45B1" w:rsidP="00AA1BC6">
            <w:pPr>
              <w:tabs>
                <w:tab w:val="left" w:pos="1134"/>
              </w:tabs>
              <w:spacing w:after="240"/>
              <w:jc w:val="both"/>
              <w:rPr>
                <w:lang w:val="es-ES"/>
              </w:rPr>
            </w:pPr>
            <w:r w:rsidRPr="00AA1BC6">
              <w:rPr>
                <w:sz w:val="22"/>
                <w:szCs w:val="22"/>
                <w:lang w:val="es-ES"/>
              </w:rPr>
              <w:t>31.10</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10</w:t>
            </w:r>
          </w:p>
        </w:tc>
        <w:tc>
          <w:tcPr>
            <w:tcW w:w="5245" w:type="dxa"/>
          </w:tcPr>
          <w:p w:rsidR="008E45B1" w:rsidRPr="00AA1BC6" w:rsidRDefault="008E45B1" w:rsidP="00AA1BC6">
            <w:pPr>
              <w:jc w:val="both"/>
              <w:rPr>
                <w:lang w:val="es-PE"/>
              </w:rPr>
            </w:pPr>
            <w:r w:rsidRPr="00AA1BC6">
              <w:rPr>
                <w:sz w:val="22"/>
                <w:szCs w:val="22"/>
                <w:lang w:val="es-PE"/>
              </w:rPr>
              <w:t>Balanza analítica manos libres con Kit antiestático integrado y con kit para determinación de densidad</w:t>
            </w:r>
          </w:p>
          <w:p w:rsidR="008E45B1" w:rsidRPr="00AA1BC6" w:rsidRDefault="008E45B1" w:rsidP="00AA1BC6">
            <w:pPr>
              <w:jc w:val="both"/>
              <w:rPr>
                <w:color w:val="000000"/>
                <w:lang w:val="es-PE"/>
              </w:rPr>
            </w:pP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145.00</w:t>
            </w:r>
          </w:p>
        </w:tc>
      </w:tr>
      <w:tr w:rsidR="008E45B1" w:rsidTr="00AA1BC6">
        <w:tc>
          <w:tcPr>
            <w:tcW w:w="1384" w:type="dxa"/>
          </w:tcPr>
          <w:p w:rsidR="008E45B1" w:rsidRPr="00AA1BC6" w:rsidRDefault="008E45B1" w:rsidP="00AA1BC6">
            <w:pPr>
              <w:pStyle w:val="Blockquote"/>
              <w:spacing w:before="0" w:after="0"/>
              <w:ind w:left="0"/>
              <w:rPr>
                <w:sz w:val="20"/>
                <w:lang w:val="es-PE"/>
              </w:rPr>
            </w:pPr>
            <w:r w:rsidRPr="00AA1BC6">
              <w:rPr>
                <w:sz w:val="20"/>
                <w:lang w:val="es-PE"/>
              </w:rPr>
              <w:t>Lote 11</w:t>
            </w:r>
          </w:p>
        </w:tc>
        <w:tc>
          <w:tcPr>
            <w:tcW w:w="5245" w:type="dxa"/>
          </w:tcPr>
          <w:p w:rsidR="008E45B1" w:rsidRPr="00AA1BC6" w:rsidRDefault="008E45B1" w:rsidP="00AA1BC6">
            <w:pPr>
              <w:jc w:val="both"/>
              <w:rPr>
                <w:lang w:val="es-PE"/>
              </w:rPr>
            </w:pPr>
            <w:r w:rsidRPr="00AA1BC6">
              <w:rPr>
                <w:sz w:val="22"/>
                <w:szCs w:val="22"/>
                <w:lang w:val="es-PE"/>
              </w:rPr>
              <w:t>Dos Items:</w:t>
            </w:r>
          </w:p>
          <w:p w:rsidR="008E45B1" w:rsidRPr="00AA1BC6" w:rsidRDefault="008E45B1" w:rsidP="00AA1BC6">
            <w:pPr>
              <w:jc w:val="both"/>
              <w:rPr>
                <w:lang w:val="es-PE"/>
              </w:rPr>
            </w:pPr>
            <w:r w:rsidRPr="00AA1BC6">
              <w:rPr>
                <w:sz w:val="22"/>
                <w:szCs w:val="22"/>
                <w:lang w:val="es-PE"/>
              </w:rPr>
              <w:t>Purificadores de agua por sistemas de osmosis inversa</w:t>
            </w:r>
          </w:p>
          <w:p w:rsidR="008E45B1" w:rsidRPr="00AA1BC6" w:rsidRDefault="008E45B1" w:rsidP="00AA1BC6">
            <w:pPr>
              <w:jc w:val="both"/>
              <w:rPr>
                <w:lang w:val="es-PE"/>
              </w:rPr>
            </w:pPr>
            <w:r w:rsidRPr="00AA1BC6">
              <w:rPr>
                <w:sz w:val="22"/>
                <w:szCs w:val="22"/>
                <w:lang w:val="es-PE"/>
              </w:rPr>
              <w:t>Filtradores de solventes para  HPLC(2)</w:t>
            </w:r>
          </w:p>
        </w:tc>
        <w:tc>
          <w:tcPr>
            <w:tcW w:w="1525" w:type="dxa"/>
          </w:tcPr>
          <w:p w:rsidR="008E45B1" w:rsidRPr="00AA1BC6" w:rsidRDefault="008E45B1" w:rsidP="00AA1BC6">
            <w:pPr>
              <w:tabs>
                <w:tab w:val="left" w:pos="1134"/>
              </w:tabs>
              <w:spacing w:after="240"/>
              <w:jc w:val="both"/>
              <w:rPr>
                <w:lang w:val="es-ES"/>
              </w:rPr>
            </w:pPr>
          </w:p>
          <w:p w:rsidR="008E45B1" w:rsidRPr="00AA1BC6" w:rsidRDefault="008E45B1" w:rsidP="00AA1BC6">
            <w:pPr>
              <w:tabs>
                <w:tab w:val="left" w:pos="1134"/>
              </w:tabs>
              <w:spacing w:after="240"/>
              <w:jc w:val="both"/>
              <w:rPr>
                <w:lang w:val="es-ES"/>
              </w:rPr>
            </w:pPr>
            <w:r w:rsidRPr="00AA1BC6">
              <w:rPr>
                <w:sz w:val="22"/>
                <w:szCs w:val="22"/>
                <w:lang w:val="es-ES"/>
              </w:rPr>
              <w:t>115.70</w:t>
            </w:r>
          </w:p>
        </w:tc>
      </w:tr>
      <w:tr w:rsidR="008E45B1" w:rsidTr="00AA1BC6">
        <w:tc>
          <w:tcPr>
            <w:tcW w:w="1384" w:type="dxa"/>
          </w:tcPr>
          <w:p w:rsidR="008E45B1" w:rsidRPr="00AA1BC6" w:rsidRDefault="008E45B1" w:rsidP="00AA1BC6">
            <w:pPr>
              <w:pStyle w:val="Blockquote"/>
              <w:spacing w:before="0" w:after="0"/>
              <w:ind w:left="0"/>
              <w:rPr>
                <w:sz w:val="20"/>
                <w:lang w:val="es-ES_tradnl"/>
              </w:rPr>
            </w:pPr>
            <w:r w:rsidRPr="00AA1BC6">
              <w:rPr>
                <w:sz w:val="20"/>
                <w:lang w:val="es-ES_tradnl"/>
              </w:rPr>
              <w:t>Lote 12</w:t>
            </w:r>
          </w:p>
        </w:tc>
        <w:tc>
          <w:tcPr>
            <w:tcW w:w="5245" w:type="dxa"/>
          </w:tcPr>
          <w:p w:rsidR="008E45B1" w:rsidRPr="00AA1BC6" w:rsidRDefault="008E45B1" w:rsidP="00AA1BC6">
            <w:pPr>
              <w:jc w:val="both"/>
              <w:rPr>
                <w:lang w:val="es-PE"/>
              </w:rPr>
            </w:pPr>
            <w:r w:rsidRPr="00AA1BC6">
              <w:rPr>
                <w:sz w:val="22"/>
                <w:szCs w:val="22"/>
                <w:lang w:val="es-PE"/>
              </w:rPr>
              <w:t>Rotavapor acoplado con  multivapor y bomba de vacio</w:t>
            </w:r>
          </w:p>
          <w:p w:rsidR="008E45B1" w:rsidRPr="00AA1BC6" w:rsidRDefault="008E45B1" w:rsidP="00AA1BC6">
            <w:pPr>
              <w:jc w:val="both"/>
              <w:rPr>
                <w:lang w:val="es-PE"/>
              </w:rPr>
            </w:pP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210.00</w:t>
            </w:r>
          </w:p>
        </w:tc>
      </w:tr>
      <w:tr w:rsidR="008E45B1" w:rsidTr="00AA1BC6">
        <w:tc>
          <w:tcPr>
            <w:tcW w:w="1384" w:type="dxa"/>
          </w:tcPr>
          <w:p w:rsidR="008E45B1" w:rsidRPr="00AA1BC6" w:rsidRDefault="008E45B1" w:rsidP="00AA1BC6">
            <w:pPr>
              <w:pStyle w:val="Blockquote"/>
              <w:spacing w:before="0" w:after="0"/>
              <w:ind w:left="0"/>
              <w:rPr>
                <w:sz w:val="20"/>
                <w:lang w:val="es-ES_tradnl"/>
              </w:rPr>
            </w:pPr>
            <w:r w:rsidRPr="00AA1BC6">
              <w:rPr>
                <w:sz w:val="20"/>
                <w:lang w:val="es-ES_tradnl"/>
              </w:rPr>
              <w:t>Lote 13</w:t>
            </w:r>
          </w:p>
        </w:tc>
        <w:tc>
          <w:tcPr>
            <w:tcW w:w="5245" w:type="dxa"/>
          </w:tcPr>
          <w:p w:rsidR="008E45B1" w:rsidRPr="00AA1BC6" w:rsidRDefault="008E45B1" w:rsidP="00AA1BC6">
            <w:pPr>
              <w:jc w:val="both"/>
              <w:rPr>
                <w:color w:val="FF0000"/>
                <w:lang w:val="es-PE"/>
              </w:rPr>
            </w:pPr>
            <w:r w:rsidRPr="00AA1BC6">
              <w:rPr>
                <w:sz w:val="22"/>
                <w:szCs w:val="22"/>
                <w:lang w:val="es-PE"/>
              </w:rPr>
              <w:t>Equipo de Cromatografía liquida de Ultra alta Perfomance  “Ultra High Performance Liquid Chromatography”    - UHPLC</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650.00</w:t>
            </w:r>
          </w:p>
        </w:tc>
      </w:tr>
      <w:tr w:rsidR="008E45B1" w:rsidTr="00AA1BC6">
        <w:tc>
          <w:tcPr>
            <w:tcW w:w="1384" w:type="dxa"/>
          </w:tcPr>
          <w:p w:rsidR="008E45B1" w:rsidRPr="00AA1BC6" w:rsidRDefault="008E45B1" w:rsidP="00AA1BC6">
            <w:pPr>
              <w:pStyle w:val="Blockquote"/>
              <w:spacing w:before="0" w:after="0"/>
              <w:ind w:left="0"/>
              <w:rPr>
                <w:sz w:val="20"/>
                <w:lang w:val="es-ES_tradnl"/>
              </w:rPr>
            </w:pPr>
            <w:r w:rsidRPr="00AA1BC6">
              <w:rPr>
                <w:sz w:val="20"/>
                <w:lang w:val="es-ES_tradnl"/>
              </w:rPr>
              <w:t>Lote 14</w:t>
            </w:r>
          </w:p>
        </w:tc>
        <w:tc>
          <w:tcPr>
            <w:tcW w:w="5245" w:type="dxa"/>
          </w:tcPr>
          <w:p w:rsidR="008E45B1" w:rsidRPr="00AA1BC6" w:rsidRDefault="008E45B1" w:rsidP="00AA1BC6">
            <w:pPr>
              <w:jc w:val="both"/>
              <w:rPr>
                <w:lang w:val="es-PE"/>
              </w:rPr>
            </w:pPr>
            <w:r w:rsidRPr="00AA1BC6">
              <w:rPr>
                <w:sz w:val="22"/>
                <w:szCs w:val="22"/>
                <w:lang w:val="es-PE"/>
              </w:rPr>
              <w:t>Espectrofotómetro de absorción  y emisión atómica  compacto optimizado para  flama y horno de grafito  con calentamiento transversal.</w:t>
            </w:r>
          </w:p>
        </w:tc>
        <w:tc>
          <w:tcPr>
            <w:tcW w:w="1525" w:type="dxa"/>
          </w:tcPr>
          <w:p w:rsidR="008E45B1" w:rsidRPr="00AA1BC6" w:rsidRDefault="008E45B1" w:rsidP="00AA1BC6">
            <w:pPr>
              <w:tabs>
                <w:tab w:val="left" w:pos="1134"/>
              </w:tabs>
              <w:spacing w:after="240"/>
              <w:jc w:val="both"/>
              <w:rPr>
                <w:lang w:val="es-ES"/>
              </w:rPr>
            </w:pPr>
            <w:r w:rsidRPr="00AA1BC6">
              <w:rPr>
                <w:sz w:val="22"/>
                <w:szCs w:val="22"/>
                <w:lang w:val="es-ES"/>
              </w:rPr>
              <w:t>725.00</w:t>
            </w:r>
          </w:p>
        </w:tc>
      </w:tr>
    </w:tbl>
    <w:p w:rsidR="008E45B1" w:rsidRPr="00D2211D" w:rsidRDefault="008E45B1" w:rsidP="00490F55">
      <w:pPr>
        <w:tabs>
          <w:tab w:val="left" w:pos="1134"/>
        </w:tabs>
        <w:spacing w:after="240"/>
        <w:ind w:left="1134"/>
        <w:jc w:val="both"/>
        <w:rPr>
          <w:sz w:val="22"/>
          <w:lang w:val="es-ES"/>
        </w:rPr>
      </w:pPr>
    </w:p>
    <w:p w:rsidR="008E45B1" w:rsidRPr="008D73E7" w:rsidRDefault="008E45B1" w:rsidP="00490F55">
      <w:pPr>
        <w:spacing w:after="240"/>
        <w:ind w:left="567"/>
        <w:jc w:val="both"/>
        <w:rPr>
          <w:sz w:val="22"/>
          <w:lang w:val="es-ES_tradnl"/>
        </w:rPr>
      </w:pPr>
      <w:r w:rsidRPr="008D73E7">
        <w:rPr>
          <w:sz w:val="22"/>
          <w:lang w:val="es-ES_tradnl"/>
        </w:rPr>
        <w:lastRenderedPageBreak/>
        <w:t>y deberá ser presentada según el modelo que figura adjunto al expediente de licitación. Debe seguir siendo válida al menos 45 días más allá del período de validez de las ofertas. Las garantías de oferta proporcionadas por los licitadores que no  hayan resultado adjudicatarios se devolverán junto con la carta que informa al licitador de que su oferta no ha sido la seleccionada. La garantía de licitación proporcionada por el adjudicatario se liberará en el momento de la firma del contrato, una vez presentada la garantía de buena ejecución</w:t>
      </w:r>
      <w:r>
        <w:rPr>
          <w:sz w:val="22"/>
          <w:lang w:val="es-ES_tradnl"/>
        </w:rPr>
        <w:t>.</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221" w:name="_Toc43004189"/>
      <w:bookmarkStart w:id="222" w:name="_Toc39896821"/>
      <w:bookmarkStart w:id="223" w:name="_Toc39463063"/>
      <w:bookmarkStart w:id="224" w:name="_Toc39462906"/>
      <w:bookmarkStart w:id="225" w:name="_Toc39462332"/>
      <w:r w:rsidRPr="00106900">
        <w:rPr>
          <w:rFonts w:ascii="Times New Roman" w:hAnsi="Times New Roman"/>
          <w:i w:val="0"/>
          <w:sz w:val="24"/>
          <w:szCs w:val="24"/>
        </w:rPr>
        <w:t>Cláusulas deontológicas</w:t>
      </w:r>
      <w:bookmarkEnd w:id="221"/>
      <w:bookmarkEnd w:id="222"/>
      <w:bookmarkEnd w:id="223"/>
      <w:bookmarkEnd w:id="224"/>
      <w:bookmarkEnd w:id="225"/>
    </w:p>
    <w:p w:rsidR="008E45B1" w:rsidRPr="008D73E7" w:rsidRDefault="008E45B1" w:rsidP="00490F55">
      <w:pPr>
        <w:spacing w:after="240"/>
        <w:ind w:left="567" w:hanging="567"/>
        <w:jc w:val="both"/>
        <w:rPr>
          <w:sz w:val="22"/>
          <w:lang w:val="es-ES"/>
        </w:rPr>
      </w:pPr>
      <w:bookmarkStart w:id="226" w:name="_Toc39462907"/>
      <w:bookmarkStart w:id="227" w:name="_Toc39462333"/>
      <w:r>
        <w:rPr>
          <w:sz w:val="22"/>
          <w:lang w:val="es-ES"/>
        </w:rPr>
        <w:t>23</w:t>
      </w:r>
      <w:r w:rsidRPr="008D73E7">
        <w:rPr>
          <w:sz w:val="22"/>
          <w:lang w:val="es-ES"/>
        </w:rPr>
        <w:t>.1</w:t>
      </w:r>
      <w:r w:rsidRPr="008D73E7">
        <w:rPr>
          <w:sz w:val="22"/>
          <w:lang w:val="es-ES"/>
        </w:rPr>
        <w:tab/>
        <w:t>Toda tentativa de un candidato o de un licitador de obtener información confidencial, realizar acuerdos ilícitos con sus competidores o influir sobre el Comité o el Órgano de Contratación a lo largo del procedimiento de examen, de clarificación, de evaluación y de comparación de las ofertas tendrá como consecuencia el rechazo de su candidatura o de su oferta y la imposición eventual de sanciones administrativas.</w:t>
      </w:r>
      <w:bookmarkEnd w:id="226"/>
      <w:bookmarkEnd w:id="227"/>
    </w:p>
    <w:p w:rsidR="008E45B1" w:rsidRPr="008D73E7" w:rsidRDefault="008E45B1" w:rsidP="00490F55">
      <w:pPr>
        <w:spacing w:after="240"/>
        <w:ind w:left="567" w:hanging="567"/>
        <w:jc w:val="both"/>
        <w:rPr>
          <w:lang w:val="es-ES"/>
        </w:rPr>
      </w:pPr>
      <w:bookmarkStart w:id="228" w:name="_Toc39462908"/>
      <w:bookmarkStart w:id="229" w:name="_Toc39462334"/>
      <w:r>
        <w:rPr>
          <w:sz w:val="22"/>
          <w:lang w:val="es-ES"/>
        </w:rPr>
        <w:t>23</w:t>
      </w:r>
      <w:r w:rsidRPr="008D73E7">
        <w:rPr>
          <w:sz w:val="22"/>
          <w:lang w:val="es-ES"/>
        </w:rPr>
        <w:t>.2</w:t>
      </w:r>
      <w:r w:rsidRPr="008D73E7">
        <w:rPr>
          <w:sz w:val="22"/>
          <w:lang w:val="es-ES"/>
        </w:rPr>
        <w:tab/>
        <w:t>Salvo que disponga de una autorización previa por escrito del Órgano de Contratación, el Titular y su personal, así como cualquier otra empresa con la cual el Titular esté asociado o vinculado, no podrán prestar otros servicios, ni siquiera con carácter accesorio o en régimen de subcontratación, ni realizar otras obras o proveer otros suministros en el marco del proyecto. Esta prohibición es también aplicable, en su caso, a los demás proyectos respecto de los cuales el Titular, debido a la naturaleza del contrato, pudiera encontrarse también en una situación de conflicto de intereses</w:t>
      </w:r>
      <w:r w:rsidRPr="008D73E7">
        <w:rPr>
          <w:lang w:val="es-ES"/>
        </w:rPr>
        <w:t>.</w:t>
      </w:r>
      <w:bookmarkEnd w:id="228"/>
      <w:bookmarkEnd w:id="229"/>
    </w:p>
    <w:p w:rsidR="008E45B1" w:rsidRPr="008D73E7" w:rsidRDefault="008E45B1" w:rsidP="00490F55">
      <w:pPr>
        <w:spacing w:after="240"/>
        <w:ind w:left="567" w:hanging="567"/>
        <w:jc w:val="both"/>
        <w:rPr>
          <w:sz w:val="22"/>
          <w:lang w:val="es-ES"/>
        </w:rPr>
      </w:pPr>
      <w:bookmarkStart w:id="230" w:name="_Toc39462909"/>
      <w:bookmarkStart w:id="231" w:name="_Toc39462335"/>
      <w:r>
        <w:rPr>
          <w:sz w:val="22"/>
          <w:lang w:val="es-ES"/>
        </w:rPr>
        <w:t>23</w:t>
      </w:r>
      <w:r w:rsidRPr="008D73E7">
        <w:rPr>
          <w:sz w:val="22"/>
          <w:lang w:val="es-ES"/>
        </w:rPr>
        <w:t>.3</w:t>
      </w:r>
      <w:r w:rsidRPr="008D73E7">
        <w:rPr>
          <w:sz w:val="22"/>
          <w:lang w:val="es-ES"/>
        </w:rPr>
        <w:tab/>
        <w:t xml:space="preserve">En el momento de presentar su candidatura o su oferta, el candidato o el licitador debe declarar que no existe ningún conflicto de intereses  y que no tiene ningún </w:t>
      </w:r>
      <w:r w:rsidRPr="008D73E7">
        <w:rPr>
          <w:sz w:val="22"/>
          <w:szCs w:val="22"/>
          <w:lang w:val="es-ES_tradnl"/>
        </w:rPr>
        <w:t>tipo de relación equivalente al respecto</w:t>
      </w:r>
      <w:r w:rsidRPr="008D73E7">
        <w:rPr>
          <w:noProof/>
          <w:sz w:val="22"/>
          <w:szCs w:val="22"/>
          <w:lang w:val="es-ES"/>
        </w:rPr>
        <w:t xml:space="preserve"> </w:t>
      </w:r>
      <w:r w:rsidRPr="008D73E7">
        <w:rPr>
          <w:sz w:val="22"/>
          <w:lang w:val="es-ES"/>
        </w:rPr>
        <w:t>con otros licitadores u otras partes participantes en el proyecto. Si durante el plazo de ejecución del contrato se produjera tal situación, el Titular está obligado a comunicárselo sin demora al Órgano de Contratación.</w:t>
      </w:r>
      <w:bookmarkEnd w:id="230"/>
      <w:bookmarkEnd w:id="231"/>
    </w:p>
    <w:p w:rsidR="008E45B1" w:rsidRPr="008D73E7" w:rsidRDefault="008E45B1" w:rsidP="00490F55">
      <w:pPr>
        <w:spacing w:after="240"/>
        <w:ind w:left="567" w:hanging="567"/>
        <w:jc w:val="both"/>
        <w:rPr>
          <w:sz w:val="22"/>
          <w:lang w:val="es-ES"/>
        </w:rPr>
      </w:pPr>
      <w:bookmarkStart w:id="232" w:name="_Toc39462910"/>
      <w:bookmarkStart w:id="233" w:name="_Toc39462336"/>
      <w:r>
        <w:rPr>
          <w:sz w:val="22"/>
          <w:lang w:val="es-ES"/>
        </w:rPr>
        <w:t>23</w:t>
      </w:r>
      <w:r w:rsidRPr="008D73E7">
        <w:rPr>
          <w:sz w:val="22"/>
          <w:lang w:val="es-ES"/>
        </w:rPr>
        <w:t>.4</w:t>
      </w:r>
      <w:r w:rsidRPr="008D73E7">
        <w:rPr>
          <w:sz w:val="22"/>
          <w:lang w:val="es-ES"/>
        </w:rPr>
        <w:tab/>
        <w:t>El Titular debe actuar en todo momento con imparcialidad y como un asesor leal con arreglo al código deontológico de su profesión. Debe abstenerse de hacer declaraciones públicas sobre el proyecto o los servicios sin la aprobación previa del Órgano de Contratación. No puede comprometer en modo alguno al Órgano de Contratación sin su consentimiento previo por escrito.</w:t>
      </w:r>
      <w:bookmarkEnd w:id="232"/>
      <w:bookmarkEnd w:id="233"/>
    </w:p>
    <w:p w:rsidR="008E45B1" w:rsidRPr="0049539E" w:rsidRDefault="008E45B1" w:rsidP="00490F55">
      <w:pPr>
        <w:keepLines/>
        <w:spacing w:after="240"/>
        <w:ind w:left="540" w:hanging="540"/>
        <w:jc w:val="both"/>
        <w:rPr>
          <w:szCs w:val="22"/>
          <w:lang w:val="es-ES_tradnl"/>
        </w:rPr>
      </w:pPr>
      <w:bookmarkStart w:id="234" w:name="_Toc39462911"/>
      <w:bookmarkStart w:id="235" w:name="_Toc39462337"/>
      <w:r>
        <w:rPr>
          <w:sz w:val="22"/>
          <w:lang w:val="es-ES"/>
        </w:rPr>
        <w:t>23</w:t>
      </w:r>
      <w:r w:rsidRPr="008D73E7">
        <w:rPr>
          <w:sz w:val="22"/>
          <w:lang w:val="es-ES"/>
        </w:rPr>
        <w:t>.5</w:t>
      </w:r>
      <w:r w:rsidRPr="008D73E7">
        <w:rPr>
          <w:sz w:val="22"/>
          <w:lang w:val="es-ES"/>
        </w:rPr>
        <w:tab/>
      </w:r>
      <w:r w:rsidRPr="00CB7544">
        <w:rPr>
          <w:sz w:val="22"/>
          <w:szCs w:val="22"/>
          <w:lang w:val="es-ES"/>
        </w:rPr>
        <w:t>Durante la ejecución del contrato, el Titular y su personal deberán respetar los derechos humanos y comprometerse a no contrariar los usos políticos, culturales y religiosos del país beneficiario.</w:t>
      </w:r>
      <w:bookmarkEnd w:id="234"/>
      <w:bookmarkEnd w:id="235"/>
      <w:r w:rsidRPr="00CB7544">
        <w:rPr>
          <w:sz w:val="22"/>
          <w:szCs w:val="22"/>
          <w:lang w:val="es-ES_tradnl"/>
        </w:rPr>
        <w:t xml:space="preserve"> En particular y conforme al acto jurídico de base en cuestión, los licitadores a los que se les han adjudicado contratos deberán respetar las normas fundamentales del trabajo  definidas en las Normas Internacionales del Trabajo de la OIT</w:t>
      </w:r>
      <w:r>
        <w:rPr>
          <w:sz w:val="22"/>
          <w:szCs w:val="22"/>
          <w:lang w:val="es-ES_tradnl"/>
        </w:rPr>
        <w:t xml:space="preserve"> (tales como</w:t>
      </w:r>
      <w:r w:rsidRPr="00CB7544">
        <w:rPr>
          <w:sz w:val="22"/>
          <w:szCs w:val="22"/>
          <w:lang w:val="es-ES_tradnl"/>
        </w:rPr>
        <w:t xml:space="preserve"> los convenios sobre el derecho de sindicación y negociación colectiva, la eliminación del trabajo forzoso y la abolición del trabajo infantil).</w:t>
      </w:r>
      <w:r w:rsidRPr="0049539E">
        <w:rPr>
          <w:szCs w:val="22"/>
          <w:lang w:val="es-ES_tradnl"/>
        </w:rPr>
        <w:t xml:space="preserve"> </w:t>
      </w:r>
    </w:p>
    <w:p w:rsidR="008E45B1" w:rsidRPr="008D73E7" w:rsidRDefault="008E45B1" w:rsidP="00490F55">
      <w:pPr>
        <w:spacing w:after="240"/>
        <w:ind w:left="567" w:hanging="567"/>
        <w:jc w:val="both"/>
        <w:rPr>
          <w:sz w:val="22"/>
          <w:lang w:val="es-ES"/>
        </w:rPr>
      </w:pPr>
      <w:bookmarkStart w:id="236" w:name="_Toc39462912"/>
      <w:bookmarkStart w:id="237" w:name="_Toc39462338"/>
      <w:r>
        <w:rPr>
          <w:sz w:val="22"/>
          <w:lang w:val="es-ES"/>
        </w:rPr>
        <w:t>23</w:t>
      </w:r>
      <w:r w:rsidRPr="008D73E7">
        <w:rPr>
          <w:sz w:val="22"/>
          <w:lang w:val="es-ES"/>
        </w:rPr>
        <w:t>.6</w:t>
      </w:r>
      <w:r w:rsidRPr="008D73E7">
        <w:rPr>
          <w:sz w:val="22"/>
          <w:lang w:val="es-ES"/>
        </w:rPr>
        <w:tab/>
        <w:t>La remuneración del Titular en virtud del contrato constituye su única retribución en el marco del mismo. El Titular y su personal deben abstenerse de ejercer cualquier actividad o de recibir cualquier gratificación que entre en conflicto con sus obligaciones para con el Órgano de Contratación.</w:t>
      </w:r>
      <w:bookmarkEnd w:id="236"/>
      <w:bookmarkEnd w:id="237"/>
    </w:p>
    <w:p w:rsidR="008E45B1" w:rsidRPr="008D73E7" w:rsidRDefault="008E45B1" w:rsidP="00490F55">
      <w:pPr>
        <w:spacing w:after="240"/>
        <w:ind w:left="567" w:hanging="567"/>
        <w:jc w:val="both"/>
        <w:rPr>
          <w:sz w:val="22"/>
          <w:lang w:val="es-ES"/>
        </w:rPr>
      </w:pPr>
      <w:bookmarkStart w:id="238" w:name="_Toc39462913"/>
      <w:bookmarkStart w:id="239" w:name="_Toc39462339"/>
      <w:r>
        <w:rPr>
          <w:sz w:val="22"/>
          <w:lang w:val="es-ES"/>
        </w:rPr>
        <w:t>23</w:t>
      </w:r>
      <w:r w:rsidRPr="008D73E7">
        <w:rPr>
          <w:sz w:val="22"/>
          <w:lang w:val="es-ES"/>
        </w:rPr>
        <w:t>.7</w:t>
      </w:r>
      <w:r w:rsidRPr="008D73E7">
        <w:rPr>
          <w:sz w:val="22"/>
          <w:lang w:val="es-ES"/>
        </w:rPr>
        <w:tab/>
        <w:t>El Titular y su personal están sujetos al secreto profesional a lo largo de toda la duración del contrato y después de su terminación. Todos los informes y documentos recibidos o elaborados por el Titular en el marco de la ejecución del contrato son confidenciales.</w:t>
      </w:r>
      <w:bookmarkEnd w:id="238"/>
      <w:bookmarkEnd w:id="239"/>
    </w:p>
    <w:p w:rsidR="008E45B1" w:rsidRPr="008D73E7" w:rsidRDefault="008E45B1" w:rsidP="00490F55">
      <w:pPr>
        <w:spacing w:after="240"/>
        <w:ind w:left="567" w:hanging="567"/>
        <w:jc w:val="both"/>
        <w:rPr>
          <w:sz w:val="22"/>
          <w:lang w:val="es-ES"/>
        </w:rPr>
      </w:pPr>
      <w:bookmarkStart w:id="240" w:name="_Toc39462914"/>
      <w:bookmarkStart w:id="241" w:name="_Toc39462340"/>
      <w:r>
        <w:rPr>
          <w:sz w:val="22"/>
          <w:lang w:val="es-ES"/>
        </w:rPr>
        <w:t>23</w:t>
      </w:r>
      <w:r w:rsidRPr="008D73E7">
        <w:rPr>
          <w:sz w:val="22"/>
          <w:lang w:val="es-ES"/>
        </w:rPr>
        <w:t>.8</w:t>
      </w:r>
      <w:r w:rsidRPr="008D73E7">
        <w:rPr>
          <w:sz w:val="22"/>
          <w:lang w:val="es-ES"/>
        </w:rPr>
        <w:tab/>
        <w:t>La utilización por las partes contratantes de todos los informes y documentos elaborados, recibidos o entregados a lo largo de la ejecución operativa del contrato se rige por las condiciones establecidas en éste.</w:t>
      </w:r>
      <w:bookmarkEnd w:id="240"/>
      <w:bookmarkEnd w:id="241"/>
    </w:p>
    <w:p w:rsidR="008E45B1" w:rsidRPr="008D73E7" w:rsidRDefault="008E45B1" w:rsidP="00490F55">
      <w:pPr>
        <w:spacing w:after="240"/>
        <w:ind w:left="567" w:hanging="567"/>
        <w:jc w:val="both"/>
        <w:rPr>
          <w:sz w:val="22"/>
          <w:lang w:val="es-ES"/>
        </w:rPr>
      </w:pPr>
      <w:bookmarkStart w:id="242" w:name="_Toc39462915"/>
      <w:bookmarkStart w:id="243" w:name="_Toc39462341"/>
      <w:r>
        <w:rPr>
          <w:sz w:val="22"/>
          <w:lang w:val="es-ES"/>
        </w:rPr>
        <w:lastRenderedPageBreak/>
        <w:t>23</w:t>
      </w:r>
      <w:r w:rsidRPr="008D73E7">
        <w:rPr>
          <w:sz w:val="22"/>
          <w:lang w:val="es-ES"/>
        </w:rPr>
        <w:t>.9</w:t>
      </w:r>
      <w:r w:rsidRPr="008D73E7">
        <w:rPr>
          <w:sz w:val="22"/>
          <w:lang w:val="es-ES"/>
        </w:rPr>
        <w:tab/>
        <w:t>El Titular debe abstenerse de toda relación que pueda comprometer su independencia o la de su personal. Si el Titular dejara de ser independiente, el Órgano de Contratación podrá resolver el contrato sin preaviso por cualquier</w:t>
      </w:r>
      <w:bookmarkEnd w:id="242"/>
      <w:bookmarkEnd w:id="243"/>
      <w:r w:rsidRPr="008D73E7">
        <w:rPr>
          <w:sz w:val="22"/>
          <w:lang w:val="es-ES"/>
        </w:rPr>
        <w:t xml:space="preserve"> </w:t>
      </w:r>
      <w:bookmarkStart w:id="244" w:name="_Toc39462916"/>
      <w:bookmarkStart w:id="245" w:name="_Toc39462342"/>
      <w:r w:rsidRPr="008D73E7">
        <w:rPr>
          <w:sz w:val="22"/>
          <w:lang w:val="es-ES"/>
        </w:rPr>
        <w:t>perjuicio que haya sufrido como consecuencia de esta pérdida de independencia, sin que al Titular le asista el derecho a reclamar indemnización alguna.</w:t>
      </w:r>
      <w:bookmarkEnd w:id="244"/>
      <w:bookmarkEnd w:id="245"/>
    </w:p>
    <w:p w:rsidR="008E45B1" w:rsidRPr="008D73E7" w:rsidRDefault="008E45B1" w:rsidP="00490F55">
      <w:pPr>
        <w:spacing w:after="240"/>
        <w:ind w:left="567" w:hanging="567"/>
        <w:jc w:val="both"/>
        <w:rPr>
          <w:sz w:val="22"/>
          <w:lang w:val="es-ES"/>
        </w:rPr>
      </w:pPr>
      <w:bookmarkStart w:id="246" w:name="_Toc39462917"/>
      <w:bookmarkStart w:id="247" w:name="_Toc39462343"/>
      <w:r>
        <w:rPr>
          <w:sz w:val="22"/>
          <w:lang w:val="es-ES"/>
        </w:rPr>
        <w:t>23</w:t>
      </w:r>
      <w:r w:rsidRPr="008D73E7">
        <w:rPr>
          <w:sz w:val="22"/>
          <w:lang w:val="es-ES"/>
        </w:rPr>
        <w:t>.10</w:t>
      </w:r>
      <w:r w:rsidRPr="008D73E7">
        <w:rPr>
          <w:sz w:val="22"/>
          <w:lang w:val="es-ES"/>
        </w:rPr>
        <w:tab/>
        <w:t>La Comisión se reserva el derecho de suspender o anular la financiación de los proyectos si se descubren prácticas de corrupción de cualquier naturaleza en cualquier fase del procedimiento de adjudicación y si el Órgano de Contratación no toma todas las medidas oportunas para poner remedio a esta situación. A efectos de esta disposición, se entiende por «prácticas de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bookmarkEnd w:id="246"/>
      <w:bookmarkEnd w:id="247"/>
    </w:p>
    <w:p w:rsidR="008E45B1" w:rsidRPr="008D73E7" w:rsidRDefault="008E45B1" w:rsidP="00490F55">
      <w:pPr>
        <w:spacing w:after="240"/>
        <w:ind w:left="567"/>
        <w:jc w:val="both"/>
        <w:rPr>
          <w:sz w:val="22"/>
          <w:lang w:val="es-ES"/>
        </w:rPr>
      </w:pPr>
      <w:bookmarkStart w:id="248" w:name="_Toc39462918"/>
      <w:bookmarkStart w:id="249" w:name="_Toc39462344"/>
      <w:r w:rsidRPr="008D73E7">
        <w:rPr>
          <w:sz w:val="22"/>
          <w:lang w:val="es-ES"/>
        </w:rPr>
        <w:t>En caso de que la adjudicación o la ejecución operat</w:t>
      </w:r>
      <w:r>
        <w:rPr>
          <w:sz w:val="22"/>
          <w:lang w:val="es-ES"/>
        </w:rPr>
        <w:t>iva de un contrato de</w:t>
      </w:r>
      <w:r w:rsidRPr="008D73E7">
        <w:rPr>
          <w:sz w:val="22"/>
          <w:lang w:val="es-ES"/>
        </w:rPr>
        <w:t xml:space="preserve"> lugar a gastos comerciales no habituales, se rechazará la correspondiente oferta o se pondrá fin al contrato.</w:t>
      </w:r>
      <w:bookmarkEnd w:id="248"/>
      <w:bookmarkEnd w:id="249"/>
    </w:p>
    <w:p w:rsidR="008E45B1" w:rsidRPr="00014F15" w:rsidRDefault="008E45B1" w:rsidP="00490F55">
      <w:pPr>
        <w:spacing w:after="240"/>
        <w:ind w:left="567" w:hanging="567"/>
        <w:jc w:val="both"/>
        <w:rPr>
          <w:sz w:val="22"/>
          <w:lang w:val="es-ES"/>
        </w:rPr>
      </w:pPr>
      <w:bookmarkStart w:id="250" w:name="_Toc39462919"/>
      <w:bookmarkStart w:id="251" w:name="_Toc39462345"/>
      <w:r>
        <w:rPr>
          <w:sz w:val="22"/>
          <w:lang w:val="es-ES"/>
        </w:rPr>
        <w:t>23</w:t>
      </w:r>
      <w:r w:rsidRPr="00014F15">
        <w:rPr>
          <w:sz w:val="22"/>
          <w:lang w:val="es-ES"/>
        </w:rPr>
        <w:t>.11</w:t>
      </w:r>
      <w:r w:rsidRPr="00014F15">
        <w:rPr>
          <w:sz w:val="22"/>
          <w:lang w:val="es-ES"/>
        </w:rPr>
        <w:tab/>
        <w:t>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bookmarkEnd w:id="250"/>
      <w:bookmarkEnd w:id="251"/>
    </w:p>
    <w:p w:rsidR="008E45B1" w:rsidRPr="008D73E7" w:rsidRDefault="008E45B1" w:rsidP="00490F55">
      <w:pPr>
        <w:spacing w:after="240"/>
        <w:ind w:left="567" w:hanging="567"/>
        <w:jc w:val="both"/>
        <w:rPr>
          <w:sz w:val="22"/>
          <w:lang w:val="es-ES"/>
        </w:rPr>
      </w:pPr>
      <w:bookmarkStart w:id="252" w:name="_Toc39462920"/>
      <w:bookmarkStart w:id="253" w:name="_Toc39462346"/>
      <w:r>
        <w:rPr>
          <w:sz w:val="22"/>
          <w:lang w:val="es-ES"/>
        </w:rPr>
        <w:t>23</w:t>
      </w:r>
      <w:r w:rsidRPr="008D73E7">
        <w:rPr>
          <w:sz w:val="22"/>
          <w:lang w:val="es-ES"/>
        </w:rPr>
        <w:t>.1</w:t>
      </w:r>
      <w:r>
        <w:rPr>
          <w:sz w:val="22"/>
          <w:lang w:val="es-ES"/>
        </w:rPr>
        <w:t>2</w:t>
      </w:r>
      <w:r w:rsidRPr="008D73E7">
        <w:rPr>
          <w:sz w:val="22"/>
          <w:lang w:val="es-ES"/>
        </w:rPr>
        <w:tab/>
        <w:t>El Titular se compromete a presentar a la Comisión, a petición de ésta, todos los documentos justificativos de las condiciones de ejecución del contrato. La Comisión podrá realizar todos los controles documentales o sobre el terreno que estime necesarios para reunir pruebas que corroboren la sospecha de que se han producido gastos comerciales no habituales.</w:t>
      </w:r>
      <w:bookmarkEnd w:id="252"/>
      <w:bookmarkEnd w:id="253"/>
    </w:p>
    <w:p w:rsidR="008E45B1" w:rsidRDefault="008E45B1" w:rsidP="00490F55">
      <w:pPr>
        <w:spacing w:after="240"/>
        <w:ind w:left="567" w:hanging="567"/>
        <w:jc w:val="both"/>
        <w:rPr>
          <w:sz w:val="22"/>
          <w:lang w:val="es-ES"/>
        </w:rPr>
      </w:pPr>
      <w:bookmarkStart w:id="254" w:name="_Toc39462921"/>
      <w:bookmarkStart w:id="255" w:name="_Toc39462347"/>
      <w:r w:rsidRPr="008D73E7">
        <w:rPr>
          <w:sz w:val="22"/>
          <w:lang w:val="es-ES"/>
        </w:rPr>
        <w:t>2</w:t>
      </w:r>
      <w:r>
        <w:rPr>
          <w:sz w:val="22"/>
          <w:lang w:val="es-ES"/>
        </w:rPr>
        <w:t>3</w:t>
      </w:r>
      <w:r w:rsidRPr="008D73E7">
        <w:rPr>
          <w:sz w:val="22"/>
          <w:lang w:val="es-ES"/>
        </w:rPr>
        <w:t>.1</w:t>
      </w:r>
      <w:r>
        <w:rPr>
          <w:sz w:val="22"/>
          <w:lang w:val="es-ES"/>
        </w:rPr>
        <w:t>3</w:t>
      </w:r>
      <w:r w:rsidRPr="008D73E7">
        <w:rPr>
          <w:sz w:val="22"/>
          <w:lang w:val="es-ES"/>
        </w:rPr>
        <w:tab/>
        <w:t xml:space="preserve">Los Titulares de los que conste fehacientemente que hayan incurrido en gastos comerciales no habituales en proyectos financiados por la </w:t>
      </w:r>
      <w:r>
        <w:rPr>
          <w:sz w:val="22"/>
          <w:lang w:val="es-ES"/>
        </w:rPr>
        <w:t>Unión Europea</w:t>
      </w:r>
      <w:r w:rsidRPr="008D73E7">
        <w:rPr>
          <w:sz w:val="22"/>
          <w:lang w:val="es-ES"/>
        </w:rPr>
        <w:t xml:space="preserve"> se exponen, según la gravedad de los hechos, a la resolución del contrato o a la exclusión definitiva de la posibilidad de recibir fondos </w:t>
      </w:r>
      <w:r>
        <w:rPr>
          <w:sz w:val="22"/>
          <w:lang w:val="es-ES"/>
        </w:rPr>
        <w:t>de la UE</w:t>
      </w:r>
      <w:r w:rsidRPr="008D73E7">
        <w:rPr>
          <w:sz w:val="22"/>
          <w:lang w:val="es-ES"/>
        </w:rPr>
        <w:t>.</w:t>
      </w:r>
      <w:bookmarkEnd w:id="254"/>
      <w:bookmarkEnd w:id="255"/>
    </w:p>
    <w:p w:rsidR="008E45B1" w:rsidRPr="008D73E7" w:rsidRDefault="008E45B1" w:rsidP="00490F55">
      <w:pPr>
        <w:spacing w:after="240"/>
        <w:ind w:left="567" w:hanging="567"/>
        <w:jc w:val="both"/>
        <w:rPr>
          <w:sz w:val="22"/>
          <w:lang w:val="es-ES"/>
        </w:rPr>
      </w:pPr>
      <w:r>
        <w:rPr>
          <w:sz w:val="22"/>
          <w:lang w:val="es-ES"/>
        </w:rPr>
        <w:t>23.14</w:t>
      </w:r>
      <w:r>
        <w:rPr>
          <w:sz w:val="22"/>
          <w:lang w:val="es-ES"/>
        </w:rPr>
        <w:tab/>
        <w:t xml:space="preserve">El </w:t>
      </w:r>
      <w:r>
        <w:rPr>
          <w:sz w:val="22"/>
          <w:szCs w:val="22"/>
          <w:lang w:val="es-ES"/>
        </w:rPr>
        <w:t xml:space="preserve">Órgano de Contratación se reserva el derecho de suspender o anular el procedimiento cuando resulte que en el procedimiento de adjudicación se produjeron errores substanciales, irregularidades o fraude. </w:t>
      </w:r>
      <w:r w:rsidRPr="00592A0A">
        <w:rPr>
          <w:sz w:val="22"/>
          <w:szCs w:val="22"/>
          <w:lang w:val="es-ES_tradnl"/>
        </w:rPr>
        <w:t xml:space="preserve">Cuando, después de la adjudicación del contrato, se observe que en </w:t>
      </w:r>
      <w:r>
        <w:rPr>
          <w:sz w:val="22"/>
          <w:szCs w:val="22"/>
          <w:lang w:val="es-ES_tradnl"/>
        </w:rPr>
        <w:t>dicho</w:t>
      </w:r>
      <w:r w:rsidRPr="00592A0A">
        <w:rPr>
          <w:sz w:val="22"/>
          <w:szCs w:val="22"/>
          <w:lang w:val="es-ES_tradnl"/>
        </w:rPr>
        <w:t xml:space="preserve"> procedimiento </w:t>
      </w:r>
      <w:r>
        <w:rPr>
          <w:sz w:val="22"/>
          <w:szCs w:val="22"/>
          <w:lang w:val="es-ES_tradnl"/>
        </w:rPr>
        <w:t>se produjeron</w:t>
      </w:r>
      <w:r w:rsidRPr="00592A0A">
        <w:rPr>
          <w:sz w:val="22"/>
          <w:szCs w:val="22"/>
          <w:lang w:val="es-ES_tradnl"/>
        </w:rPr>
        <w:t xml:space="preserve"> errores sustanciales, irregularidades o fraude, el Órgano de Contratación</w:t>
      </w:r>
      <w:r>
        <w:rPr>
          <w:sz w:val="22"/>
          <w:szCs w:val="22"/>
          <w:lang w:val="es-ES_tradnl"/>
        </w:rPr>
        <w:t xml:space="preserve"> podrá renunciar a concluir el contrato</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bookmarkStart w:id="256" w:name="_Toc43004190"/>
      <w:bookmarkStart w:id="257" w:name="_Toc39896822"/>
      <w:bookmarkStart w:id="258" w:name="_Toc39463064"/>
      <w:bookmarkStart w:id="259" w:name="_Toc39462922"/>
      <w:bookmarkStart w:id="260" w:name="_Toc39462348"/>
      <w:r w:rsidRPr="00106900">
        <w:rPr>
          <w:rFonts w:ascii="Times New Roman" w:hAnsi="Times New Roman"/>
          <w:i w:val="0"/>
          <w:sz w:val="24"/>
          <w:szCs w:val="24"/>
        </w:rPr>
        <w:t>Anulación de la licitación</w:t>
      </w:r>
      <w:bookmarkEnd w:id="256"/>
      <w:bookmarkEnd w:id="257"/>
      <w:bookmarkEnd w:id="258"/>
      <w:bookmarkEnd w:id="259"/>
      <w:bookmarkEnd w:id="260"/>
    </w:p>
    <w:p w:rsidR="008E45B1" w:rsidRPr="008D73E7" w:rsidRDefault="008E45B1" w:rsidP="00490F55">
      <w:pPr>
        <w:pStyle w:val="Textoindependiente"/>
        <w:spacing w:before="0" w:after="240"/>
        <w:ind w:left="567"/>
        <w:jc w:val="both"/>
        <w:rPr>
          <w:rFonts w:ascii="Times New Roman" w:hAnsi="Times New Roman"/>
        </w:rPr>
      </w:pPr>
      <w:r w:rsidRPr="008D73E7">
        <w:rPr>
          <w:rFonts w:ascii="Times New Roman" w:hAnsi="Times New Roman"/>
          <w:sz w:val="22"/>
        </w:rPr>
        <w:t>En el supuesto de que se anule una licitación, el Órgano de Contratación debe notificárselo a los licitadores. Si la licitación se anula antes de la sesión de apertura de plicas, se devolverán a los licitadores las plicas cerradas y precintadas.</w:t>
      </w:r>
    </w:p>
    <w:p w:rsidR="008E45B1" w:rsidRPr="008D73E7" w:rsidRDefault="008E45B1" w:rsidP="00490F55">
      <w:pPr>
        <w:pStyle w:val="Textoindependiente"/>
        <w:spacing w:before="0" w:after="240"/>
        <w:ind w:left="567"/>
        <w:jc w:val="both"/>
        <w:rPr>
          <w:rFonts w:ascii="Times New Roman" w:hAnsi="Times New Roman"/>
          <w:sz w:val="22"/>
        </w:rPr>
      </w:pPr>
      <w:r w:rsidRPr="008D73E7">
        <w:rPr>
          <w:rFonts w:ascii="Times New Roman" w:hAnsi="Times New Roman"/>
          <w:sz w:val="22"/>
        </w:rPr>
        <w:t>La anulación puede producirse en los siguientes casos:</w:t>
      </w:r>
    </w:p>
    <w:p w:rsidR="008E45B1" w:rsidRPr="008D73E7" w:rsidRDefault="008E45B1" w:rsidP="00490F55">
      <w:pPr>
        <w:pStyle w:val="Sangradetextonormal"/>
        <w:numPr>
          <w:ilvl w:val="0"/>
          <w:numId w:val="3"/>
        </w:numPr>
        <w:tabs>
          <w:tab w:val="clear" w:pos="360"/>
          <w:tab w:val="num" w:pos="1134"/>
        </w:tabs>
        <w:spacing w:after="240"/>
        <w:ind w:left="1134" w:hanging="414"/>
        <w:rPr>
          <w:sz w:val="22"/>
        </w:rPr>
      </w:pPr>
      <w:r w:rsidRPr="008D73E7">
        <w:rPr>
          <w:sz w:val="22"/>
        </w:rPr>
        <w:t>cuando la licitación haya quedado desierta, es decir, cuando no se haya recibido ninguna oferta o ninguna de las recibidas merezca ser seleccionada desde el punto de vista cualitativo o económico;</w:t>
      </w:r>
    </w:p>
    <w:p w:rsidR="008E45B1" w:rsidRPr="008D73E7" w:rsidRDefault="008E45B1" w:rsidP="00490F55">
      <w:pPr>
        <w:pStyle w:val="Sangradetextonormal"/>
        <w:numPr>
          <w:ilvl w:val="0"/>
          <w:numId w:val="3"/>
        </w:numPr>
        <w:tabs>
          <w:tab w:val="clear" w:pos="360"/>
          <w:tab w:val="num" w:pos="1134"/>
        </w:tabs>
        <w:spacing w:after="240"/>
        <w:ind w:left="1134" w:hanging="414"/>
        <w:rPr>
          <w:sz w:val="22"/>
        </w:rPr>
      </w:pPr>
      <w:r w:rsidRPr="008D73E7">
        <w:rPr>
          <w:sz w:val="22"/>
        </w:rPr>
        <w:t>cuando los elementos técnicos o económicos del proyecto se hayan modificado de manera fundamental;</w:t>
      </w:r>
    </w:p>
    <w:p w:rsidR="008E45B1" w:rsidRPr="008D73E7" w:rsidRDefault="008E45B1" w:rsidP="00490F55">
      <w:pPr>
        <w:pStyle w:val="Sangradetextonormal"/>
        <w:numPr>
          <w:ilvl w:val="0"/>
          <w:numId w:val="3"/>
        </w:numPr>
        <w:tabs>
          <w:tab w:val="clear" w:pos="360"/>
          <w:tab w:val="num" w:pos="1134"/>
        </w:tabs>
        <w:spacing w:after="240"/>
        <w:ind w:left="1134" w:hanging="414"/>
        <w:rPr>
          <w:sz w:val="22"/>
        </w:rPr>
      </w:pPr>
      <w:r w:rsidRPr="008D73E7">
        <w:rPr>
          <w:sz w:val="22"/>
        </w:rPr>
        <w:lastRenderedPageBreak/>
        <w:t>cuando circunstancias excepcionales o de fuerza mayor hagan imposible la ejecución normal del proyecto;</w:t>
      </w:r>
    </w:p>
    <w:p w:rsidR="008E45B1" w:rsidRPr="008D73E7" w:rsidRDefault="008E45B1" w:rsidP="00490F55">
      <w:pPr>
        <w:pStyle w:val="Sangradetextonormal"/>
        <w:numPr>
          <w:ilvl w:val="0"/>
          <w:numId w:val="3"/>
        </w:numPr>
        <w:tabs>
          <w:tab w:val="clear" w:pos="360"/>
          <w:tab w:val="num" w:pos="1134"/>
        </w:tabs>
        <w:spacing w:after="240"/>
        <w:ind w:left="1134" w:hanging="414"/>
        <w:rPr>
          <w:sz w:val="22"/>
        </w:rPr>
      </w:pPr>
      <w:r w:rsidRPr="008D73E7">
        <w:rPr>
          <w:sz w:val="22"/>
        </w:rPr>
        <w:t>cuando todas las ofertas que cumplan los criterios técnicos excedan de los recursos financieros disponibles;</w:t>
      </w:r>
    </w:p>
    <w:p w:rsidR="008E45B1" w:rsidRDefault="008E45B1" w:rsidP="00490F55">
      <w:pPr>
        <w:pStyle w:val="Sangradetextonormal"/>
        <w:numPr>
          <w:ilvl w:val="0"/>
          <w:numId w:val="3"/>
        </w:numPr>
        <w:tabs>
          <w:tab w:val="clear" w:pos="360"/>
          <w:tab w:val="num" w:pos="1134"/>
        </w:tabs>
        <w:spacing w:after="240"/>
        <w:ind w:left="1134" w:hanging="414"/>
        <w:rPr>
          <w:sz w:val="22"/>
        </w:rPr>
      </w:pPr>
      <w:r w:rsidRPr="008D73E7">
        <w:rPr>
          <w:sz w:val="22"/>
        </w:rPr>
        <w:t>cuando se hayan producido irregularidades en el procedimiento, en particular si han entorpecido su desarrollo en condiciones de competencia leal.</w:t>
      </w:r>
    </w:p>
    <w:p w:rsidR="008E45B1" w:rsidRPr="008D73E7" w:rsidRDefault="008E45B1" w:rsidP="00490F55">
      <w:pPr>
        <w:pStyle w:val="Sangradetextonormal"/>
        <w:numPr>
          <w:ilvl w:val="0"/>
          <w:numId w:val="3"/>
        </w:numPr>
        <w:tabs>
          <w:tab w:val="clear" w:pos="360"/>
          <w:tab w:val="num" w:pos="1134"/>
        </w:tabs>
        <w:spacing w:after="240"/>
        <w:ind w:left="1134" w:hanging="414"/>
        <w:rPr>
          <w:sz w:val="22"/>
        </w:rPr>
      </w:pPr>
      <w:r>
        <w:rPr>
          <w:sz w:val="22"/>
        </w:rPr>
        <w:t>cuando la adjudicación del contrato no respete la buena gestión financiera, es decir los principios de economía, de eficiencia y de eficacidad (por ejemplo el precio propuesto por el licitador al que se le ha otorgado el contrato es objetivamente desproporcionado en relación con el precio de mercado).</w:t>
      </w:r>
    </w:p>
    <w:p w:rsidR="008E45B1" w:rsidRPr="00B30A3A" w:rsidRDefault="008E45B1" w:rsidP="00490F55">
      <w:pPr>
        <w:pStyle w:val="Sangradetextonormal"/>
        <w:tabs>
          <w:tab w:val="clear" w:pos="567"/>
        </w:tabs>
        <w:spacing w:after="240"/>
        <w:ind w:left="709"/>
        <w:rPr>
          <w:rFonts w:ascii="Times New Roman Bold" w:hAnsi="Times New Roman Bold"/>
          <w:b/>
          <w:sz w:val="22"/>
        </w:rPr>
      </w:pPr>
      <w:r w:rsidRPr="00B30A3A">
        <w:rPr>
          <w:rFonts w:ascii="Times New Roman Bold" w:hAnsi="Times New Roman Bold"/>
          <w:b/>
          <w:sz w:val="22"/>
        </w:rPr>
        <w:t>En ningún caso podrá serle atribuida al Órgano de Contratación responsabilidad por cualesquiera dañ</w:t>
      </w:r>
      <w:r>
        <w:rPr>
          <w:rFonts w:ascii="Times New Roman Bold" w:hAnsi="Times New Roman Bold"/>
          <w:b/>
          <w:sz w:val="22"/>
        </w:rPr>
        <w:t>o</w:t>
      </w:r>
      <w:r w:rsidRPr="00B30A3A">
        <w:rPr>
          <w:rFonts w:ascii="Times New Roman Bold" w:hAnsi="Times New Roman Bold"/>
          <w:b/>
          <w:sz w:val="22"/>
        </w:rPr>
        <w:t>s, incluidos, sin carácter restrictivo, los daños por lucro cesante, dimanantes o relacionados en cualquier modo con la anulación de una licitación, incluso en el caso de que el Órgano de Contratación  hubiere sido advertido de la posibilidad de la interposición de una reclamación por daños y perjuicios. La publicación de un anuncio de licitación no supone que el Órgano de Contratación contraiga obligación legal alguna de aplicar el programa o ejecutar el proyecto anunciado.</w:t>
      </w:r>
    </w:p>
    <w:p w:rsidR="008E45B1" w:rsidRPr="00106900" w:rsidRDefault="008E45B1" w:rsidP="00490F55">
      <w:pPr>
        <w:pStyle w:val="Ttulo1"/>
        <w:numPr>
          <w:ilvl w:val="0"/>
          <w:numId w:val="4"/>
        </w:numPr>
        <w:spacing w:before="0" w:after="240"/>
        <w:ind w:left="567" w:hanging="567"/>
        <w:rPr>
          <w:rFonts w:ascii="Times New Roman" w:hAnsi="Times New Roman"/>
          <w:i w:val="0"/>
          <w:sz w:val="24"/>
          <w:szCs w:val="24"/>
        </w:rPr>
      </w:pPr>
      <w:r w:rsidRPr="00106900">
        <w:rPr>
          <w:rFonts w:ascii="Times New Roman" w:hAnsi="Times New Roman"/>
          <w:i w:val="0"/>
          <w:sz w:val="24"/>
          <w:szCs w:val="24"/>
        </w:rPr>
        <w:t>Reclamaciones</w:t>
      </w:r>
    </w:p>
    <w:p w:rsidR="008E45B1" w:rsidRPr="008D73E7" w:rsidRDefault="008E45B1" w:rsidP="00490F55">
      <w:pPr>
        <w:pStyle w:val="Textoindependiente2"/>
        <w:tabs>
          <w:tab w:val="clear" w:pos="567"/>
        </w:tabs>
        <w:spacing w:after="240"/>
        <w:ind w:left="567"/>
        <w:rPr>
          <w:sz w:val="22"/>
          <w:szCs w:val="22"/>
          <w:lang w:val="es-ES"/>
        </w:rPr>
      </w:pPr>
      <w:r w:rsidRPr="008D73E7">
        <w:rPr>
          <w:sz w:val="22"/>
          <w:szCs w:val="22"/>
          <w:lang w:val="es-ES"/>
        </w:rPr>
        <w:t>Los licitadores que</w:t>
      </w:r>
      <w:r>
        <w:rPr>
          <w:sz w:val="22"/>
          <w:szCs w:val="22"/>
          <w:lang w:val="es-ES"/>
        </w:rPr>
        <w:t xml:space="preserve"> se</w:t>
      </w:r>
      <w:r w:rsidRPr="008D73E7">
        <w:rPr>
          <w:sz w:val="22"/>
          <w:szCs w:val="22"/>
          <w:lang w:val="es-ES"/>
        </w:rPr>
        <w:t xml:space="preserve"> consideren </w:t>
      </w:r>
      <w:r>
        <w:rPr>
          <w:sz w:val="22"/>
          <w:szCs w:val="22"/>
          <w:lang w:val="es-ES"/>
        </w:rPr>
        <w:t xml:space="preserve">perjudicados </w:t>
      </w:r>
      <w:r w:rsidRPr="008D73E7">
        <w:rPr>
          <w:sz w:val="22"/>
          <w:szCs w:val="22"/>
          <w:lang w:val="es-ES"/>
        </w:rPr>
        <w:t xml:space="preserve">por un error o irregularidad </w:t>
      </w:r>
      <w:r>
        <w:rPr>
          <w:sz w:val="22"/>
          <w:szCs w:val="22"/>
          <w:lang w:val="es-ES"/>
        </w:rPr>
        <w:t xml:space="preserve">producida </w:t>
      </w:r>
      <w:r w:rsidRPr="008D73E7">
        <w:rPr>
          <w:sz w:val="22"/>
          <w:szCs w:val="22"/>
          <w:lang w:val="es-ES"/>
        </w:rPr>
        <w:t xml:space="preserve">durante el proceso de adjudicación pueden </w:t>
      </w:r>
      <w:r>
        <w:rPr>
          <w:sz w:val="22"/>
          <w:szCs w:val="22"/>
          <w:lang w:val="es-ES"/>
        </w:rPr>
        <w:t xml:space="preserve">presentar una </w:t>
      </w:r>
      <w:r w:rsidRPr="008D73E7">
        <w:rPr>
          <w:sz w:val="22"/>
          <w:szCs w:val="22"/>
          <w:lang w:val="es-ES"/>
        </w:rPr>
        <w:t>reclama</w:t>
      </w:r>
      <w:r>
        <w:rPr>
          <w:sz w:val="22"/>
          <w:szCs w:val="22"/>
          <w:lang w:val="es-ES"/>
        </w:rPr>
        <w:t>ción</w:t>
      </w:r>
      <w:r w:rsidRPr="008D73E7">
        <w:rPr>
          <w:sz w:val="22"/>
          <w:szCs w:val="22"/>
          <w:lang w:val="es-ES"/>
        </w:rPr>
        <w:t>.</w:t>
      </w:r>
      <w:r>
        <w:rPr>
          <w:sz w:val="22"/>
          <w:szCs w:val="22"/>
          <w:lang w:val="es-ES"/>
        </w:rPr>
        <w:t xml:space="preserve"> Véase el apartado 2.4.15 de la Guía Práctica.</w:t>
      </w:r>
    </w:p>
    <w:p w:rsidR="008E45B1" w:rsidRDefault="008E45B1"/>
    <w:sectPr w:rsidR="008E45B1" w:rsidSect="00BD4DE9">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AC6" w:rsidRDefault="00C73AC6" w:rsidP="00A9579A">
      <w:r>
        <w:separator/>
      </w:r>
    </w:p>
  </w:endnote>
  <w:endnote w:type="continuationSeparator" w:id="0">
    <w:p w:rsidR="00C73AC6" w:rsidRDefault="00C73AC6" w:rsidP="00A9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Sorts">
    <w:altName w:val="Symbol"/>
    <w:panose1 w:val="00000000000000000000"/>
    <w:charset w:val="02"/>
    <w:family w:val="auto"/>
    <w:notTrueType/>
    <w:pitch w:val="variable"/>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5B1" w:rsidRDefault="00E7696B" w:rsidP="00BD4DE9">
    <w:pPr>
      <w:pStyle w:val="Piedepgina"/>
      <w:framePr w:wrap="around" w:vAnchor="text" w:hAnchor="margin" w:xAlign="center" w:y="1"/>
      <w:rPr>
        <w:rStyle w:val="Nmerodepgina"/>
      </w:rPr>
    </w:pPr>
    <w:r>
      <w:rPr>
        <w:rStyle w:val="Nmerodepgina"/>
      </w:rPr>
      <w:fldChar w:fldCharType="begin"/>
    </w:r>
    <w:r w:rsidR="008E45B1">
      <w:rPr>
        <w:rStyle w:val="Nmerodepgina"/>
      </w:rPr>
      <w:instrText xml:space="preserve">PAGE  </w:instrText>
    </w:r>
    <w:r>
      <w:rPr>
        <w:rStyle w:val="Nmerodepgina"/>
      </w:rPr>
      <w:fldChar w:fldCharType="separate"/>
    </w:r>
    <w:r w:rsidR="008E45B1">
      <w:rPr>
        <w:rStyle w:val="Nmerodepgina"/>
        <w:noProof/>
      </w:rPr>
      <w:t>2</w:t>
    </w:r>
    <w:r>
      <w:rPr>
        <w:rStyle w:val="Nmerodepgina"/>
      </w:rPr>
      <w:fldChar w:fldCharType="end"/>
    </w:r>
  </w:p>
  <w:p w:rsidR="008E45B1" w:rsidRDefault="008E45B1">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5B1" w:rsidRPr="00214D65" w:rsidRDefault="008E45B1" w:rsidP="00BD4DE9">
    <w:pPr>
      <w:pStyle w:val="Piedepgina"/>
      <w:tabs>
        <w:tab w:val="clear" w:pos="4536"/>
      </w:tabs>
      <w:rPr>
        <w:rStyle w:val="Nmerodepgina"/>
        <w:sz w:val="18"/>
        <w:szCs w:val="18"/>
        <w:lang w:val="pt-PT"/>
      </w:rPr>
    </w:pPr>
    <w:r>
      <w:rPr>
        <w:b/>
        <w:sz w:val="18"/>
        <w:szCs w:val="18"/>
        <w:lang w:val="pt-PT"/>
      </w:rPr>
      <w:t>Enero 2012</w:t>
    </w:r>
    <w:r w:rsidRPr="00214D65">
      <w:rPr>
        <w:sz w:val="18"/>
        <w:szCs w:val="18"/>
        <w:lang w:val="pt-PT"/>
      </w:rPr>
      <w:tab/>
      <w:t xml:space="preserve">Página </w:t>
    </w:r>
    <w:r w:rsidR="00E7696B" w:rsidRPr="00214D65">
      <w:rPr>
        <w:rStyle w:val="Nmerodepgina"/>
        <w:sz w:val="18"/>
        <w:szCs w:val="18"/>
        <w:lang w:val="pt-PT"/>
      </w:rPr>
      <w:fldChar w:fldCharType="begin"/>
    </w:r>
    <w:r w:rsidRPr="00214D65">
      <w:rPr>
        <w:rStyle w:val="Nmerodepgina"/>
        <w:sz w:val="18"/>
        <w:szCs w:val="18"/>
        <w:lang w:val="pt-PT"/>
      </w:rPr>
      <w:instrText xml:space="preserve"> PAGE </w:instrText>
    </w:r>
    <w:r w:rsidR="00E7696B" w:rsidRPr="00214D65">
      <w:rPr>
        <w:rStyle w:val="Nmerodepgina"/>
        <w:sz w:val="18"/>
        <w:szCs w:val="18"/>
        <w:lang w:val="pt-PT"/>
      </w:rPr>
      <w:fldChar w:fldCharType="separate"/>
    </w:r>
    <w:r w:rsidR="00BF0A2C">
      <w:rPr>
        <w:rStyle w:val="Nmerodepgina"/>
        <w:noProof/>
        <w:sz w:val="18"/>
        <w:szCs w:val="18"/>
        <w:lang w:val="pt-PT"/>
      </w:rPr>
      <w:t>3</w:t>
    </w:r>
    <w:r w:rsidR="00E7696B" w:rsidRPr="00214D65">
      <w:rPr>
        <w:rStyle w:val="Nmerodepgina"/>
        <w:sz w:val="18"/>
        <w:szCs w:val="18"/>
        <w:lang w:val="pt-PT"/>
      </w:rPr>
      <w:fldChar w:fldCharType="end"/>
    </w:r>
    <w:r w:rsidRPr="00214D65">
      <w:rPr>
        <w:rStyle w:val="Nmerodepgina"/>
        <w:sz w:val="18"/>
        <w:szCs w:val="18"/>
        <w:lang w:val="pt-PT"/>
      </w:rPr>
      <w:t xml:space="preserve"> de </w:t>
    </w:r>
    <w:r w:rsidR="00E7696B" w:rsidRPr="00214D65">
      <w:rPr>
        <w:rStyle w:val="Nmerodepgina"/>
        <w:sz w:val="18"/>
        <w:szCs w:val="18"/>
        <w:lang w:val="pt-PT"/>
      </w:rPr>
      <w:fldChar w:fldCharType="begin"/>
    </w:r>
    <w:r w:rsidRPr="00214D65">
      <w:rPr>
        <w:rStyle w:val="Nmerodepgina"/>
        <w:sz w:val="18"/>
        <w:szCs w:val="18"/>
        <w:lang w:val="pt-PT"/>
      </w:rPr>
      <w:instrText xml:space="preserve"> NUMPAGES </w:instrText>
    </w:r>
    <w:r w:rsidR="00E7696B" w:rsidRPr="00214D65">
      <w:rPr>
        <w:rStyle w:val="Nmerodepgina"/>
        <w:sz w:val="18"/>
        <w:szCs w:val="18"/>
        <w:lang w:val="pt-PT"/>
      </w:rPr>
      <w:fldChar w:fldCharType="separate"/>
    </w:r>
    <w:r w:rsidR="00BF0A2C">
      <w:rPr>
        <w:rStyle w:val="Nmerodepgina"/>
        <w:noProof/>
        <w:sz w:val="18"/>
        <w:szCs w:val="18"/>
        <w:lang w:val="pt-PT"/>
      </w:rPr>
      <w:t>17</w:t>
    </w:r>
    <w:r w:rsidR="00E7696B" w:rsidRPr="00214D65">
      <w:rPr>
        <w:rStyle w:val="Nmerodepgina"/>
        <w:sz w:val="18"/>
        <w:szCs w:val="18"/>
        <w:lang w:val="pt-PT"/>
      </w:rPr>
      <w:fldChar w:fldCharType="end"/>
    </w:r>
  </w:p>
  <w:p w:rsidR="008E45B1" w:rsidRPr="00214D65" w:rsidRDefault="00E7696B" w:rsidP="00BD4DE9">
    <w:pPr>
      <w:pStyle w:val="Piedepgina"/>
      <w:tabs>
        <w:tab w:val="clear" w:pos="4536"/>
      </w:tabs>
      <w:rPr>
        <w:sz w:val="18"/>
        <w:szCs w:val="18"/>
        <w:lang w:val="pt-PT"/>
      </w:rPr>
    </w:pPr>
    <w:r w:rsidRPr="006066BD">
      <w:rPr>
        <w:sz w:val="18"/>
        <w:szCs w:val="18"/>
        <w:lang w:val="es-PE"/>
      </w:rPr>
      <w:fldChar w:fldCharType="begin"/>
    </w:r>
    <w:r w:rsidR="008E45B1" w:rsidRPr="006066BD">
      <w:rPr>
        <w:sz w:val="18"/>
        <w:szCs w:val="18"/>
        <w:lang w:val="es-PE"/>
      </w:rPr>
      <w:instrText xml:space="preserve"> FILENAME </w:instrText>
    </w:r>
    <w:r w:rsidRPr="006066BD">
      <w:rPr>
        <w:sz w:val="18"/>
        <w:szCs w:val="18"/>
        <w:lang w:val="es-PE"/>
      </w:rPr>
      <w:fldChar w:fldCharType="separate"/>
    </w:r>
    <w:r w:rsidR="008E45B1">
      <w:rPr>
        <w:noProof/>
        <w:sz w:val="18"/>
        <w:szCs w:val="18"/>
        <w:lang w:val="es-PE"/>
      </w:rPr>
      <w:t>A Instrucciones a l os licitadores vf-18-05-2012[1][1]</w:t>
    </w:r>
    <w:r w:rsidRPr="006066BD">
      <w:rPr>
        <w:sz w:val="18"/>
        <w:szCs w:val="18"/>
        <w:lang w:val="es-P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AC6" w:rsidRDefault="00C73AC6" w:rsidP="00A9579A">
      <w:r>
        <w:separator/>
      </w:r>
    </w:p>
  </w:footnote>
  <w:footnote w:type="continuationSeparator" w:id="0">
    <w:p w:rsidR="00C73AC6" w:rsidRDefault="00C73AC6" w:rsidP="00A9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885"/>
    <w:multiLevelType w:val="multilevel"/>
    <w:tmpl w:val="217A8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23C60B4E"/>
    <w:multiLevelType w:val="multilevel"/>
    <w:tmpl w:val="FF420998"/>
    <w:lvl w:ilvl="0">
      <w:start w:val="1"/>
      <w:numFmt w:val="bullet"/>
      <w:pStyle w:val="Ttulo3"/>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62927A4"/>
    <w:multiLevelType w:val="hybridMultilevel"/>
    <w:tmpl w:val="4FB2B52C"/>
    <w:lvl w:ilvl="0" w:tplc="07689F4E">
      <w:start w:val="1"/>
      <w:numFmt w:val="lowerLetter"/>
      <w:lvlText w:val="%1)"/>
      <w:lvlJc w:val="left"/>
      <w:pPr>
        <w:tabs>
          <w:tab w:val="num" w:pos="927"/>
        </w:tabs>
        <w:ind w:left="927" w:hanging="360"/>
      </w:pPr>
      <w:rPr>
        <w:rFonts w:cs="Times New Roman" w:hint="default"/>
      </w:rPr>
    </w:lvl>
    <w:lvl w:ilvl="1" w:tplc="B8B2FC88">
      <w:start w:val="1"/>
      <w:numFmt w:val="bullet"/>
      <w:lvlText w:val="-"/>
      <w:lvlJc w:val="left"/>
      <w:pPr>
        <w:tabs>
          <w:tab w:val="num" w:pos="1647"/>
        </w:tabs>
        <w:ind w:left="1647" w:hanging="360"/>
      </w:pPr>
      <w:rPr>
        <w:rFonts w:ascii="Times New Roman" w:eastAsia="Times New Roman" w:hAnsi="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3">
    <w:nsid w:val="3D831141"/>
    <w:multiLevelType w:val="multilevel"/>
    <w:tmpl w:val="1E4C9884"/>
    <w:lvl w:ilvl="0">
      <w:start w:val="14"/>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
    <w:nsid w:val="4406689B"/>
    <w:multiLevelType w:val="multilevel"/>
    <w:tmpl w:val="E6784222"/>
    <w:lvl w:ilvl="0">
      <w:start w:val="5"/>
      <w:numFmt w:val="none"/>
      <w:lvlText w:val="23"/>
      <w:lvlJc w:val="left"/>
      <w:pPr>
        <w:tabs>
          <w:tab w:val="num" w:pos="435"/>
        </w:tabs>
        <w:ind w:left="435" w:hanging="435"/>
      </w:pPr>
      <w:rPr>
        <w:rFonts w:cs="Times New Roman"/>
      </w:rPr>
    </w:lvl>
    <w:lvl w:ilvl="1">
      <w:start w:val="1"/>
      <w:numFmt w:val="none"/>
      <w:lvlRestart w:val="0"/>
      <w:pStyle w:val="Ttulo2"/>
      <w:lvlText w:val="23.1"/>
      <w:lvlJc w:val="left"/>
      <w:pPr>
        <w:tabs>
          <w:tab w:val="num" w:pos="1319"/>
        </w:tabs>
        <w:ind w:left="1319" w:hanging="435"/>
      </w:pPr>
      <w:rPr>
        <w:rFonts w:cs="Times New Roman"/>
      </w:rPr>
    </w:lvl>
    <w:lvl w:ilvl="2">
      <w:start w:val="1"/>
      <w:numFmt w:val="none"/>
      <w:lvlText w:val="23.1.1"/>
      <w:lvlJc w:val="left"/>
      <w:pPr>
        <w:tabs>
          <w:tab w:val="num" w:pos="2848"/>
        </w:tabs>
        <w:ind w:left="2488" w:hanging="720"/>
      </w:pPr>
      <w:rPr>
        <w:rFonts w:cs="Times New Roman"/>
      </w:rPr>
    </w:lvl>
    <w:lvl w:ilvl="3">
      <w:start w:val="1"/>
      <w:numFmt w:val="none"/>
      <w:lvlRestart w:val="0"/>
      <w:isLgl/>
      <w:lvlText w:val="6"/>
      <w:lvlJc w:val="left"/>
      <w:pPr>
        <w:tabs>
          <w:tab w:val="num" w:pos="360"/>
        </w:tabs>
      </w:pPr>
      <w:rPr>
        <w:rFonts w:cs="Times New Roman"/>
      </w:rPr>
    </w:lvl>
    <w:lvl w:ilvl="4">
      <w:start w:val="1"/>
      <w:numFmt w:val="none"/>
      <w:isLgl/>
      <w:lvlText w:val=""/>
      <w:lvlJc w:val="left"/>
      <w:pPr>
        <w:tabs>
          <w:tab w:val="num" w:pos="4616"/>
        </w:tabs>
        <w:ind w:left="4616" w:hanging="1080"/>
      </w:pPr>
      <w:rPr>
        <w:rFonts w:cs="Times New Roman"/>
      </w:rPr>
    </w:lvl>
    <w:lvl w:ilvl="5">
      <w:start w:val="1"/>
      <w:numFmt w:val="none"/>
      <w:lvlText w:val=""/>
      <w:lvlJc w:val="left"/>
      <w:pPr>
        <w:tabs>
          <w:tab w:val="num" w:pos="5500"/>
        </w:tabs>
        <w:ind w:left="5500" w:hanging="1080"/>
      </w:pPr>
      <w:rPr>
        <w:rFonts w:cs="Times New Roman"/>
      </w:rPr>
    </w:lvl>
    <w:lvl w:ilvl="6">
      <w:start w:val="1"/>
      <w:numFmt w:val="none"/>
      <w:lvlText w:val=""/>
      <w:lvlJc w:val="left"/>
      <w:pPr>
        <w:tabs>
          <w:tab w:val="num" w:pos="6744"/>
        </w:tabs>
        <w:ind w:left="6744" w:hanging="1440"/>
      </w:pPr>
      <w:rPr>
        <w:rFonts w:cs="Times New Roman"/>
      </w:rPr>
    </w:lvl>
    <w:lvl w:ilvl="7">
      <w:start w:val="1"/>
      <w:numFmt w:val="decimal"/>
      <w:lvlText w:val="%1.%2.%3.%4.%5.%6.%7.%8"/>
      <w:lvlJc w:val="left"/>
      <w:pPr>
        <w:tabs>
          <w:tab w:val="num" w:pos="7988"/>
        </w:tabs>
        <w:ind w:left="7628" w:hanging="1440"/>
      </w:pPr>
      <w:rPr>
        <w:rFonts w:cs="Times New Roman"/>
      </w:rPr>
    </w:lvl>
    <w:lvl w:ilvl="8">
      <w:start w:val="1"/>
      <w:numFmt w:val="decimal"/>
      <w:lvlText w:val="%1.%2.%3.%4.%5.%6.%7.%8.%9"/>
      <w:lvlJc w:val="left"/>
      <w:pPr>
        <w:tabs>
          <w:tab w:val="num" w:pos="8872"/>
        </w:tabs>
        <w:ind w:left="8872" w:hanging="1800"/>
      </w:pPr>
      <w:rPr>
        <w:rFonts w:cs="Times New Roman"/>
      </w:rPr>
    </w:lvl>
  </w:abstractNum>
  <w:abstractNum w:abstractNumId="5">
    <w:nsid w:val="46A86EDB"/>
    <w:multiLevelType w:val="hybridMultilevel"/>
    <w:tmpl w:val="7566438C"/>
    <w:lvl w:ilvl="0" w:tplc="2D3E1B3E">
      <w:start w:val="1"/>
      <w:numFmt w:val="lowerLetter"/>
      <w:lvlText w:val="%1)"/>
      <w:lvlJc w:val="left"/>
      <w:pPr>
        <w:tabs>
          <w:tab w:val="num" w:pos="930"/>
        </w:tabs>
        <w:ind w:left="930" w:hanging="57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54D25518"/>
    <w:multiLevelType w:val="multilevel"/>
    <w:tmpl w:val="FD02D232"/>
    <w:lvl w:ilvl="0">
      <w:start w:val="1"/>
      <w:numFmt w:val="decimal"/>
      <w:lvlText w:val="%1"/>
      <w:lvlJc w:val="left"/>
      <w:pPr>
        <w:tabs>
          <w:tab w:val="num" w:pos="539"/>
        </w:tabs>
        <w:ind w:left="539" w:hanging="397"/>
      </w:pPr>
      <w:rPr>
        <w:rFonts w:ascii="Times New Roman" w:hAnsi="Times New Roman" w:cs="Times New Roman" w:hint="default"/>
        <w:b/>
        <w:i w:val="0"/>
        <w:sz w:val="24"/>
        <w:szCs w:val="24"/>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7">
    <w:nsid w:val="57104328"/>
    <w:multiLevelType w:val="hybridMultilevel"/>
    <w:tmpl w:val="175C8C48"/>
    <w:lvl w:ilvl="0" w:tplc="7096B4A8">
      <w:start w:val="1"/>
      <w:numFmt w:val="lowerLetter"/>
      <w:lvlText w:val="%1)"/>
      <w:lvlJc w:val="left"/>
      <w:pPr>
        <w:tabs>
          <w:tab w:val="num" w:pos="927"/>
        </w:tabs>
        <w:ind w:left="927" w:hanging="360"/>
      </w:pPr>
      <w:rPr>
        <w:rFonts w:cs="Times New Roman" w:hint="default"/>
      </w:rPr>
    </w:lvl>
    <w:lvl w:ilvl="1" w:tplc="105012B6">
      <w:start w:val="1"/>
      <w:numFmt w:val="lowerLetter"/>
      <w:lvlText w:val="%2)"/>
      <w:lvlJc w:val="left"/>
      <w:pPr>
        <w:tabs>
          <w:tab w:val="num" w:pos="1647"/>
        </w:tabs>
        <w:ind w:left="1647" w:hanging="360"/>
      </w:pPr>
      <w:rPr>
        <w:rFonts w:cs="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8">
    <w:nsid w:val="613C166D"/>
    <w:multiLevelType w:val="multilevel"/>
    <w:tmpl w:val="7DCA4946"/>
    <w:lvl w:ilvl="0">
      <w:start w:val="12"/>
      <w:numFmt w:val="none"/>
      <w:pStyle w:val="Ttulo1"/>
      <w:lvlText w:val="13"/>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6FE626DE"/>
    <w:multiLevelType w:val="hybridMultilevel"/>
    <w:tmpl w:val="BDB2046C"/>
    <w:lvl w:ilvl="0" w:tplc="289063FE">
      <w:start w:val="1"/>
      <w:numFmt w:val="bullet"/>
      <w:lvlText w:val=""/>
      <w:lvlJc w:val="left"/>
      <w:pPr>
        <w:tabs>
          <w:tab w:val="num" w:pos="1452"/>
        </w:tabs>
        <w:ind w:left="1452" w:hanging="360"/>
      </w:pPr>
      <w:rPr>
        <w:rFonts w:ascii="Symbol" w:hAnsi="Symbol" w:hint="default"/>
        <w:b w:val="0"/>
        <w:i w:val="0"/>
        <w:sz w:val="22"/>
      </w:rPr>
    </w:lvl>
    <w:lvl w:ilvl="1" w:tplc="08090003" w:tentative="1">
      <w:start w:val="1"/>
      <w:numFmt w:val="bullet"/>
      <w:lvlText w:val="o"/>
      <w:lvlJc w:val="left"/>
      <w:pPr>
        <w:tabs>
          <w:tab w:val="num" w:pos="2532"/>
        </w:tabs>
        <w:ind w:left="2532" w:hanging="360"/>
      </w:pPr>
      <w:rPr>
        <w:rFonts w:ascii="Courier New" w:hAnsi="Courier New" w:hint="default"/>
      </w:rPr>
    </w:lvl>
    <w:lvl w:ilvl="2" w:tplc="08090005" w:tentative="1">
      <w:start w:val="1"/>
      <w:numFmt w:val="bullet"/>
      <w:lvlText w:val=""/>
      <w:lvlJc w:val="left"/>
      <w:pPr>
        <w:tabs>
          <w:tab w:val="num" w:pos="3252"/>
        </w:tabs>
        <w:ind w:left="3252" w:hanging="360"/>
      </w:pPr>
      <w:rPr>
        <w:rFonts w:ascii="Wingdings" w:hAnsi="Wingdings" w:hint="default"/>
      </w:rPr>
    </w:lvl>
    <w:lvl w:ilvl="3" w:tplc="08090001" w:tentative="1">
      <w:start w:val="1"/>
      <w:numFmt w:val="bullet"/>
      <w:lvlText w:val=""/>
      <w:lvlJc w:val="left"/>
      <w:pPr>
        <w:tabs>
          <w:tab w:val="num" w:pos="3972"/>
        </w:tabs>
        <w:ind w:left="3972" w:hanging="360"/>
      </w:pPr>
      <w:rPr>
        <w:rFonts w:ascii="Symbol" w:hAnsi="Symbol" w:hint="default"/>
      </w:rPr>
    </w:lvl>
    <w:lvl w:ilvl="4" w:tplc="08090003" w:tentative="1">
      <w:start w:val="1"/>
      <w:numFmt w:val="bullet"/>
      <w:lvlText w:val="o"/>
      <w:lvlJc w:val="left"/>
      <w:pPr>
        <w:tabs>
          <w:tab w:val="num" w:pos="4692"/>
        </w:tabs>
        <w:ind w:left="4692" w:hanging="360"/>
      </w:pPr>
      <w:rPr>
        <w:rFonts w:ascii="Courier New" w:hAnsi="Courier New" w:hint="default"/>
      </w:rPr>
    </w:lvl>
    <w:lvl w:ilvl="5" w:tplc="08090005" w:tentative="1">
      <w:start w:val="1"/>
      <w:numFmt w:val="bullet"/>
      <w:lvlText w:val=""/>
      <w:lvlJc w:val="left"/>
      <w:pPr>
        <w:tabs>
          <w:tab w:val="num" w:pos="5412"/>
        </w:tabs>
        <w:ind w:left="5412" w:hanging="360"/>
      </w:pPr>
      <w:rPr>
        <w:rFonts w:ascii="Wingdings" w:hAnsi="Wingdings" w:hint="default"/>
      </w:rPr>
    </w:lvl>
    <w:lvl w:ilvl="6" w:tplc="08090001" w:tentative="1">
      <w:start w:val="1"/>
      <w:numFmt w:val="bullet"/>
      <w:lvlText w:val=""/>
      <w:lvlJc w:val="left"/>
      <w:pPr>
        <w:tabs>
          <w:tab w:val="num" w:pos="6132"/>
        </w:tabs>
        <w:ind w:left="6132" w:hanging="360"/>
      </w:pPr>
      <w:rPr>
        <w:rFonts w:ascii="Symbol" w:hAnsi="Symbol" w:hint="default"/>
      </w:rPr>
    </w:lvl>
    <w:lvl w:ilvl="7" w:tplc="08090003" w:tentative="1">
      <w:start w:val="1"/>
      <w:numFmt w:val="bullet"/>
      <w:lvlText w:val="o"/>
      <w:lvlJc w:val="left"/>
      <w:pPr>
        <w:tabs>
          <w:tab w:val="num" w:pos="6852"/>
        </w:tabs>
        <w:ind w:left="6852" w:hanging="360"/>
      </w:pPr>
      <w:rPr>
        <w:rFonts w:ascii="Courier New" w:hAnsi="Courier New" w:hint="default"/>
      </w:rPr>
    </w:lvl>
    <w:lvl w:ilvl="8" w:tplc="08090005" w:tentative="1">
      <w:start w:val="1"/>
      <w:numFmt w:val="bullet"/>
      <w:lvlText w:val=""/>
      <w:lvlJc w:val="left"/>
      <w:pPr>
        <w:tabs>
          <w:tab w:val="num" w:pos="7572"/>
        </w:tabs>
        <w:ind w:left="7572" w:hanging="360"/>
      </w:pPr>
      <w:rPr>
        <w:rFonts w:ascii="Wingdings" w:hAnsi="Wingdings" w:hint="default"/>
      </w:rPr>
    </w:lvl>
  </w:abstractNum>
  <w:num w:numId="1">
    <w:abstractNumId w:val="8"/>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7"/>
  </w:num>
  <w:num w:numId="7">
    <w:abstractNumId w:val="9"/>
  </w:num>
  <w:num w:numId="8">
    <w:abstractNumId w:val="2"/>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trackRevisions/>
  <w:defaultTabStop w:val="708"/>
  <w:hyphenationZone w:val="425"/>
  <w:characterSpacingControl w:val="doNotCompress"/>
  <w:footnotePr>
    <w:footnote w:id="-1"/>
    <w:footnote w:id="0"/>
  </w:footnotePr>
  <w:endnotePr>
    <w:endnote w:id="-1"/>
    <w:endnote w:id="0"/>
  </w:endnotePr>
  <w:compat/>
  <w:rsids>
    <w:rsidRoot w:val="00490F55"/>
    <w:rsid w:val="00014F15"/>
    <w:rsid w:val="00026094"/>
    <w:rsid w:val="00036A3B"/>
    <w:rsid w:val="0003785A"/>
    <w:rsid w:val="000523BD"/>
    <w:rsid w:val="000639A5"/>
    <w:rsid w:val="000667DA"/>
    <w:rsid w:val="00066B59"/>
    <w:rsid w:val="0007443E"/>
    <w:rsid w:val="00077698"/>
    <w:rsid w:val="000D0B32"/>
    <w:rsid w:val="000F535B"/>
    <w:rsid w:val="00103D83"/>
    <w:rsid w:val="00106900"/>
    <w:rsid w:val="00180E22"/>
    <w:rsid w:val="00182393"/>
    <w:rsid w:val="00193067"/>
    <w:rsid w:val="001B0D84"/>
    <w:rsid w:val="001F256C"/>
    <w:rsid w:val="00214D65"/>
    <w:rsid w:val="00227342"/>
    <w:rsid w:val="00235375"/>
    <w:rsid w:val="002D0689"/>
    <w:rsid w:val="002D63A4"/>
    <w:rsid w:val="002E3951"/>
    <w:rsid w:val="002F60E7"/>
    <w:rsid w:val="00370D80"/>
    <w:rsid w:val="003A54B1"/>
    <w:rsid w:val="003E65F3"/>
    <w:rsid w:val="00403453"/>
    <w:rsid w:val="0041060E"/>
    <w:rsid w:val="004539C3"/>
    <w:rsid w:val="0046034E"/>
    <w:rsid w:val="00466EC1"/>
    <w:rsid w:val="00490F55"/>
    <w:rsid w:val="0049539E"/>
    <w:rsid w:val="004B3E38"/>
    <w:rsid w:val="004F7B24"/>
    <w:rsid w:val="0050431B"/>
    <w:rsid w:val="005736D1"/>
    <w:rsid w:val="00592A0A"/>
    <w:rsid w:val="005B2CF0"/>
    <w:rsid w:val="005C1F31"/>
    <w:rsid w:val="005F3BD3"/>
    <w:rsid w:val="005F3DF2"/>
    <w:rsid w:val="0060153B"/>
    <w:rsid w:val="006066BD"/>
    <w:rsid w:val="00626244"/>
    <w:rsid w:val="00644101"/>
    <w:rsid w:val="006A48B6"/>
    <w:rsid w:val="006B1865"/>
    <w:rsid w:val="006B4A4C"/>
    <w:rsid w:val="006C08FE"/>
    <w:rsid w:val="006F574C"/>
    <w:rsid w:val="0070265F"/>
    <w:rsid w:val="00721228"/>
    <w:rsid w:val="00743D96"/>
    <w:rsid w:val="00794A01"/>
    <w:rsid w:val="007B023A"/>
    <w:rsid w:val="007F6E66"/>
    <w:rsid w:val="00802C39"/>
    <w:rsid w:val="00812B56"/>
    <w:rsid w:val="0081334F"/>
    <w:rsid w:val="008614DF"/>
    <w:rsid w:val="00867794"/>
    <w:rsid w:val="008D73E7"/>
    <w:rsid w:val="008E1945"/>
    <w:rsid w:val="008E45B1"/>
    <w:rsid w:val="008F14F3"/>
    <w:rsid w:val="00924DFC"/>
    <w:rsid w:val="0097626D"/>
    <w:rsid w:val="00993C48"/>
    <w:rsid w:val="009A55F5"/>
    <w:rsid w:val="009B69BC"/>
    <w:rsid w:val="009C639A"/>
    <w:rsid w:val="00A15AA8"/>
    <w:rsid w:val="00A1730C"/>
    <w:rsid w:val="00A206BF"/>
    <w:rsid w:val="00A37564"/>
    <w:rsid w:val="00A44889"/>
    <w:rsid w:val="00A6665A"/>
    <w:rsid w:val="00A71B7A"/>
    <w:rsid w:val="00A7587A"/>
    <w:rsid w:val="00A9579A"/>
    <w:rsid w:val="00AA1BC6"/>
    <w:rsid w:val="00AC6D9C"/>
    <w:rsid w:val="00AC75D2"/>
    <w:rsid w:val="00AF1B24"/>
    <w:rsid w:val="00B13670"/>
    <w:rsid w:val="00B149C8"/>
    <w:rsid w:val="00B30A3A"/>
    <w:rsid w:val="00B40BEE"/>
    <w:rsid w:val="00B54A76"/>
    <w:rsid w:val="00B556F1"/>
    <w:rsid w:val="00B625F4"/>
    <w:rsid w:val="00B719B8"/>
    <w:rsid w:val="00B732D3"/>
    <w:rsid w:val="00B75AA2"/>
    <w:rsid w:val="00B96631"/>
    <w:rsid w:val="00BD4DE9"/>
    <w:rsid w:val="00BF0A2C"/>
    <w:rsid w:val="00BF0C26"/>
    <w:rsid w:val="00C362AE"/>
    <w:rsid w:val="00C73AC6"/>
    <w:rsid w:val="00C804FB"/>
    <w:rsid w:val="00C919E5"/>
    <w:rsid w:val="00CB70D0"/>
    <w:rsid w:val="00CB7544"/>
    <w:rsid w:val="00D1159F"/>
    <w:rsid w:val="00D2211D"/>
    <w:rsid w:val="00D435DC"/>
    <w:rsid w:val="00D96116"/>
    <w:rsid w:val="00DC6CB3"/>
    <w:rsid w:val="00DC7B1F"/>
    <w:rsid w:val="00E51994"/>
    <w:rsid w:val="00E54955"/>
    <w:rsid w:val="00E564D6"/>
    <w:rsid w:val="00E6692C"/>
    <w:rsid w:val="00E7696B"/>
    <w:rsid w:val="00E85518"/>
    <w:rsid w:val="00EA0A49"/>
    <w:rsid w:val="00EA24AB"/>
    <w:rsid w:val="00EA710F"/>
    <w:rsid w:val="00EA796E"/>
    <w:rsid w:val="00EE558A"/>
    <w:rsid w:val="00F00913"/>
    <w:rsid w:val="00F360CB"/>
    <w:rsid w:val="00F6058A"/>
    <w:rsid w:val="00F94228"/>
    <w:rsid w:val="00FA0258"/>
    <w:rsid w:val="00FA703A"/>
    <w:rsid w:val="00FA7B88"/>
    <w:rsid w:val="00FC3AA2"/>
    <w:rsid w:val="00FD2D68"/>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PE" w:eastAsia="es-P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90F55"/>
    <w:rPr>
      <w:rFonts w:ascii="Times New Roman" w:eastAsia="Times New Roman" w:hAnsi="Times New Roman"/>
      <w:sz w:val="24"/>
      <w:szCs w:val="24"/>
      <w:lang w:val="en-GB" w:eastAsia="en-GB"/>
    </w:rPr>
  </w:style>
  <w:style w:type="paragraph" w:styleId="Ttulo1">
    <w:name w:val="heading 1"/>
    <w:basedOn w:val="Normal"/>
    <w:next w:val="Normal"/>
    <w:link w:val="Ttulo1Car"/>
    <w:uiPriority w:val="99"/>
    <w:qFormat/>
    <w:rsid w:val="00490F55"/>
    <w:pPr>
      <w:keepNext/>
      <w:numPr>
        <w:numId w:val="1"/>
      </w:numPr>
      <w:snapToGrid w:val="0"/>
      <w:spacing w:before="120" w:after="120"/>
      <w:jc w:val="both"/>
      <w:outlineLvl w:val="0"/>
    </w:pPr>
    <w:rPr>
      <w:rFonts w:ascii="Arial" w:hAnsi="Arial"/>
      <w:b/>
      <w:i/>
      <w:sz w:val="28"/>
      <w:szCs w:val="20"/>
      <w:lang w:val="es-ES" w:eastAsia="en-US"/>
    </w:rPr>
  </w:style>
  <w:style w:type="paragraph" w:styleId="Ttulo2">
    <w:name w:val="heading 2"/>
    <w:basedOn w:val="Normal"/>
    <w:next w:val="Normal"/>
    <w:link w:val="Ttulo2Car"/>
    <w:uiPriority w:val="99"/>
    <w:qFormat/>
    <w:rsid w:val="00490F55"/>
    <w:pPr>
      <w:keepNext/>
      <w:numPr>
        <w:ilvl w:val="1"/>
        <w:numId w:val="2"/>
      </w:numPr>
      <w:snapToGrid w:val="0"/>
      <w:spacing w:before="120" w:after="120"/>
      <w:jc w:val="both"/>
      <w:outlineLvl w:val="1"/>
    </w:pPr>
    <w:rPr>
      <w:rFonts w:ascii="Arial" w:hAnsi="Arial"/>
      <w:sz w:val="22"/>
      <w:szCs w:val="20"/>
      <w:lang w:val="es-ES" w:eastAsia="en-US"/>
    </w:rPr>
  </w:style>
  <w:style w:type="paragraph" w:styleId="Ttulo3">
    <w:name w:val="heading 3"/>
    <w:basedOn w:val="Normal"/>
    <w:next w:val="Normal"/>
    <w:link w:val="Ttulo3Car"/>
    <w:uiPriority w:val="99"/>
    <w:qFormat/>
    <w:rsid w:val="00490F55"/>
    <w:pPr>
      <w:keepNext/>
      <w:framePr w:hSpace="181" w:vSpace="181" w:wrap="auto" w:vAnchor="text" w:hAnchor="text" w:y="1"/>
      <w:numPr>
        <w:numId w:val="3"/>
      </w:numPr>
      <w:tabs>
        <w:tab w:val="clear" w:pos="360"/>
        <w:tab w:val="num" w:pos="1134"/>
      </w:tabs>
      <w:snapToGrid w:val="0"/>
      <w:spacing w:before="120" w:after="120"/>
      <w:ind w:left="1134" w:hanging="567"/>
      <w:outlineLvl w:val="2"/>
    </w:pPr>
    <w:rPr>
      <w:rFonts w:ascii="Arial" w:hAnsi="Arial"/>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490F55"/>
    <w:rPr>
      <w:rFonts w:ascii="Arial" w:hAnsi="Arial" w:cs="Times New Roman"/>
      <w:b/>
      <w:i/>
      <w:sz w:val="20"/>
      <w:szCs w:val="20"/>
      <w:lang w:val="es-ES"/>
    </w:rPr>
  </w:style>
  <w:style w:type="character" w:customStyle="1" w:styleId="Ttulo2Car">
    <w:name w:val="Título 2 Car"/>
    <w:basedOn w:val="Fuentedeprrafopredeter"/>
    <w:link w:val="Ttulo2"/>
    <w:uiPriority w:val="99"/>
    <w:locked/>
    <w:rsid w:val="00490F55"/>
    <w:rPr>
      <w:rFonts w:ascii="Arial" w:hAnsi="Arial" w:cs="Times New Roman"/>
      <w:sz w:val="20"/>
      <w:szCs w:val="20"/>
      <w:lang w:val="es-ES"/>
    </w:rPr>
  </w:style>
  <w:style w:type="character" w:customStyle="1" w:styleId="Ttulo3Car">
    <w:name w:val="Título 3 Car"/>
    <w:basedOn w:val="Fuentedeprrafopredeter"/>
    <w:link w:val="Ttulo3"/>
    <w:uiPriority w:val="99"/>
    <w:locked/>
    <w:rsid w:val="00490F55"/>
    <w:rPr>
      <w:rFonts w:ascii="Arial" w:hAnsi="Arial" w:cs="Times New Roman"/>
      <w:sz w:val="20"/>
      <w:szCs w:val="20"/>
      <w:lang w:val="en-GB"/>
    </w:rPr>
  </w:style>
  <w:style w:type="character" w:styleId="Hipervnculo">
    <w:name w:val="Hyperlink"/>
    <w:basedOn w:val="Fuentedeprrafopredeter"/>
    <w:uiPriority w:val="99"/>
    <w:rsid w:val="00490F55"/>
    <w:rPr>
      <w:rFonts w:cs="Times New Roman"/>
      <w:color w:val="0000FF"/>
      <w:u w:val="single"/>
    </w:rPr>
  </w:style>
  <w:style w:type="paragraph" w:styleId="Textoindependiente">
    <w:name w:val="Body Text"/>
    <w:basedOn w:val="Normal"/>
    <w:link w:val="TextoindependienteCar"/>
    <w:uiPriority w:val="99"/>
    <w:rsid w:val="00490F55"/>
    <w:pPr>
      <w:snapToGrid w:val="0"/>
      <w:spacing w:before="120" w:after="120"/>
    </w:pPr>
    <w:rPr>
      <w:rFonts w:ascii="Arial" w:hAnsi="Arial"/>
      <w:sz w:val="20"/>
      <w:szCs w:val="20"/>
      <w:lang w:val="es-ES" w:eastAsia="en-US"/>
    </w:rPr>
  </w:style>
  <w:style w:type="character" w:customStyle="1" w:styleId="TextoindependienteCar">
    <w:name w:val="Texto independiente Car"/>
    <w:basedOn w:val="Fuentedeprrafopredeter"/>
    <w:link w:val="Textoindependiente"/>
    <w:uiPriority w:val="99"/>
    <w:locked/>
    <w:rsid w:val="00490F55"/>
    <w:rPr>
      <w:rFonts w:ascii="Arial" w:hAnsi="Arial" w:cs="Times New Roman"/>
      <w:sz w:val="20"/>
      <w:szCs w:val="20"/>
      <w:lang w:val="es-ES"/>
    </w:rPr>
  </w:style>
  <w:style w:type="paragraph" w:styleId="Sangradetextonormal">
    <w:name w:val="Body Text Indent"/>
    <w:basedOn w:val="Normal"/>
    <w:link w:val="SangradetextonormalCar"/>
    <w:uiPriority w:val="99"/>
    <w:rsid w:val="00490F55"/>
    <w:pPr>
      <w:tabs>
        <w:tab w:val="num" w:pos="567"/>
      </w:tabs>
      <w:snapToGrid w:val="0"/>
      <w:jc w:val="both"/>
    </w:pPr>
    <w:rPr>
      <w:szCs w:val="20"/>
      <w:lang w:val="es-ES" w:eastAsia="en-US"/>
    </w:rPr>
  </w:style>
  <w:style w:type="character" w:customStyle="1" w:styleId="SangradetextonormalCar">
    <w:name w:val="Sangría de texto normal Car"/>
    <w:basedOn w:val="Fuentedeprrafopredeter"/>
    <w:link w:val="Sangradetextonormal"/>
    <w:uiPriority w:val="99"/>
    <w:locked/>
    <w:rsid w:val="00490F55"/>
    <w:rPr>
      <w:rFonts w:ascii="Times New Roman" w:hAnsi="Times New Roman" w:cs="Times New Roman"/>
      <w:sz w:val="20"/>
      <w:szCs w:val="20"/>
      <w:lang w:val="es-ES"/>
    </w:rPr>
  </w:style>
  <w:style w:type="paragraph" w:styleId="Subttulo">
    <w:name w:val="Subtitle"/>
    <w:basedOn w:val="Normal"/>
    <w:link w:val="SubttuloCar"/>
    <w:uiPriority w:val="99"/>
    <w:qFormat/>
    <w:rsid w:val="00490F55"/>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uiPriority w:val="99"/>
    <w:locked/>
    <w:rsid w:val="00490F55"/>
    <w:rPr>
      <w:rFonts w:ascii="Arial" w:hAnsi="Arial" w:cs="Times New Roman"/>
      <w:b/>
      <w:sz w:val="20"/>
      <w:szCs w:val="20"/>
      <w:lang w:val="fr-BE"/>
    </w:rPr>
  </w:style>
  <w:style w:type="paragraph" w:styleId="Textoindependiente2">
    <w:name w:val="Body Text 2"/>
    <w:basedOn w:val="Normal"/>
    <w:link w:val="Textoindependiente2Car"/>
    <w:uiPriority w:val="99"/>
    <w:rsid w:val="00490F55"/>
    <w:pPr>
      <w:tabs>
        <w:tab w:val="num" w:pos="567"/>
      </w:tabs>
      <w:jc w:val="both"/>
    </w:pPr>
    <w:rPr>
      <w:szCs w:val="20"/>
      <w:lang w:val="sv-SE"/>
    </w:rPr>
  </w:style>
  <w:style w:type="character" w:customStyle="1" w:styleId="Textoindependiente2Car">
    <w:name w:val="Texto independiente 2 Car"/>
    <w:basedOn w:val="Fuentedeprrafopredeter"/>
    <w:link w:val="Textoindependiente2"/>
    <w:uiPriority w:val="99"/>
    <w:locked/>
    <w:rsid w:val="00490F55"/>
    <w:rPr>
      <w:rFonts w:ascii="Times New Roman" w:hAnsi="Times New Roman" w:cs="Times New Roman"/>
      <w:sz w:val="20"/>
      <w:szCs w:val="20"/>
      <w:lang w:val="sv-SE" w:eastAsia="en-GB"/>
    </w:rPr>
  </w:style>
  <w:style w:type="paragraph" w:styleId="Piedepgina">
    <w:name w:val="footer"/>
    <w:basedOn w:val="Normal"/>
    <w:link w:val="PiedepginaCar"/>
    <w:uiPriority w:val="99"/>
    <w:rsid w:val="00490F55"/>
    <w:pPr>
      <w:tabs>
        <w:tab w:val="center" w:pos="4536"/>
        <w:tab w:val="right" w:pos="9072"/>
      </w:tabs>
    </w:pPr>
  </w:style>
  <w:style w:type="character" w:customStyle="1" w:styleId="PiedepginaCar">
    <w:name w:val="Pie de página Car"/>
    <w:basedOn w:val="Fuentedeprrafopredeter"/>
    <w:link w:val="Piedepgina"/>
    <w:uiPriority w:val="99"/>
    <w:locked/>
    <w:rsid w:val="00490F55"/>
    <w:rPr>
      <w:rFonts w:ascii="Times New Roman" w:hAnsi="Times New Roman" w:cs="Times New Roman"/>
      <w:sz w:val="24"/>
      <w:szCs w:val="24"/>
      <w:lang w:val="en-GB" w:eastAsia="en-GB"/>
    </w:rPr>
  </w:style>
  <w:style w:type="character" w:styleId="Nmerodepgina">
    <w:name w:val="page number"/>
    <w:basedOn w:val="Fuentedeprrafopredeter"/>
    <w:uiPriority w:val="99"/>
    <w:rsid w:val="00490F55"/>
    <w:rPr>
      <w:rFonts w:cs="Times New Roman"/>
    </w:rPr>
  </w:style>
  <w:style w:type="paragraph" w:styleId="Prrafodelista">
    <w:name w:val="List Paragraph"/>
    <w:basedOn w:val="Normal"/>
    <w:uiPriority w:val="99"/>
    <w:qFormat/>
    <w:rsid w:val="00490F55"/>
    <w:pPr>
      <w:ind w:left="720"/>
      <w:contextualSpacing/>
    </w:pPr>
  </w:style>
  <w:style w:type="table" w:styleId="Tablaconcuadrcula">
    <w:name w:val="Table Grid"/>
    <w:basedOn w:val="Tablanormal"/>
    <w:uiPriority w:val="99"/>
    <w:rsid w:val="00490F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uiPriority w:val="99"/>
    <w:rsid w:val="00490F55"/>
    <w:pPr>
      <w:widowControl w:val="0"/>
      <w:spacing w:before="100" w:after="100"/>
      <w:ind w:left="360" w:right="360"/>
    </w:pPr>
    <w:rPr>
      <w:szCs w:val="20"/>
      <w:lang w:val="en-US"/>
    </w:rPr>
  </w:style>
  <w:style w:type="paragraph" w:styleId="Textodeglobo">
    <w:name w:val="Balloon Text"/>
    <w:basedOn w:val="Normal"/>
    <w:link w:val="TextodegloboCar"/>
    <w:uiPriority w:val="99"/>
    <w:semiHidden/>
    <w:unhideWhenUsed/>
    <w:rsid w:val="000F535B"/>
    <w:rPr>
      <w:rFonts w:ascii="Tahoma" w:hAnsi="Tahoma" w:cs="Tahoma"/>
      <w:sz w:val="16"/>
      <w:szCs w:val="16"/>
    </w:rPr>
  </w:style>
  <w:style w:type="character" w:customStyle="1" w:styleId="TextodegloboCar">
    <w:name w:val="Texto de globo Car"/>
    <w:basedOn w:val="Fuentedeprrafopredeter"/>
    <w:link w:val="Textodeglobo"/>
    <w:uiPriority w:val="99"/>
    <w:semiHidden/>
    <w:rsid w:val="000F535B"/>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procedures/index_e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work/procedures/index_es.htm" TargetMode="External"/><Relationship Id="rId12" Type="http://schemas.openxmlformats.org/officeDocument/2006/relationships/hyperlink" Target="http://www.comunidadandina.org/servicios/emple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europeaid/online-services/index.cfm?do=publi.welcom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segovia@comunidadandina.org" TargetMode="External"/><Relationship Id="rId4" Type="http://schemas.openxmlformats.org/officeDocument/2006/relationships/webSettings" Target="webSettings.xml"/><Relationship Id="rId9" Type="http://schemas.openxmlformats.org/officeDocument/2006/relationships/hyperlink" Target="mailto:intercan@comunidadandina.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7039</Words>
  <Characters>38718</Characters>
  <Application>Microsoft Office Word</Application>
  <DocSecurity>0</DocSecurity>
  <Lines>322</Lines>
  <Paragraphs>91</Paragraphs>
  <ScaleCrop>false</ScaleCrop>
  <Company>SG</Company>
  <LinksUpToDate>false</LinksUpToDate>
  <CharactersWithSpaces>45666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Asencion Montti</dc:creator>
  <cp:lastModifiedBy>Asencion Montti</cp:lastModifiedBy>
  <cp:revision>2</cp:revision>
  <cp:lastPrinted>2012-05-30T21:23:00Z</cp:lastPrinted>
  <dcterms:created xsi:type="dcterms:W3CDTF">2012-08-07T20:41:00Z</dcterms:created>
  <dcterms:modified xsi:type="dcterms:W3CDTF">2012-08-07T20:41:00Z</dcterms:modified>
</cp:coreProperties>
</file>