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929" w14:textId="77777777" w:rsidR="000B1D35" w:rsidRPr="000B1D35" w:rsidRDefault="000B1D35" w:rsidP="000B1D35">
      <w:pPr>
        <w:jc w:val="both"/>
        <w:rPr>
          <w:rFonts w:ascii="Arial" w:hAnsi="Arial" w:cs="Arial"/>
        </w:rPr>
      </w:pPr>
      <w:bookmarkStart w:id="0" w:name="_Hlk164667953"/>
      <w:r w:rsidRPr="000B1D35">
        <w:rPr>
          <w:rFonts w:ascii="Arial" w:hAnsi="Arial" w:cs="Arial"/>
          <w:noProof/>
        </w:rPr>
        <w:drawing>
          <wp:anchor distT="0" distB="0" distL="114300" distR="114300" simplePos="0" relativeHeight="251659264" behindDoc="0" locked="0" layoutInCell="1" allowOverlap="1" wp14:anchorId="0D96B8BE" wp14:editId="2F3C50A7">
            <wp:simplePos x="0" y="0"/>
            <wp:positionH relativeFrom="column">
              <wp:posOffset>-1905</wp:posOffset>
            </wp:positionH>
            <wp:positionV relativeFrom="paragraph">
              <wp:posOffset>0</wp:posOffset>
            </wp:positionV>
            <wp:extent cx="1859210" cy="438245"/>
            <wp:effectExtent l="0" t="0" r="8255" b="0"/>
            <wp:wrapSquare wrapText="bothSides"/>
            <wp:docPr id="1" name="Image 1" descr="Imagen que contiene Text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Texto  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9210" cy="438245"/>
                    </a:xfrm>
                    <a:prstGeom prst="rect">
                      <a:avLst/>
                    </a:prstGeom>
                  </pic:spPr>
                </pic:pic>
              </a:graphicData>
            </a:graphic>
            <wp14:sizeRelH relativeFrom="page">
              <wp14:pctWidth>0</wp14:pctWidth>
            </wp14:sizeRelH>
            <wp14:sizeRelV relativeFrom="page">
              <wp14:pctHeight>0</wp14:pctHeight>
            </wp14:sizeRelV>
          </wp:anchor>
        </w:drawing>
      </w:r>
    </w:p>
    <w:p w14:paraId="70DB678F" w14:textId="77777777" w:rsidR="000B1D35" w:rsidRPr="000B1D35" w:rsidRDefault="000B1D35" w:rsidP="000B1D35">
      <w:pPr>
        <w:jc w:val="both"/>
        <w:rPr>
          <w:rFonts w:ascii="Arial" w:hAnsi="Arial" w:cs="Arial"/>
        </w:rPr>
      </w:pPr>
    </w:p>
    <w:p w14:paraId="2C20C599" w14:textId="77777777" w:rsidR="000B1D35" w:rsidRPr="000B1D35" w:rsidRDefault="000B1D35" w:rsidP="000B1D35">
      <w:pPr>
        <w:jc w:val="both"/>
        <w:rPr>
          <w:rFonts w:ascii="Arial" w:hAnsi="Arial" w:cs="Arial"/>
        </w:rPr>
      </w:pPr>
    </w:p>
    <w:p w14:paraId="004940BF" w14:textId="5E73DD7F" w:rsidR="000B1D35" w:rsidRPr="000B1D35" w:rsidRDefault="000B1D35" w:rsidP="000B1D35">
      <w:pPr>
        <w:pStyle w:val="Ttulo1"/>
        <w:jc w:val="center"/>
        <w:rPr>
          <w:rFonts w:ascii="Arial" w:hAnsi="Arial" w:cs="Arial"/>
          <w:b/>
          <w:bCs/>
          <w:color w:val="auto"/>
          <w:sz w:val="22"/>
          <w:szCs w:val="22"/>
          <w:u w:val="single"/>
        </w:rPr>
      </w:pPr>
      <w:r w:rsidRPr="000B1D35">
        <w:rPr>
          <w:rFonts w:ascii="Arial" w:hAnsi="Arial" w:cs="Arial"/>
          <w:b/>
          <w:bCs/>
          <w:color w:val="auto"/>
          <w:sz w:val="22"/>
          <w:szCs w:val="22"/>
          <w:u w:val="single"/>
        </w:rPr>
        <w:t>RESOLUCIÓN N°</w:t>
      </w:r>
      <w:r w:rsidR="00CF37DD">
        <w:rPr>
          <w:rFonts w:ascii="Arial" w:hAnsi="Arial" w:cs="Arial"/>
          <w:b/>
          <w:bCs/>
          <w:color w:val="auto"/>
          <w:sz w:val="22"/>
          <w:szCs w:val="22"/>
          <w:u w:val="single"/>
        </w:rPr>
        <w:t xml:space="preserve"> </w:t>
      </w:r>
      <w:r w:rsidR="005A502F">
        <w:rPr>
          <w:rFonts w:ascii="Arial" w:hAnsi="Arial" w:cs="Arial"/>
          <w:b/>
          <w:bCs/>
          <w:color w:val="auto"/>
          <w:sz w:val="22"/>
          <w:szCs w:val="22"/>
          <w:u w:val="single"/>
        </w:rPr>
        <w:t>2391</w:t>
      </w:r>
    </w:p>
    <w:p w14:paraId="1545A1C7" w14:textId="77777777" w:rsidR="000B1D35" w:rsidRPr="000B1D35" w:rsidRDefault="000B1D35" w:rsidP="000B1D35">
      <w:pPr>
        <w:tabs>
          <w:tab w:val="left" w:pos="2736"/>
        </w:tabs>
        <w:jc w:val="both"/>
        <w:rPr>
          <w:rFonts w:ascii="Arial" w:hAnsi="Arial" w:cs="Arial"/>
        </w:rPr>
      </w:pPr>
    </w:p>
    <w:p w14:paraId="2B5C0039" w14:textId="65296C6E" w:rsidR="000B1D35" w:rsidRPr="000B1D35" w:rsidRDefault="000B1D35" w:rsidP="000B1D35">
      <w:pPr>
        <w:pStyle w:val="Textoindependiente"/>
        <w:ind w:left="5021"/>
        <w:jc w:val="both"/>
        <w:rPr>
          <w:spacing w:val="-2"/>
        </w:rPr>
      </w:pPr>
      <w:r w:rsidRPr="000B1D35">
        <w:rPr>
          <w:spacing w:val="-2"/>
        </w:rPr>
        <w:t xml:space="preserve">Modificación de la </w:t>
      </w:r>
      <w:r w:rsidRPr="000B1D35">
        <w:rPr>
          <w:bdr w:val="none" w:sz="0" w:space="0" w:color="auto" w:frame="1"/>
        </w:rPr>
        <w:t xml:space="preserve">Resolución 1296 </w:t>
      </w:r>
      <w:r w:rsidRPr="000B1D35">
        <w:rPr>
          <w:bdr w:val="none" w:sz="0" w:space="0" w:color="auto" w:frame="1"/>
          <w:lang w:val="es-CO"/>
        </w:rPr>
        <w:t xml:space="preserve">– </w:t>
      </w:r>
      <w:r w:rsidR="004B258B">
        <w:rPr>
          <w:bdr w:val="none" w:sz="0" w:space="0" w:color="auto" w:frame="1"/>
          <w:lang w:val="es-CO"/>
        </w:rPr>
        <w:t>Cambio</w:t>
      </w:r>
      <w:r w:rsidRPr="000B1D35">
        <w:rPr>
          <w:bdr w:val="none" w:sz="0" w:space="0" w:color="auto" w:frame="1"/>
          <w:lang w:val="es-CO"/>
        </w:rPr>
        <w:t xml:space="preserve"> de la posición orbital (ROE) del Satélite GALAXY 28 (G-28) </w:t>
      </w:r>
      <w:r w:rsidRPr="000B1D35">
        <w:rPr>
          <w:spacing w:val="-2"/>
        </w:rPr>
        <w:t>registrado en la Lista Andina Satelital.</w:t>
      </w:r>
    </w:p>
    <w:p w14:paraId="03816402" w14:textId="77777777" w:rsidR="000B1D35" w:rsidRPr="00587795" w:rsidRDefault="000B1D35" w:rsidP="000B1D35">
      <w:pPr>
        <w:pStyle w:val="Ttulo1"/>
        <w:spacing w:before="249"/>
        <w:jc w:val="both"/>
        <w:rPr>
          <w:rFonts w:ascii="Arial" w:hAnsi="Arial" w:cs="Arial"/>
          <w:b/>
          <w:bCs/>
          <w:color w:val="auto"/>
          <w:sz w:val="22"/>
          <w:szCs w:val="22"/>
        </w:rPr>
      </w:pPr>
      <w:bookmarkStart w:id="1" w:name="_Hlk164849038"/>
      <w:r w:rsidRPr="00587795">
        <w:rPr>
          <w:rFonts w:ascii="Arial" w:hAnsi="Arial" w:cs="Arial"/>
          <w:b/>
          <w:bCs/>
          <w:color w:val="auto"/>
          <w:sz w:val="22"/>
          <w:szCs w:val="22"/>
        </w:rPr>
        <w:t>LA</w:t>
      </w:r>
      <w:r w:rsidRPr="00587795">
        <w:rPr>
          <w:rFonts w:ascii="Arial" w:hAnsi="Arial" w:cs="Arial"/>
          <w:b/>
          <w:bCs/>
          <w:color w:val="auto"/>
          <w:spacing w:val="-18"/>
          <w:sz w:val="22"/>
          <w:szCs w:val="22"/>
        </w:rPr>
        <w:t xml:space="preserve"> </w:t>
      </w:r>
      <w:r w:rsidRPr="00587795">
        <w:rPr>
          <w:rFonts w:ascii="Arial" w:hAnsi="Arial" w:cs="Arial"/>
          <w:b/>
          <w:bCs/>
          <w:color w:val="auto"/>
          <w:sz w:val="22"/>
          <w:szCs w:val="22"/>
        </w:rPr>
        <w:t>SECRETARÍA</w:t>
      </w:r>
      <w:r w:rsidRPr="00587795">
        <w:rPr>
          <w:rFonts w:ascii="Arial" w:hAnsi="Arial" w:cs="Arial"/>
          <w:b/>
          <w:bCs/>
          <w:color w:val="auto"/>
          <w:spacing w:val="-16"/>
          <w:sz w:val="22"/>
          <w:szCs w:val="22"/>
        </w:rPr>
        <w:t xml:space="preserve"> </w:t>
      </w:r>
      <w:r w:rsidRPr="00587795">
        <w:rPr>
          <w:rFonts w:ascii="Arial" w:hAnsi="Arial" w:cs="Arial"/>
          <w:b/>
          <w:bCs/>
          <w:color w:val="auto"/>
          <w:sz w:val="22"/>
          <w:szCs w:val="22"/>
        </w:rPr>
        <w:t>GENERAL</w:t>
      </w:r>
      <w:r w:rsidRPr="00587795">
        <w:rPr>
          <w:rFonts w:ascii="Arial" w:hAnsi="Arial" w:cs="Arial"/>
          <w:b/>
          <w:bCs/>
          <w:color w:val="auto"/>
          <w:spacing w:val="-5"/>
          <w:sz w:val="22"/>
          <w:szCs w:val="22"/>
        </w:rPr>
        <w:t xml:space="preserve"> </w:t>
      </w:r>
      <w:r w:rsidRPr="00587795">
        <w:rPr>
          <w:rFonts w:ascii="Arial" w:hAnsi="Arial" w:cs="Arial"/>
          <w:b/>
          <w:bCs/>
          <w:color w:val="auto"/>
          <w:sz w:val="22"/>
          <w:szCs w:val="22"/>
        </w:rPr>
        <w:t>DE</w:t>
      </w:r>
      <w:r w:rsidRPr="00587795">
        <w:rPr>
          <w:rFonts w:ascii="Arial" w:hAnsi="Arial" w:cs="Arial"/>
          <w:b/>
          <w:bCs/>
          <w:color w:val="auto"/>
          <w:spacing w:val="-5"/>
          <w:sz w:val="22"/>
          <w:szCs w:val="22"/>
        </w:rPr>
        <w:t xml:space="preserve"> </w:t>
      </w:r>
      <w:r w:rsidRPr="00587795">
        <w:rPr>
          <w:rFonts w:ascii="Arial" w:hAnsi="Arial" w:cs="Arial"/>
          <w:b/>
          <w:bCs/>
          <w:color w:val="auto"/>
          <w:sz w:val="22"/>
          <w:szCs w:val="22"/>
        </w:rPr>
        <w:t>LA</w:t>
      </w:r>
      <w:r w:rsidRPr="00587795">
        <w:rPr>
          <w:rFonts w:ascii="Arial" w:hAnsi="Arial" w:cs="Arial"/>
          <w:b/>
          <w:bCs/>
          <w:color w:val="auto"/>
          <w:spacing w:val="-15"/>
          <w:sz w:val="22"/>
          <w:szCs w:val="22"/>
        </w:rPr>
        <w:t xml:space="preserve"> </w:t>
      </w:r>
      <w:r w:rsidRPr="00587795">
        <w:rPr>
          <w:rFonts w:ascii="Arial" w:hAnsi="Arial" w:cs="Arial"/>
          <w:b/>
          <w:bCs/>
          <w:color w:val="auto"/>
          <w:sz w:val="22"/>
          <w:szCs w:val="22"/>
        </w:rPr>
        <w:t>COMUNIDAD</w:t>
      </w:r>
      <w:r w:rsidRPr="00587795">
        <w:rPr>
          <w:rFonts w:ascii="Arial" w:hAnsi="Arial" w:cs="Arial"/>
          <w:b/>
          <w:bCs/>
          <w:color w:val="auto"/>
          <w:spacing w:val="3"/>
          <w:sz w:val="22"/>
          <w:szCs w:val="22"/>
        </w:rPr>
        <w:t xml:space="preserve"> </w:t>
      </w:r>
      <w:r w:rsidRPr="00587795">
        <w:rPr>
          <w:rFonts w:ascii="Arial" w:hAnsi="Arial" w:cs="Arial"/>
          <w:b/>
          <w:bCs/>
          <w:color w:val="auto"/>
          <w:spacing w:val="-2"/>
          <w:sz w:val="22"/>
          <w:szCs w:val="22"/>
        </w:rPr>
        <w:t>ANDINA,</w:t>
      </w:r>
    </w:p>
    <w:p w14:paraId="15E6497E" w14:textId="77777777" w:rsidR="000B1D35" w:rsidRPr="000B1D35" w:rsidRDefault="000B1D35" w:rsidP="000B1D35">
      <w:pPr>
        <w:pStyle w:val="Textoindependiente"/>
        <w:spacing w:before="3"/>
        <w:jc w:val="both"/>
        <w:rPr>
          <w:b/>
        </w:rPr>
      </w:pPr>
    </w:p>
    <w:p w14:paraId="3E9E130E" w14:textId="77777777" w:rsidR="000B1D35" w:rsidRPr="000B1D35" w:rsidRDefault="000B1D35" w:rsidP="000B1D35">
      <w:pPr>
        <w:pStyle w:val="Textoindependiente"/>
        <w:jc w:val="both"/>
      </w:pPr>
      <w:r w:rsidRPr="000B1D35">
        <w:rPr>
          <w:b/>
        </w:rPr>
        <w:t>VISTOS</w:t>
      </w:r>
      <w:r w:rsidRPr="000B1D35">
        <w:t>: El artículo 104 del Acuerdo de Cartagena y la Decisión 877 de la Comisión de la Comunidad Andina; y,</w:t>
      </w:r>
    </w:p>
    <w:p w14:paraId="514DE756" w14:textId="77777777" w:rsidR="000B1D35" w:rsidRPr="000B1D35" w:rsidRDefault="000B1D35" w:rsidP="000B1D35">
      <w:pPr>
        <w:pStyle w:val="Textoindependiente"/>
        <w:jc w:val="both"/>
      </w:pPr>
    </w:p>
    <w:p w14:paraId="34B0B39F" w14:textId="77777777" w:rsidR="000B1D35" w:rsidRPr="00FA51B3" w:rsidRDefault="000B1D35" w:rsidP="000B1D35">
      <w:pPr>
        <w:pStyle w:val="Textoindependiente"/>
        <w:jc w:val="both"/>
      </w:pPr>
      <w:r w:rsidRPr="000B1D35">
        <w:rPr>
          <w:b/>
          <w:bCs/>
        </w:rPr>
        <w:t>CONSIDERANDO:</w:t>
      </w:r>
    </w:p>
    <w:p w14:paraId="79E7AB62" w14:textId="77777777" w:rsidR="000B1D35" w:rsidRPr="000B1D35" w:rsidRDefault="000B1D35" w:rsidP="000B1D35">
      <w:pPr>
        <w:pStyle w:val="Textoindependiente"/>
        <w:jc w:val="both"/>
        <w:rPr>
          <w:b/>
          <w:bCs/>
        </w:rPr>
      </w:pPr>
    </w:p>
    <w:p w14:paraId="47A6B986" w14:textId="77777777" w:rsidR="000B1D35" w:rsidRPr="000B1D35" w:rsidRDefault="000B1D35" w:rsidP="000B1D35">
      <w:pPr>
        <w:pStyle w:val="Textoindependiente"/>
        <w:jc w:val="both"/>
        <w:rPr>
          <w:lang w:val="es-PE"/>
        </w:rPr>
      </w:pPr>
      <w:r w:rsidRPr="000B1D35">
        <w:rPr>
          <w:lang w:val="es-PE"/>
        </w:rPr>
        <w:t xml:space="preserve">Que, la Decisión 877 sobre Registro Andino para la autorización de satélites con cobertura sobre territorios de la Países Miembros de la Comunidad Andina establece los procedimientos con relación al registro, modificación o cancelación de satélites en la Lista Andina Satelital; </w:t>
      </w:r>
    </w:p>
    <w:p w14:paraId="62282B4F" w14:textId="77777777" w:rsidR="000B1D35" w:rsidRPr="000B1D35" w:rsidRDefault="000B1D35" w:rsidP="000B1D35">
      <w:pPr>
        <w:pStyle w:val="Textoindependiente"/>
        <w:jc w:val="both"/>
        <w:rPr>
          <w:lang w:val="es-PE"/>
        </w:rPr>
      </w:pPr>
    </w:p>
    <w:p w14:paraId="3A12698A" w14:textId="09FCCAA7" w:rsidR="000B1D35" w:rsidRPr="000B1D35" w:rsidRDefault="000B1D35" w:rsidP="000B1D35">
      <w:pPr>
        <w:pStyle w:val="Textoindependiente"/>
        <w:jc w:val="both"/>
      </w:pPr>
      <w:r w:rsidRPr="000B1D35">
        <w:t>Que, el artículo 4 de la Decisión 877 dispone que la Lista Andina Satelital está conformada por</w:t>
      </w:r>
      <w:r w:rsidRPr="000B1D35">
        <w:rPr>
          <w:spacing w:val="-9"/>
        </w:rPr>
        <w:t xml:space="preserve"> </w:t>
      </w:r>
      <w:r w:rsidRPr="000B1D35">
        <w:t>los</w:t>
      </w:r>
      <w:r w:rsidRPr="000B1D35">
        <w:rPr>
          <w:spacing w:val="-12"/>
        </w:rPr>
        <w:t xml:space="preserve"> </w:t>
      </w:r>
      <w:r w:rsidRPr="000B1D35">
        <w:t>satélites</w:t>
      </w:r>
      <w:r w:rsidRPr="000B1D35">
        <w:rPr>
          <w:spacing w:val="-16"/>
        </w:rPr>
        <w:t xml:space="preserve"> </w:t>
      </w:r>
      <w:r w:rsidRPr="000B1D35">
        <w:t>que</w:t>
      </w:r>
      <w:r w:rsidRPr="000B1D35">
        <w:rPr>
          <w:spacing w:val="-17"/>
        </w:rPr>
        <w:t xml:space="preserve"> </w:t>
      </w:r>
      <w:r w:rsidRPr="000B1D35">
        <w:t>tienen</w:t>
      </w:r>
      <w:r w:rsidRPr="000B1D35">
        <w:rPr>
          <w:spacing w:val="-10"/>
        </w:rPr>
        <w:t xml:space="preserve"> </w:t>
      </w:r>
      <w:r w:rsidRPr="000B1D35">
        <w:t>cobertura</w:t>
      </w:r>
      <w:r w:rsidRPr="000B1D35">
        <w:rPr>
          <w:spacing w:val="-11"/>
        </w:rPr>
        <w:t xml:space="preserve"> </w:t>
      </w:r>
      <w:r w:rsidRPr="000B1D35">
        <w:t>sobre</w:t>
      </w:r>
      <w:r w:rsidRPr="000B1D35">
        <w:rPr>
          <w:spacing w:val="-12"/>
        </w:rPr>
        <w:t xml:space="preserve"> </w:t>
      </w:r>
      <w:r w:rsidRPr="000B1D35">
        <w:t>uno</w:t>
      </w:r>
      <w:r w:rsidRPr="000B1D35">
        <w:rPr>
          <w:spacing w:val="-10"/>
        </w:rPr>
        <w:t xml:space="preserve"> </w:t>
      </w:r>
      <w:r w:rsidRPr="000B1D35">
        <w:t>o</w:t>
      </w:r>
      <w:r w:rsidRPr="000B1D35">
        <w:rPr>
          <w:spacing w:val="-16"/>
        </w:rPr>
        <w:t xml:space="preserve"> </w:t>
      </w:r>
      <w:r w:rsidRPr="000B1D35">
        <w:t>más</w:t>
      </w:r>
      <w:r w:rsidRPr="000B1D35">
        <w:rPr>
          <w:spacing w:val="-10"/>
        </w:rPr>
        <w:t xml:space="preserve"> </w:t>
      </w:r>
      <w:r w:rsidRPr="000B1D35">
        <w:t>Países</w:t>
      </w:r>
      <w:r w:rsidRPr="000B1D35">
        <w:rPr>
          <w:spacing w:val="-8"/>
        </w:rPr>
        <w:t xml:space="preserve"> </w:t>
      </w:r>
      <w:r w:rsidRPr="000B1D35">
        <w:t>Miembros</w:t>
      </w:r>
      <w:r w:rsidRPr="000B1D35">
        <w:rPr>
          <w:spacing w:val="-9"/>
        </w:rPr>
        <w:t xml:space="preserve"> </w:t>
      </w:r>
      <w:r w:rsidRPr="000B1D35">
        <w:t>y</w:t>
      </w:r>
      <w:r w:rsidRPr="000B1D35">
        <w:rPr>
          <w:spacing w:val="-17"/>
        </w:rPr>
        <w:t xml:space="preserve"> </w:t>
      </w:r>
      <w:r w:rsidRPr="000B1D35">
        <w:t>que</w:t>
      </w:r>
      <w:r w:rsidRPr="000B1D35">
        <w:rPr>
          <w:spacing w:val="-12"/>
        </w:rPr>
        <w:t xml:space="preserve"> </w:t>
      </w:r>
      <w:r w:rsidRPr="000B1D35">
        <w:t>han</w:t>
      </w:r>
      <w:r w:rsidRPr="000B1D35">
        <w:rPr>
          <w:spacing w:val="-12"/>
        </w:rPr>
        <w:t xml:space="preserve"> </w:t>
      </w:r>
      <w:r w:rsidRPr="000B1D35">
        <w:t xml:space="preserve">obtenido el Registro Andino Satelital de conformidad con los procedimientos definidos en </w:t>
      </w:r>
      <w:r w:rsidR="00076487">
        <w:t>dicha</w:t>
      </w:r>
      <w:r w:rsidRPr="000B1D35">
        <w:rPr>
          <w:spacing w:val="-29"/>
        </w:rPr>
        <w:t xml:space="preserve"> </w:t>
      </w:r>
      <w:r w:rsidRPr="000B1D35">
        <w:t>Decisión;</w:t>
      </w:r>
    </w:p>
    <w:p w14:paraId="6F67A5ED" w14:textId="77777777" w:rsidR="000B1D35" w:rsidRPr="000B1D35" w:rsidRDefault="000B1D35" w:rsidP="000B1D35">
      <w:pPr>
        <w:pStyle w:val="Default"/>
        <w:jc w:val="both"/>
        <w:rPr>
          <w:color w:val="auto"/>
          <w:sz w:val="22"/>
          <w:szCs w:val="22"/>
          <w:lang w:val="es-ES"/>
        </w:rPr>
      </w:pPr>
    </w:p>
    <w:p w14:paraId="76556A48" w14:textId="77777777" w:rsidR="000B1D35" w:rsidRPr="000B1D35" w:rsidRDefault="000B1D35" w:rsidP="000B1D35">
      <w:pPr>
        <w:pStyle w:val="Textoindependiente"/>
        <w:jc w:val="both"/>
        <w:rPr>
          <w:bCs/>
          <w:lang w:val="es-PE"/>
        </w:rPr>
      </w:pPr>
      <w:r w:rsidRPr="000B1D35">
        <w:rPr>
          <w:bCs/>
          <w:lang w:val="es-PE"/>
        </w:rPr>
        <w:t xml:space="preserve">Que, el artículo 5 de la citada Decisión establece los requisitos que deberá acreditar el operador satelital </w:t>
      </w:r>
      <w:r w:rsidRPr="000B1D35">
        <w:t xml:space="preserve">en los casos en que se solicite la </w:t>
      </w:r>
      <w:proofErr w:type="spellStart"/>
      <w:r w:rsidRPr="000B1D35">
        <w:t>coubicación</w:t>
      </w:r>
      <w:proofErr w:type="spellEnd"/>
      <w:r w:rsidRPr="000B1D35">
        <w:t xml:space="preserve"> o cambio de posición orbital de un satélite que cuente con registro vigente;</w:t>
      </w:r>
    </w:p>
    <w:p w14:paraId="45DB4FA8" w14:textId="77777777" w:rsidR="000B1D35" w:rsidRPr="000B1D35" w:rsidRDefault="000B1D35" w:rsidP="000B1D35">
      <w:pPr>
        <w:pStyle w:val="Textoindependiente"/>
        <w:jc w:val="both"/>
        <w:rPr>
          <w:bCs/>
          <w:lang w:val="es-PE"/>
        </w:rPr>
      </w:pPr>
    </w:p>
    <w:p w14:paraId="098BB17B" w14:textId="77777777" w:rsidR="000B1D35" w:rsidRPr="000B1D35" w:rsidRDefault="000B1D35" w:rsidP="000B1D35">
      <w:pPr>
        <w:pStyle w:val="Textoindependiente"/>
        <w:jc w:val="both"/>
        <w:rPr>
          <w:bCs/>
          <w:lang w:val="es-PE"/>
        </w:rPr>
      </w:pPr>
      <w:r w:rsidRPr="000B1D35">
        <w:rPr>
          <w:bCs/>
          <w:lang w:val="es-PE"/>
        </w:rPr>
        <w:t>Que, conforme a lo establecido en el artículo 8 de Decisión 877, la Secretaría General emitirá la Resolución mediante la cual realice el registro correspondiente, conforme a los plazos y condiciones establecidos en dicha norma comunitaria;</w:t>
      </w:r>
    </w:p>
    <w:p w14:paraId="4F24802B" w14:textId="77777777" w:rsidR="000B1D35" w:rsidRPr="000B1D35" w:rsidRDefault="000B1D35" w:rsidP="000B1D35">
      <w:pPr>
        <w:pStyle w:val="Textoindependiente"/>
        <w:jc w:val="both"/>
        <w:rPr>
          <w:bCs/>
          <w:lang w:val="es-PE"/>
        </w:rPr>
      </w:pPr>
    </w:p>
    <w:p w14:paraId="4655CC36" w14:textId="77777777" w:rsidR="000B1D35" w:rsidRPr="000B1D35" w:rsidRDefault="000B1D35" w:rsidP="000B1D35">
      <w:pPr>
        <w:pStyle w:val="Default"/>
        <w:jc w:val="both"/>
        <w:rPr>
          <w:color w:val="auto"/>
          <w:sz w:val="22"/>
          <w:szCs w:val="22"/>
        </w:rPr>
      </w:pPr>
      <w:r w:rsidRPr="000B1D35">
        <w:rPr>
          <w:color w:val="auto"/>
          <w:sz w:val="22"/>
          <w:szCs w:val="22"/>
        </w:rPr>
        <w:t xml:space="preserve">Que, mediante </w:t>
      </w:r>
      <w:r w:rsidRPr="000B1D35">
        <w:rPr>
          <w:color w:val="auto"/>
          <w:spacing w:val="-2"/>
          <w:sz w:val="22"/>
          <w:szCs w:val="22"/>
        </w:rPr>
        <w:t xml:space="preserve">Resolución 1296, </w:t>
      </w:r>
      <w:r w:rsidRPr="000B1D35">
        <w:rPr>
          <w:color w:val="auto"/>
          <w:sz w:val="22"/>
          <w:szCs w:val="22"/>
        </w:rPr>
        <w:t xml:space="preserve">publicada el 18 de diciembre de 2009 en la Gaceta Oficial 1793 de la Comunidad Andina, la Secretaría General registró en la Lista Andina Satelital varios satélites de INTELSAT CORPORATION, entre ellos, </w:t>
      </w:r>
      <w:r w:rsidRPr="000B1D35">
        <w:rPr>
          <w:color w:val="auto"/>
          <w:spacing w:val="-2"/>
          <w:sz w:val="22"/>
          <w:szCs w:val="22"/>
        </w:rPr>
        <w:t>el satélite Galaxy 28 (G-28) en la posición orbital 271° Longitud Este;</w:t>
      </w:r>
    </w:p>
    <w:p w14:paraId="6487FE3E" w14:textId="77777777" w:rsidR="000B1D35" w:rsidRPr="000B1D35" w:rsidRDefault="000B1D35" w:rsidP="000B1D35">
      <w:pPr>
        <w:pStyle w:val="Textoindependiente"/>
        <w:jc w:val="both"/>
        <w:rPr>
          <w:bCs/>
          <w:lang w:val="es-PE"/>
        </w:rPr>
      </w:pPr>
    </w:p>
    <w:p w14:paraId="50318D6E" w14:textId="77777777" w:rsidR="000B1D35" w:rsidRPr="000B1D35" w:rsidRDefault="000B1D35" w:rsidP="000B1D35">
      <w:pPr>
        <w:pStyle w:val="Textoindependiente"/>
        <w:jc w:val="both"/>
      </w:pPr>
      <w:r w:rsidRPr="000B1D35">
        <w:rPr>
          <w:lang w:val="es-PE"/>
        </w:rPr>
        <w:t xml:space="preserve">Que, el operador satelital </w:t>
      </w:r>
      <w:r w:rsidRPr="000B1D35">
        <w:t>INTELSAT CORPORATION comunicó el 3 de agosto de 2018 a la Secretaría General de la Comunidad Andina su transformación corporativa, mediante la cual cambió su denominación de INTELSAT CORPORATION a INTELSAT US LLC;</w:t>
      </w:r>
    </w:p>
    <w:p w14:paraId="180B86EF" w14:textId="77777777" w:rsidR="000B1D35" w:rsidRPr="000B1D35" w:rsidRDefault="000B1D35" w:rsidP="000B1D35">
      <w:pPr>
        <w:pStyle w:val="Textoindependiente"/>
        <w:jc w:val="both"/>
      </w:pPr>
    </w:p>
    <w:p w14:paraId="0D444DBA" w14:textId="77777777" w:rsidR="000B1D35" w:rsidRPr="000B1D35" w:rsidRDefault="000B1D35" w:rsidP="000B1D35">
      <w:pPr>
        <w:pStyle w:val="Textoindependiente"/>
        <w:jc w:val="both"/>
      </w:pPr>
      <w:r w:rsidRPr="000B1D35">
        <w:t xml:space="preserve">Que, </w:t>
      </w:r>
      <w:r w:rsidRPr="000B1D35">
        <w:rPr>
          <w:lang w:val="es-PE"/>
        </w:rPr>
        <w:t xml:space="preserve">mediante oficio SG/E/D2/1549/2018 del 17 de agosto de 2018, </w:t>
      </w:r>
      <w:r w:rsidRPr="000B1D35">
        <w:t>la Secretaría General de la Comunidad Andina comunicó al operador INTELSAT CORPORATION el registro de la notificación de cambio de su denominación a INTELSAT US LLC;</w:t>
      </w:r>
    </w:p>
    <w:p w14:paraId="10669651" w14:textId="77777777" w:rsidR="000B1D35" w:rsidRPr="000B1D35" w:rsidRDefault="000B1D35" w:rsidP="000B1D35">
      <w:pPr>
        <w:pStyle w:val="Default"/>
        <w:jc w:val="both"/>
        <w:rPr>
          <w:color w:val="auto"/>
          <w:sz w:val="22"/>
          <w:szCs w:val="22"/>
        </w:rPr>
      </w:pPr>
    </w:p>
    <w:p w14:paraId="4AA14850" w14:textId="77777777" w:rsidR="000B1D35" w:rsidRPr="000B1D35" w:rsidRDefault="000B1D35" w:rsidP="000B1D35">
      <w:pPr>
        <w:pStyle w:val="Default"/>
        <w:jc w:val="both"/>
        <w:rPr>
          <w:color w:val="auto"/>
          <w:sz w:val="22"/>
          <w:szCs w:val="22"/>
        </w:rPr>
      </w:pPr>
      <w:r w:rsidRPr="000B1D35">
        <w:rPr>
          <w:color w:val="auto"/>
          <w:sz w:val="22"/>
          <w:szCs w:val="22"/>
        </w:rPr>
        <w:lastRenderedPageBreak/>
        <w:t xml:space="preserve">Que, mediante comunicación recibida el 28 de noviembre de 2023 en la Secretaría General de la Comunidad Andina, la empresa INTELSAT US LLC informó que el satélite </w:t>
      </w:r>
      <w:r w:rsidRPr="000B1D35">
        <w:rPr>
          <w:color w:val="auto"/>
          <w:spacing w:val="-2"/>
          <w:sz w:val="22"/>
          <w:szCs w:val="22"/>
        </w:rPr>
        <w:t>Galaxy 28</w:t>
      </w:r>
      <w:r w:rsidRPr="000B1D35">
        <w:rPr>
          <w:color w:val="auto"/>
          <w:sz w:val="22"/>
          <w:szCs w:val="22"/>
        </w:rPr>
        <w:t xml:space="preserve"> (G-28) variará su posición orbital 0.3°, siendo la nueva posición orbital 271.3° Longitud Este, y, por lo tanto, solicitó el registro andino de la nueva posición orbital del referido satélite;</w:t>
      </w:r>
    </w:p>
    <w:p w14:paraId="28600951" w14:textId="77777777" w:rsidR="000B1D35" w:rsidRPr="000B1D35" w:rsidRDefault="000B1D35" w:rsidP="000B1D35">
      <w:pPr>
        <w:pStyle w:val="Default"/>
        <w:jc w:val="both"/>
        <w:rPr>
          <w:color w:val="auto"/>
          <w:sz w:val="22"/>
          <w:szCs w:val="22"/>
        </w:rPr>
      </w:pPr>
    </w:p>
    <w:p w14:paraId="0752439E" w14:textId="6348D0E3" w:rsidR="000B1D35" w:rsidRPr="00D517F3" w:rsidRDefault="000B1D35" w:rsidP="000B1D35">
      <w:pPr>
        <w:pStyle w:val="Textoindependiente"/>
        <w:jc w:val="both"/>
      </w:pPr>
      <w:r w:rsidRPr="000B1D35">
        <w:t xml:space="preserve">Que, conforme a los requisitos establecidos en el artículo 6 de la Decisión 877, la Secretaría General de la Comunidad Andina procedió a revisar la documentación e información </w:t>
      </w:r>
      <w:r w:rsidRPr="00D517F3">
        <w:t xml:space="preserve">presentada por el solicitante y mediante oficio No. SG/E/D2/2080/2023 del 5 de diciembre de 2023, requirió </w:t>
      </w:r>
      <w:r w:rsidR="001A2EAF">
        <w:t xml:space="preserve">al solicitante </w:t>
      </w:r>
      <w:r w:rsidRPr="00D517F3">
        <w:t>complementar la información presentada;</w:t>
      </w:r>
    </w:p>
    <w:p w14:paraId="79F8BA0B" w14:textId="77777777" w:rsidR="000B1D35" w:rsidRPr="00D517F3" w:rsidRDefault="000B1D35" w:rsidP="000B1D35">
      <w:pPr>
        <w:pStyle w:val="Textoindependiente"/>
        <w:jc w:val="both"/>
      </w:pPr>
    </w:p>
    <w:p w14:paraId="56063A4C" w14:textId="77777777" w:rsidR="000B1D35" w:rsidRPr="00D517F3" w:rsidRDefault="000B1D35" w:rsidP="000B1D35">
      <w:pPr>
        <w:pStyle w:val="Textoindependiente"/>
        <w:jc w:val="both"/>
      </w:pPr>
      <w:r w:rsidRPr="00D517F3">
        <w:t xml:space="preserve">Que, mediante oficio sin número del 20 de diciembre de 2023, recibido en la Secretaría General de la Comunidad Andina el 12 de enero de 2024, el solicitante presentó información complementaria a su solicitud; </w:t>
      </w:r>
    </w:p>
    <w:p w14:paraId="47F74AA7" w14:textId="77777777" w:rsidR="000B1D35" w:rsidRPr="00D517F3" w:rsidRDefault="000B1D35" w:rsidP="000B1D35">
      <w:pPr>
        <w:pStyle w:val="Textoindependiente"/>
        <w:jc w:val="both"/>
      </w:pPr>
    </w:p>
    <w:p w14:paraId="74F7C8B9" w14:textId="046A3DEE" w:rsidR="000B1D35" w:rsidRPr="00D517F3" w:rsidRDefault="000B1D35" w:rsidP="000B1D35">
      <w:pPr>
        <w:pStyle w:val="Textoindependiente"/>
        <w:jc w:val="both"/>
      </w:pPr>
      <w:r w:rsidRPr="00D517F3">
        <w:t xml:space="preserve">Que, realizado el análisis correspondiente de la documentación e información presentada, la Secretaría General de la Comunidad Andina mediante Nota </w:t>
      </w:r>
      <w:r w:rsidRPr="00D517F3">
        <w:br/>
        <w:t>No. SG/E/D2/057/2024 del 19 de enero de 2024, comunicó a la empresa INTELSAT US LLC la admisión a trámite de su solicitud, en los términos establecidos en el artículo 6 de la Decisión 877;</w:t>
      </w:r>
    </w:p>
    <w:p w14:paraId="60DC5C2A" w14:textId="77777777" w:rsidR="000B1D35" w:rsidRPr="00D517F3" w:rsidRDefault="000B1D35" w:rsidP="000B1D35">
      <w:pPr>
        <w:pStyle w:val="Textoindependiente"/>
        <w:spacing w:before="10"/>
        <w:jc w:val="both"/>
      </w:pPr>
    </w:p>
    <w:p w14:paraId="00C893F3" w14:textId="62BA057B" w:rsidR="000B1D35" w:rsidRPr="00D517F3" w:rsidRDefault="000B1D35" w:rsidP="000B1D35">
      <w:pPr>
        <w:pStyle w:val="Textoindependiente"/>
        <w:spacing w:before="1"/>
        <w:jc w:val="both"/>
      </w:pPr>
      <w:r w:rsidRPr="00D517F3">
        <w:t>Que, mediante Nota No. SG/E/D2/054/2024 del 19 de enero de 2024, la Secretaría General de la Comunidad Andina comunicó a las Autoridades Nacionales Competentes en materia de Telecomunicaciones de los Países Miembros, la admisión a trámite de la solicitud presentada por INTELSAT US LLC, adjuntando la documentación aportada para el análisis correspondiente;</w:t>
      </w:r>
    </w:p>
    <w:p w14:paraId="29E078D7" w14:textId="77777777" w:rsidR="000B1D35" w:rsidRPr="00D517F3" w:rsidRDefault="000B1D35" w:rsidP="000B1D35">
      <w:pPr>
        <w:pStyle w:val="Textoindependiente"/>
        <w:spacing w:before="1"/>
        <w:jc w:val="both"/>
      </w:pPr>
    </w:p>
    <w:p w14:paraId="2388A65A" w14:textId="77777777" w:rsidR="000B1D35" w:rsidRPr="00D517F3" w:rsidRDefault="000B1D35" w:rsidP="000B1D35">
      <w:pPr>
        <w:pStyle w:val="Textoindependiente"/>
        <w:spacing w:before="1"/>
        <w:jc w:val="both"/>
      </w:pPr>
      <w:r w:rsidRPr="00D517F3">
        <w:t>Que, en la misma Nota, la Secretaría General de la Comunidad Andina informó a las Autoridades Nacionales Competentes en materia de Telecomunicaciones que podrán realizar el análisis y examen correspondiente dentro de los términos y plazos indicados en el artículo 7 de la Decisión 877;</w:t>
      </w:r>
    </w:p>
    <w:p w14:paraId="4C628C4B" w14:textId="77777777" w:rsidR="000B1D35" w:rsidRPr="00D517F3" w:rsidRDefault="000B1D35" w:rsidP="000B1D35">
      <w:pPr>
        <w:pStyle w:val="Textoindependiente"/>
        <w:jc w:val="both"/>
      </w:pPr>
    </w:p>
    <w:p w14:paraId="7BAD0746" w14:textId="77777777" w:rsidR="000B1D35" w:rsidRPr="000B1D35" w:rsidRDefault="000B1D35" w:rsidP="000B1D35">
      <w:pPr>
        <w:pStyle w:val="Textoindependiente"/>
        <w:jc w:val="both"/>
      </w:pPr>
      <w:r w:rsidRPr="00D517F3">
        <w:t>Que, mediante Oficio MOPSV/VMTEL/DESP. No. 0368/2024 del 21 de marzo de 2024, el Viceministerio de Telecomunicaciones del Ministerio de</w:t>
      </w:r>
      <w:r w:rsidRPr="000B1D35">
        <w:t xml:space="preserve"> Obras Públicas, Servicios y Vivienda del Estado Plurinacional de Bolivia informó no presentar objeción a la solicitud de modificación del registro del satélite </w:t>
      </w:r>
      <w:r w:rsidRPr="000B1D35">
        <w:rPr>
          <w:spacing w:val="-2"/>
        </w:rPr>
        <w:t>Galaxy 28</w:t>
      </w:r>
      <w:r w:rsidRPr="000B1D35">
        <w:t xml:space="preserve"> (G-28) de la empresa INTELSAT US LLC;</w:t>
      </w:r>
    </w:p>
    <w:p w14:paraId="37FD11D9" w14:textId="77777777" w:rsidR="000B1D35" w:rsidRPr="000B1D35" w:rsidRDefault="000B1D35" w:rsidP="000B1D35">
      <w:pPr>
        <w:pStyle w:val="Textoindependiente"/>
        <w:jc w:val="both"/>
      </w:pPr>
    </w:p>
    <w:p w14:paraId="02A290C5" w14:textId="77777777" w:rsidR="000B1D35" w:rsidRPr="000B1D35" w:rsidRDefault="000B1D35" w:rsidP="000B1D35">
      <w:pPr>
        <w:pStyle w:val="Textoindependiente"/>
        <w:jc w:val="both"/>
      </w:pPr>
      <w:r w:rsidRPr="000B1D35">
        <w:t>Que, mediante Oficio No. ARCOTEL-CREG-2024-0067-OF del 2 de abril de 2024, la Agencia de Regulación y Control de las Telecomunicaciones de la República del Ecuador emitió pronunciamiento técnico favorable a la solicitud de la empresa INTELSAT US LLC;</w:t>
      </w:r>
    </w:p>
    <w:p w14:paraId="31988E5D" w14:textId="77777777" w:rsidR="000B1D35" w:rsidRPr="000B1D35" w:rsidRDefault="000B1D35" w:rsidP="000B1D35">
      <w:pPr>
        <w:spacing w:after="0"/>
        <w:jc w:val="both"/>
        <w:rPr>
          <w:rFonts w:ascii="Arial" w:eastAsia="Arial" w:hAnsi="Arial" w:cs="Arial"/>
          <w:kern w:val="0"/>
          <w:lang w:val="es-ES"/>
          <w14:ligatures w14:val="none"/>
        </w:rPr>
      </w:pPr>
    </w:p>
    <w:p w14:paraId="449A537D" w14:textId="77777777" w:rsidR="000B1D35" w:rsidRPr="000B1D35" w:rsidRDefault="000B1D35" w:rsidP="000B1D35">
      <w:pPr>
        <w:spacing w:after="0"/>
        <w:jc w:val="both"/>
        <w:rPr>
          <w:rFonts w:ascii="Arial" w:eastAsia="Arial" w:hAnsi="Arial" w:cs="Arial"/>
          <w:kern w:val="0"/>
          <w:lang w:val="es-ES"/>
          <w14:ligatures w14:val="none"/>
        </w:rPr>
      </w:pPr>
      <w:r w:rsidRPr="000B1D35">
        <w:rPr>
          <w:rFonts w:ascii="Arial" w:eastAsia="Arial" w:hAnsi="Arial" w:cs="Arial"/>
          <w:kern w:val="0"/>
          <w:lang w:val="es-ES"/>
          <w14:ligatures w14:val="none"/>
        </w:rPr>
        <w:t xml:space="preserve">Que, mediante Oficio No. 242031347 del 3 de abril de 2024, el Ministerio de Tecnologías de la Información y Comunicaciones de la República de Colombia comunicó que, una vez realizados los respectivos estudios técnicos, no se encuentra objeción para conceder a la empresa INTELSAT US LLC la autorización andina para el cambio de posición orbital del </w:t>
      </w:r>
      <w:r w:rsidRPr="000B1D35">
        <w:rPr>
          <w:rFonts w:ascii="Arial" w:eastAsia="Arial" w:hAnsi="Arial" w:cs="Arial"/>
          <w:kern w:val="0"/>
          <w14:ligatures w14:val="none"/>
        </w:rPr>
        <w:t>satélite Galaxy 28 (G-28)</w:t>
      </w:r>
      <w:r w:rsidRPr="000B1D35">
        <w:rPr>
          <w:rFonts w:ascii="Arial" w:eastAsia="Arial" w:hAnsi="Arial" w:cs="Arial"/>
          <w:kern w:val="0"/>
          <w:lang w:val="es-ES"/>
          <w14:ligatures w14:val="none"/>
        </w:rPr>
        <w:t xml:space="preserve"> en el registro de la Lista Andina Satelital;</w:t>
      </w:r>
    </w:p>
    <w:p w14:paraId="6F81BABF" w14:textId="77777777" w:rsidR="000B1D35" w:rsidRPr="000B1D35" w:rsidRDefault="000B1D35" w:rsidP="000B1D35">
      <w:pPr>
        <w:tabs>
          <w:tab w:val="left" w:pos="1413"/>
        </w:tabs>
        <w:spacing w:after="0" w:line="240" w:lineRule="auto"/>
        <w:jc w:val="both"/>
        <w:rPr>
          <w:rFonts w:ascii="Arial" w:eastAsia="Times New Roman" w:hAnsi="Arial" w:cs="Arial"/>
        </w:rPr>
      </w:pPr>
    </w:p>
    <w:p w14:paraId="5EE63782" w14:textId="77777777" w:rsidR="000B1D35" w:rsidRPr="000B1D35" w:rsidRDefault="000B1D35" w:rsidP="000B1D35">
      <w:pPr>
        <w:tabs>
          <w:tab w:val="left" w:pos="1413"/>
        </w:tabs>
        <w:spacing w:after="0" w:line="240" w:lineRule="auto"/>
        <w:jc w:val="both"/>
        <w:rPr>
          <w:rFonts w:ascii="Arial" w:eastAsia="Times New Roman" w:hAnsi="Arial" w:cs="Arial"/>
        </w:rPr>
      </w:pPr>
      <w:r w:rsidRPr="000B1D35">
        <w:rPr>
          <w:rFonts w:ascii="Arial" w:eastAsia="Times New Roman" w:hAnsi="Arial" w:cs="Arial"/>
        </w:rPr>
        <w:t xml:space="preserve">Que, el artículo 7 de la Decisión 877, indica que, en el caso en que la Autoridad Nacional Competente de un País Miembro no emitiera pronunciamiento alguno, la Secretaría General considerará que dicho país opina favorablemente respecto de la solicitud de registro andino. En consecuencia, debido a que la Republica de Perú no emitió pronunciamiento a la Nota No. SG/E/D2/054/2024 del 19 de enero de 2024, se entenderá que su opinión es favorable frente </w:t>
      </w:r>
      <w:r w:rsidRPr="000B1D35">
        <w:rPr>
          <w:rFonts w:ascii="Arial" w:eastAsia="Times New Roman" w:hAnsi="Arial" w:cs="Arial"/>
        </w:rPr>
        <w:lastRenderedPageBreak/>
        <w:t xml:space="preserve">a la solicitud de </w:t>
      </w:r>
      <w:r w:rsidRPr="000B1D35">
        <w:rPr>
          <w:rFonts w:ascii="Arial" w:eastAsia="Arial" w:hAnsi="Arial" w:cs="Arial"/>
          <w:kern w:val="0"/>
          <w:lang w:val="es-ES"/>
          <w14:ligatures w14:val="none"/>
        </w:rPr>
        <w:t xml:space="preserve">cambio de posición orbital del </w:t>
      </w:r>
      <w:r w:rsidRPr="000B1D35">
        <w:rPr>
          <w:rFonts w:ascii="Arial" w:eastAsia="Arial" w:hAnsi="Arial" w:cs="Arial"/>
          <w:kern w:val="0"/>
          <w14:ligatures w14:val="none"/>
        </w:rPr>
        <w:t>satélite Galaxy 28 (G-28)</w:t>
      </w:r>
      <w:r w:rsidRPr="000B1D35">
        <w:rPr>
          <w:rFonts w:ascii="Arial" w:eastAsia="Arial" w:hAnsi="Arial" w:cs="Arial"/>
          <w:kern w:val="0"/>
          <w:lang w:val="es-ES"/>
          <w14:ligatures w14:val="none"/>
        </w:rPr>
        <w:t xml:space="preserve"> en el registro de la Lista Andina Satelital</w:t>
      </w:r>
      <w:r w:rsidRPr="000B1D35">
        <w:rPr>
          <w:rFonts w:ascii="Arial" w:eastAsia="Times New Roman" w:hAnsi="Arial" w:cs="Arial"/>
        </w:rPr>
        <w:t>;</w:t>
      </w:r>
    </w:p>
    <w:p w14:paraId="40EC5576" w14:textId="77777777" w:rsidR="000B1D35" w:rsidRPr="000B1D35" w:rsidRDefault="000B1D35" w:rsidP="000B1D35">
      <w:pPr>
        <w:pStyle w:val="Textoindependiente"/>
        <w:jc w:val="both"/>
      </w:pPr>
    </w:p>
    <w:p w14:paraId="45976489" w14:textId="77777777" w:rsidR="000B1D35" w:rsidRPr="000B1D35" w:rsidRDefault="000B1D35" w:rsidP="000B1D35">
      <w:pPr>
        <w:pStyle w:val="Textoindependiente"/>
        <w:jc w:val="both"/>
      </w:pPr>
      <w:r w:rsidRPr="000B1D35">
        <w:t>Que, habiéndose cumplido los plazos y etapas procedimentales establecidos en la norma comunitaria andina, corresponde a esta Secretaría General pronunciarse mediante resolución; y, en tal sentido,</w:t>
      </w:r>
    </w:p>
    <w:p w14:paraId="5BF8BF59" w14:textId="77777777" w:rsidR="000B1D35" w:rsidRPr="000B1D35" w:rsidRDefault="000B1D35" w:rsidP="000B1D35">
      <w:pPr>
        <w:pStyle w:val="Textoindependiente"/>
        <w:jc w:val="both"/>
      </w:pPr>
    </w:p>
    <w:p w14:paraId="70D1A287" w14:textId="77777777" w:rsidR="000B1D35" w:rsidRPr="000B1D35" w:rsidRDefault="000B1D35" w:rsidP="000B1D35">
      <w:pPr>
        <w:pStyle w:val="Textoindependiente"/>
        <w:jc w:val="center"/>
      </w:pPr>
    </w:p>
    <w:p w14:paraId="35551625" w14:textId="77777777" w:rsidR="000B1D35" w:rsidRPr="000B1D35" w:rsidRDefault="000B1D35" w:rsidP="000B1D35">
      <w:pPr>
        <w:pStyle w:val="Textoindependiente"/>
        <w:jc w:val="center"/>
        <w:rPr>
          <w:b/>
          <w:bCs/>
        </w:rPr>
      </w:pPr>
      <w:r w:rsidRPr="000B1D35">
        <w:rPr>
          <w:b/>
          <w:bCs/>
        </w:rPr>
        <w:t>RESUELVE:</w:t>
      </w:r>
    </w:p>
    <w:p w14:paraId="0F8333B0" w14:textId="0B9FCC8F" w:rsidR="00295B8A" w:rsidRPr="00295B8A" w:rsidRDefault="00295B8A" w:rsidP="00295B8A">
      <w:pPr>
        <w:pStyle w:val="xmsobodytext"/>
        <w:shd w:val="clear" w:color="auto" w:fill="FFFFFF"/>
        <w:spacing w:before="240" w:beforeAutospacing="0" w:after="0" w:afterAutospacing="0"/>
        <w:jc w:val="both"/>
        <w:rPr>
          <w:rFonts w:ascii="Arial" w:hAnsi="Arial" w:cs="Arial"/>
          <w:sz w:val="22"/>
          <w:szCs w:val="22"/>
          <w:bdr w:val="none" w:sz="0" w:space="0" w:color="auto" w:frame="1"/>
          <w:lang w:val="es-ES"/>
        </w:rPr>
      </w:pPr>
      <w:r w:rsidRPr="00295B8A">
        <w:rPr>
          <w:rFonts w:ascii="Arial" w:hAnsi="Arial" w:cs="Arial"/>
          <w:b/>
          <w:bCs/>
          <w:sz w:val="22"/>
          <w:szCs w:val="22"/>
          <w:bdr w:val="none" w:sz="0" w:space="0" w:color="auto" w:frame="1"/>
          <w:lang w:val="es-ES"/>
        </w:rPr>
        <w:t xml:space="preserve">Artículo 1.- </w:t>
      </w:r>
      <w:r w:rsidRPr="00295B8A">
        <w:rPr>
          <w:rFonts w:ascii="Arial" w:hAnsi="Arial" w:cs="Arial"/>
          <w:sz w:val="22"/>
          <w:szCs w:val="22"/>
          <w:bdr w:val="none" w:sz="0" w:space="0" w:color="auto" w:frame="1"/>
          <w:lang w:val="es-ES"/>
        </w:rPr>
        <w:t>Modificar el artículo 1 de la Resolución 1296, publicada en la Gaceta Oficial 1793 de la Comunidad Andina el 18 de diciembre del año 2009, en lo que refiere a la posición orbital (ROE) del Satélite GALAXY 28 (G-28), conforme al</w:t>
      </w:r>
      <w:r w:rsidR="005977BE">
        <w:rPr>
          <w:rFonts w:ascii="Arial" w:hAnsi="Arial" w:cs="Arial"/>
          <w:sz w:val="22"/>
          <w:szCs w:val="22"/>
          <w:bdr w:val="none" w:sz="0" w:space="0" w:color="auto" w:frame="1"/>
          <w:lang w:val="es-ES"/>
        </w:rPr>
        <w:t xml:space="preserve"> </w:t>
      </w:r>
      <w:r w:rsidRPr="00295B8A">
        <w:rPr>
          <w:rFonts w:ascii="Arial" w:hAnsi="Arial" w:cs="Arial"/>
          <w:sz w:val="22"/>
          <w:szCs w:val="22"/>
          <w:bdr w:val="none" w:sz="0" w:space="0" w:color="auto" w:frame="1"/>
          <w:lang w:val="es-ES"/>
        </w:rPr>
        <w:t>siguiente texto:</w:t>
      </w:r>
    </w:p>
    <w:p w14:paraId="46A294E6" w14:textId="0A64A73C" w:rsidR="000B1D35" w:rsidRPr="000B1D35" w:rsidRDefault="000B1D35" w:rsidP="00295B8A">
      <w:pPr>
        <w:pStyle w:val="xmsobodytext"/>
        <w:shd w:val="clear" w:color="auto" w:fill="FFFFFF"/>
        <w:spacing w:before="240" w:beforeAutospacing="0" w:after="0" w:afterAutospacing="0"/>
        <w:ind w:firstLine="708"/>
        <w:jc w:val="both"/>
        <w:rPr>
          <w:rFonts w:ascii="Arial" w:hAnsi="Arial" w:cs="Arial"/>
          <w:sz w:val="22"/>
          <w:szCs w:val="22"/>
        </w:rPr>
      </w:pPr>
      <w:r w:rsidRPr="000B1D35">
        <w:rPr>
          <w:rFonts w:ascii="Arial" w:hAnsi="Arial" w:cs="Arial"/>
          <w:sz w:val="22"/>
          <w:szCs w:val="22"/>
          <w:bdr w:val="none" w:sz="0" w:space="0" w:color="auto" w:frame="1"/>
          <w:lang w:val="es-ES"/>
        </w:rPr>
        <w:t>Donde dice: 271° E</w:t>
      </w:r>
    </w:p>
    <w:p w14:paraId="66370A27" w14:textId="77777777" w:rsidR="000B1D35" w:rsidRPr="000B1D35" w:rsidRDefault="000B1D35" w:rsidP="000B1D35">
      <w:pPr>
        <w:pStyle w:val="xmsobodytext"/>
        <w:shd w:val="clear" w:color="auto" w:fill="FFFFFF"/>
        <w:spacing w:before="240" w:beforeAutospacing="0" w:after="0" w:afterAutospacing="0"/>
        <w:ind w:firstLine="708"/>
        <w:jc w:val="both"/>
        <w:rPr>
          <w:rFonts w:ascii="Arial" w:hAnsi="Arial" w:cs="Arial"/>
          <w:sz w:val="22"/>
          <w:szCs w:val="22"/>
          <w:bdr w:val="none" w:sz="0" w:space="0" w:color="auto" w:frame="1"/>
          <w:lang w:val="es-ES"/>
        </w:rPr>
      </w:pPr>
      <w:r w:rsidRPr="000B1D35">
        <w:rPr>
          <w:rFonts w:ascii="Arial" w:hAnsi="Arial" w:cs="Arial"/>
          <w:sz w:val="22"/>
          <w:szCs w:val="22"/>
          <w:bdr w:val="none" w:sz="0" w:space="0" w:color="auto" w:frame="1"/>
          <w:lang w:val="es-ES"/>
        </w:rPr>
        <w:t>Debe decir: 271.3° E</w:t>
      </w:r>
    </w:p>
    <w:p w14:paraId="2C806AB2" w14:textId="77777777" w:rsidR="00747677" w:rsidRPr="00747677" w:rsidRDefault="00747677" w:rsidP="00747677">
      <w:pPr>
        <w:pStyle w:val="xmsobodytext"/>
        <w:shd w:val="clear" w:color="auto" w:fill="FFFFFF"/>
        <w:spacing w:before="240" w:after="0"/>
        <w:jc w:val="both"/>
        <w:rPr>
          <w:rFonts w:ascii="Arial" w:hAnsi="Arial" w:cs="Arial"/>
          <w:b/>
          <w:bCs/>
          <w:sz w:val="22"/>
          <w:szCs w:val="22"/>
          <w:bdr w:val="none" w:sz="0" w:space="0" w:color="auto" w:frame="1"/>
          <w:lang w:val="es-ES"/>
        </w:rPr>
      </w:pPr>
      <w:r w:rsidRPr="00747677">
        <w:rPr>
          <w:rFonts w:ascii="Arial" w:hAnsi="Arial" w:cs="Arial"/>
          <w:b/>
          <w:bCs/>
          <w:sz w:val="22"/>
          <w:szCs w:val="22"/>
          <w:bdr w:val="none" w:sz="0" w:space="0" w:color="auto" w:frame="1"/>
          <w:lang w:val="es-ES"/>
        </w:rPr>
        <w:t xml:space="preserve">Artículo 2.- </w:t>
      </w:r>
      <w:r w:rsidRPr="00747677">
        <w:rPr>
          <w:rFonts w:ascii="Arial" w:hAnsi="Arial" w:cs="Arial"/>
          <w:sz w:val="22"/>
          <w:szCs w:val="22"/>
          <w:bdr w:val="none" w:sz="0" w:space="0" w:color="auto" w:frame="1"/>
          <w:lang w:val="es-ES"/>
        </w:rPr>
        <w:t>Dejar sin efecto el Certificado de Registro correspondiente al satélite GALAXY 28 (G-28) referido en el artículo 2 de la Resolución 1296.</w:t>
      </w:r>
    </w:p>
    <w:p w14:paraId="1ED49AEE" w14:textId="34B7F2D2" w:rsidR="00747677" w:rsidRPr="00747677" w:rsidRDefault="00747677" w:rsidP="00747677">
      <w:pPr>
        <w:pStyle w:val="xmsobodytext"/>
        <w:shd w:val="clear" w:color="auto" w:fill="FFFFFF"/>
        <w:spacing w:before="240" w:beforeAutospacing="0" w:after="0" w:afterAutospacing="0"/>
        <w:jc w:val="both"/>
        <w:rPr>
          <w:rFonts w:ascii="Arial" w:hAnsi="Arial" w:cs="Arial"/>
          <w:sz w:val="22"/>
          <w:szCs w:val="22"/>
          <w:bdr w:val="none" w:sz="0" w:space="0" w:color="auto" w:frame="1"/>
          <w:lang w:val="es-ES"/>
        </w:rPr>
      </w:pPr>
      <w:r w:rsidRPr="00747677">
        <w:rPr>
          <w:rFonts w:ascii="Arial" w:hAnsi="Arial" w:cs="Arial"/>
          <w:b/>
          <w:bCs/>
          <w:sz w:val="22"/>
          <w:szCs w:val="22"/>
          <w:bdr w:val="none" w:sz="0" w:space="0" w:color="auto" w:frame="1"/>
          <w:lang w:val="es-ES"/>
        </w:rPr>
        <w:t xml:space="preserve">Artículo </w:t>
      </w:r>
      <w:r w:rsidR="004D4BD1">
        <w:rPr>
          <w:rFonts w:ascii="Arial" w:hAnsi="Arial" w:cs="Arial"/>
          <w:b/>
          <w:bCs/>
          <w:sz w:val="22"/>
          <w:szCs w:val="22"/>
          <w:bdr w:val="none" w:sz="0" w:space="0" w:color="auto" w:frame="1"/>
          <w:lang w:val="es-ES"/>
        </w:rPr>
        <w:t>3</w:t>
      </w:r>
      <w:r w:rsidRPr="00747677">
        <w:rPr>
          <w:rFonts w:ascii="Arial" w:hAnsi="Arial" w:cs="Arial"/>
          <w:b/>
          <w:bCs/>
          <w:sz w:val="22"/>
          <w:szCs w:val="22"/>
          <w:bdr w:val="none" w:sz="0" w:space="0" w:color="auto" w:frame="1"/>
          <w:lang w:val="es-ES"/>
        </w:rPr>
        <w:t xml:space="preserve">.- </w:t>
      </w:r>
      <w:r w:rsidRPr="00747677">
        <w:rPr>
          <w:rFonts w:ascii="Arial" w:hAnsi="Arial" w:cs="Arial"/>
          <w:sz w:val="22"/>
          <w:szCs w:val="22"/>
          <w:bdr w:val="none" w:sz="0" w:space="0" w:color="auto" w:frame="1"/>
          <w:lang w:val="es-ES"/>
        </w:rPr>
        <w:t xml:space="preserve">Expedir a nombre de la empresa INTELSAT US LLC, el Certificado de Registro del satélite GALAXY 28 (G-28) en la posición orbital 271.3° Longitud Este. </w:t>
      </w:r>
    </w:p>
    <w:p w14:paraId="13F8DE94" w14:textId="4C8E8542" w:rsidR="000B1D35" w:rsidRPr="000B1D35" w:rsidRDefault="000B1D35" w:rsidP="00747677">
      <w:pPr>
        <w:pStyle w:val="xmsobodytext"/>
        <w:shd w:val="clear" w:color="auto" w:fill="FFFFFF"/>
        <w:spacing w:before="240" w:beforeAutospacing="0" w:after="0" w:afterAutospacing="0"/>
        <w:jc w:val="both"/>
        <w:rPr>
          <w:rFonts w:ascii="Arial" w:hAnsi="Arial" w:cs="Arial"/>
          <w:sz w:val="22"/>
          <w:szCs w:val="22"/>
        </w:rPr>
      </w:pPr>
      <w:r w:rsidRPr="000B1D35">
        <w:rPr>
          <w:rFonts w:ascii="Arial" w:hAnsi="Arial" w:cs="Arial"/>
          <w:b/>
          <w:sz w:val="22"/>
          <w:szCs w:val="22"/>
          <w:lang w:val="es-ES"/>
        </w:rPr>
        <w:t xml:space="preserve">Artículo </w:t>
      </w:r>
      <w:r w:rsidR="004D4BD1">
        <w:rPr>
          <w:rFonts w:ascii="Arial" w:hAnsi="Arial" w:cs="Arial"/>
          <w:b/>
          <w:sz w:val="22"/>
          <w:szCs w:val="22"/>
          <w:lang w:val="es-ES"/>
        </w:rPr>
        <w:t>4</w:t>
      </w:r>
      <w:r w:rsidRPr="000B1D35">
        <w:rPr>
          <w:rFonts w:ascii="Arial" w:hAnsi="Arial" w:cs="Arial"/>
          <w:b/>
          <w:sz w:val="22"/>
          <w:szCs w:val="22"/>
          <w:lang w:val="es-ES"/>
        </w:rPr>
        <w:t>.-</w:t>
      </w:r>
      <w:r w:rsidRPr="000B1D35">
        <w:rPr>
          <w:rFonts w:ascii="Arial" w:hAnsi="Arial" w:cs="Arial"/>
          <w:sz w:val="22"/>
          <w:szCs w:val="22"/>
          <w:lang w:val="es-ES"/>
        </w:rPr>
        <w:t xml:space="preserve"> Comuníquese a los Países Miembros la presente Resolución, la cual </w:t>
      </w:r>
      <w:proofErr w:type="gramStart"/>
      <w:r w:rsidRPr="000B1D35">
        <w:rPr>
          <w:rFonts w:ascii="Arial" w:hAnsi="Arial" w:cs="Arial"/>
          <w:sz w:val="22"/>
          <w:szCs w:val="22"/>
          <w:lang w:val="es-ES"/>
        </w:rPr>
        <w:t>entrará en vigencia</w:t>
      </w:r>
      <w:proofErr w:type="gramEnd"/>
      <w:r w:rsidRPr="000B1D35">
        <w:rPr>
          <w:rFonts w:ascii="Arial" w:hAnsi="Arial" w:cs="Arial"/>
          <w:sz w:val="22"/>
          <w:szCs w:val="22"/>
          <w:lang w:val="es-ES"/>
        </w:rPr>
        <w:t xml:space="preserve"> a partir de su fecha de publicación en la Gaceta Oficial del Acuerdo de Cartagena.</w:t>
      </w:r>
    </w:p>
    <w:p w14:paraId="4D7F9028" w14:textId="77777777" w:rsidR="000B1D35" w:rsidRPr="000B1D35" w:rsidRDefault="000B1D35" w:rsidP="000B1D35">
      <w:pPr>
        <w:pStyle w:val="xmsonormal"/>
        <w:shd w:val="clear" w:color="auto" w:fill="FFFFFF"/>
        <w:spacing w:before="240" w:beforeAutospacing="0" w:after="0" w:afterAutospacing="0"/>
        <w:jc w:val="both"/>
        <w:rPr>
          <w:rFonts w:ascii="Arial" w:hAnsi="Arial" w:cs="Arial"/>
          <w:sz w:val="22"/>
          <w:szCs w:val="22"/>
        </w:rPr>
      </w:pPr>
      <w:r w:rsidRPr="000B1D35">
        <w:rPr>
          <w:rFonts w:ascii="Arial" w:hAnsi="Arial" w:cs="Arial"/>
          <w:sz w:val="22"/>
          <w:szCs w:val="22"/>
          <w:bdr w:val="none" w:sz="0" w:space="0" w:color="auto" w:frame="1"/>
          <w:lang w:val="es-ES"/>
        </w:rPr>
        <w:t xml:space="preserve">Dada en la ciudad de Lima, Perú, a los </w:t>
      </w:r>
      <w:r w:rsidRPr="005A502F">
        <w:rPr>
          <w:rFonts w:ascii="Arial" w:hAnsi="Arial" w:cs="Arial"/>
          <w:sz w:val="22"/>
          <w:szCs w:val="22"/>
          <w:bdr w:val="none" w:sz="0" w:space="0" w:color="auto" w:frame="1"/>
          <w:lang w:val="es-ES"/>
        </w:rPr>
        <w:t>veinticuatro</w:t>
      </w:r>
      <w:r w:rsidRPr="000B1D35">
        <w:rPr>
          <w:rFonts w:ascii="Arial" w:hAnsi="Arial" w:cs="Arial"/>
          <w:sz w:val="22"/>
          <w:szCs w:val="22"/>
          <w:bdr w:val="none" w:sz="0" w:space="0" w:color="auto" w:frame="1"/>
          <w:lang w:val="es-ES"/>
        </w:rPr>
        <w:t xml:space="preserve"> días del mes de abril del año dos mil veinticuatro.</w:t>
      </w:r>
    </w:p>
    <w:p w14:paraId="31CA37CF" w14:textId="77777777" w:rsidR="000B1D35" w:rsidRDefault="000B1D35" w:rsidP="000B1D35">
      <w:pPr>
        <w:pStyle w:val="Textoindependiente"/>
        <w:jc w:val="both"/>
        <w:rPr>
          <w:noProof/>
          <w:lang w:val="es-PE"/>
        </w:rPr>
      </w:pPr>
    </w:p>
    <w:p w14:paraId="0CB2D763" w14:textId="77777777" w:rsidR="005A502F" w:rsidRDefault="005A502F" w:rsidP="000B1D35">
      <w:pPr>
        <w:pStyle w:val="Textoindependiente"/>
        <w:jc w:val="both"/>
        <w:rPr>
          <w:noProof/>
          <w:lang w:val="es-PE"/>
        </w:rPr>
      </w:pPr>
    </w:p>
    <w:p w14:paraId="73E25CFF" w14:textId="77777777" w:rsidR="005A502F" w:rsidRPr="000B1D35" w:rsidRDefault="005A502F" w:rsidP="000B1D35">
      <w:pPr>
        <w:pStyle w:val="Textoindependiente"/>
        <w:jc w:val="both"/>
        <w:rPr>
          <w:noProof/>
          <w:lang w:val="es-PE"/>
        </w:rPr>
      </w:pPr>
    </w:p>
    <w:p w14:paraId="35CBBB8B" w14:textId="77777777" w:rsidR="000B1D35" w:rsidRPr="000B1D35" w:rsidRDefault="000B1D35" w:rsidP="000B1D35">
      <w:pPr>
        <w:pStyle w:val="Textoindependiente"/>
        <w:jc w:val="both"/>
        <w:rPr>
          <w:noProof/>
          <w:lang w:val="es-PE"/>
        </w:rPr>
      </w:pPr>
    </w:p>
    <w:p w14:paraId="63E697F0" w14:textId="77777777" w:rsidR="000B1D35" w:rsidRPr="000B1D35" w:rsidRDefault="000B1D35" w:rsidP="000B1D35">
      <w:pPr>
        <w:pStyle w:val="Textoindependiente"/>
        <w:jc w:val="both"/>
        <w:rPr>
          <w:noProof/>
          <w:lang w:val="es-PE"/>
        </w:rPr>
      </w:pPr>
    </w:p>
    <w:p w14:paraId="205FC73A" w14:textId="77777777" w:rsidR="000B1D35" w:rsidRPr="000B1D35" w:rsidRDefault="000B1D35" w:rsidP="000B1D35">
      <w:pPr>
        <w:pStyle w:val="Textoindependiente"/>
        <w:jc w:val="both"/>
        <w:rPr>
          <w:noProof/>
          <w:lang w:val="es-PE"/>
        </w:rPr>
      </w:pPr>
    </w:p>
    <w:p w14:paraId="156ACB46" w14:textId="77777777" w:rsidR="000B1D35" w:rsidRPr="000B1D35" w:rsidRDefault="000B1D35" w:rsidP="000B1D35">
      <w:pPr>
        <w:pStyle w:val="Textoindependiente"/>
        <w:jc w:val="both"/>
        <w:rPr>
          <w:noProof/>
          <w:lang w:val="es-PE"/>
        </w:rPr>
      </w:pPr>
    </w:p>
    <w:p w14:paraId="3D04EFAE" w14:textId="66BA6C31" w:rsidR="000B1D35" w:rsidRPr="000B1D35" w:rsidRDefault="000B1D35" w:rsidP="000B1D35">
      <w:pPr>
        <w:pStyle w:val="Textoindependiente"/>
        <w:jc w:val="center"/>
        <w:rPr>
          <w:noProof/>
          <w:lang w:val="es-PE"/>
        </w:rPr>
      </w:pPr>
      <w:r w:rsidRPr="000B1D35">
        <w:rPr>
          <w:noProof/>
          <w:lang w:val="es-PE"/>
        </w:rPr>
        <w:t>Gonzalo Gutiérrez</w:t>
      </w:r>
      <w:r w:rsidR="007110BF">
        <w:rPr>
          <w:noProof/>
          <w:lang w:val="es-PE"/>
        </w:rPr>
        <w:t xml:space="preserve"> Reinel</w:t>
      </w:r>
    </w:p>
    <w:p w14:paraId="016BC958" w14:textId="77777777" w:rsidR="000B1D35" w:rsidRPr="000B1D35" w:rsidRDefault="000B1D35" w:rsidP="000B1D35">
      <w:pPr>
        <w:pStyle w:val="Textoindependiente"/>
        <w:jc w:val="center"/>
        <w:rPr>
          <w:noProof/>
          <w:lang w:val="es-PE"/>
        </w:rPr>
      </w:pPr>
      <w:r w:rsidRPr="000B1D35">
        <w:rPr>
          <w:noProof/>
          <w:lang w:val="es-PE"/>
        </w:rPr>
        <w:t>Embajador</w:t>
      </w:r>
    </w:p>
    <w:p w14:paraId="1F17F45C" w14:textId="77777777" w:rsidR="000B1D35" w:rsidRPr="000B1D35" w:rsidRDefault="000B1D35" w:rsidP="000B1D35">
      <w:pPr>
        <w:pStyle w:val="Textoindependiente"/>
        <w:jc w:val="center"/>
        <w:rPr>
          <w:lang w:val="es-PE"/>
        </w:rPr>
      </w:pPr>
      <w:r w:rsidRPr="000B1D35">
        <w:rPr>
          <w:noProof/>
          <w:lang w:val="es-PE"/>
        </w:rPr>
        <w:t>Secretario General</w:t>
      </w:r>
    </w:p>
    <w:bookmarkEnd w:id="1"/>
    <w:p w14:paraId="75063A85" w14:textId="77777777" w:rsidR="000B1D35" w:rsidRPr="000B1D35" w:rsidRDefault="000B1D35" w:rsidP="000B1D35">
      <w:pPr>
        <w:jc w:val="both"/>
        <w:rPr>
          <w:rFonts w:ascii="Arial" w:hAnsi="Arial" w:cs="Arial"/>
          <w:lang w:val="es-ES"/>
        </w:rPr>
      </w:pPr>
    </w:p>
    <w:p w14:paraId="0B000881" w14:textId="77777777" w:rsidR="000B1D35" w:rsidRPr="000B1D35" w:rsidRDefault="000B1D35" w:rsidP="000B1D35">
      <w:pPr>
        <w:jc w:val="both"/>
        <w:rPr>
          <w:rFonts w:ascii="Arial" w:hAnsi="Arial" w:cs="Arial"/>
          <w:lang w:val="es-ES"/>
        </w:rPr>
      </w:pPr>
    </w:p>
    <w:p w14:paraId="1B52E241" w14:textId="77777777" w:rsidR="000B1D35" w:rsidRPr="000B1D35" w:rsidRDefault="000B1D35" w:rsidP="000B1D35">
      <w:pPr>
        <w:jc w:val="both"/>
        <w:rPr>
          <w:rFonts w:ascii="Arial" w:eastAsia="Arial" w:hAnsi="Arial" w:cs="Arial"/>
          <w:kern w:val="0"/>
          <w:lang w:val="es-ES"/>
          <w14:ligatures w14:val="none"/>
        </w:rPr>
      </w:pPr>
    </w:p>
    <w:p w14:paraId="55BEA397" w14:textId="77777777" w:rsidR="000B1D35" w:rsidRPr="000B1D35" w:rsidRDefault="000B1D35" w:rsidP="000B1D35">
      <w:pPr>
        <w:tabs>
          <w:tab w:val="left" w:pos="6586"/>
        </w:tabs>
        <w:jc w:val="both"/>
        <w:rPr>
          <w:rFonts w:ascii="Arial" w:hAnsi="Arial" w:cs="Arial"/>
          <w:lang w:val="es-ES"/>
        </w:rPr>
      </w:pPr>
      <w:r w:rsidRPr="000B1D35">
        <w:rPr>
          <w:rFonts w:ascii="Arial" w:hAnsi="Arial" w:cs="Arial"/>
          <w:lang w:val="es-ES"/>
        </w:rPr>
        <w:tab/>
      </w:r>
      <w:bookmarkEnd w:id="0"/>
    </w:p>
    <w:p w14:paraId="432E078C" w14:textId="77777777" w:rsidR="0070568E" w:rsidRPr="000B1D35" w:rsidRDefault="0070568E">
      <w:pPr>
        <w:rPr>
          <w:rFonts w:ascii="Arial" w:hAnsi="Arial" w:cs="Arial"/>
        </w:rPr>
      </w:pPr>
    </w:p>
    <w:sectPr w:rsidR="0070568E" w:rsidRPr="000B1D35" w:rsidSect="005760F1">
      <w:pgSz w:w="12240" w:h="15840"/>
      <w:pgMar w:top="1338" w:right="1582" w:bottom="1276" w:left="15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FA"/>
    <w:rsid w:val="00076487"/>
    <w:rsid w:val="000B1D35"/>
    <w:rsid w:val="0010359E"/>
    <w:rsid w:val="001A2EAF"/>
    <w:rsid w:val="00226BF6"/>
    <w:rsid w:val="00257B7B"/>
    <w:rsid w:val="00287F42"/>
    <w:rsid w:val="00295B8A"/>
    <w:rsid w:val="002D38CD"/>
    <w:rsid w:val="00493EDD"/>
    <w:rsid w:val="004B258B"/>
    <w:rsid w:val="004D4BD1"/>
    <w:rsid w:val="00547C9A"/>
    <w:rsid w:val="00563CEA"/>
    <w:rsid w:val="00570E59"/>
    <w:rsid w:val="005760F1"/>
    <w:rsid w:val="00587795"/>
    <w:rsid w:val="005977BE"/>
    <w:rsid w:val="005A502F"/>
    <w:rsid w:val="005E3925"/>
    <w:rsid w:val="0070568E"/>
    <w:rsid w:val="007110BF"/>
    <w:rsid w:val="00747677"/>
    <w:rsid w:val="0075485B"/>
    <w:rsid w:val="007851E9"/>
    <w:rsid w:val="008437CC"/>
    <w:rsid w:val="00954276"/>
    <w:rsid w:val="009678AE"/>
    <w:rsid w:val="00A435E9"/>
    <w:rsid w:val="00A9603E"/>
    <w:rsid w:val="00C714DD"/>
    <w:rsid w:val="00CC5379"/>
    <w:rsid w:val="00CD14CA"/>
    <w:rsid w:val="00CF37DD"/>
    <w:rsid w:val="00D517F3"/>
    <w:rsid w:val="00E36FFA"/>
    <w:rsid w:val="00E54CDA"/>
    <w:rsid w:val="00F50480"/>
    <w:rsid w:val="00FA51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61B1"/>
  <w15:chartTrackingRefBased/>
  <w15:docId w15:val="{49695FD6-D073-4530-AE21-D4756561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5"/>
  </w:style>
  <w:style w:type="paragraph" w:styleId="Ttulo1">
    <w:name w:val="heading 1"/>
    <w:basedOn w:val="Normal"/>
    <w:next w:val="Normal"/>
    <w:link w:val="Ttulo1Car"/>
    <w:uiPriority w:val="9"/>
    <w:qFormat/>
    <w:rsid w:val="00E36F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36F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36FF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36FF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36FF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36FF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36FF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36FF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36FF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FF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36FF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36FF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36FF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36FF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36FF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36FF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36FF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36FFA"/>
    <w:rPr>
      <w:rFonts w:eastAsiaTheme="majorEastAsia" w:cstheme="majorBidi"/>
      <w:color w:val="272727" w:themeColor="text1" w:themeTint="D8"/>
    </w:rPr>
  </w:style>
  <w:style w:type="paragraph" w:styleId="Ttulo">
    <w:name w:val="Title"/>
    <w:basedOn w:val="Normal"/>
    <w:next w:val="Normal"/>
    <w:link w:val="TtuloCar"/>
    <w:uiPriority w:val="10"/>
    <w:qFormat/>
    <w:rsid w:val="00E36F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6FF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36FF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36FF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36FFA"/>
    <w:pPr>
      <w:spacing w:before="160"/>
      <w:jc w:val="center"/>
    </w:pPr>
    <w:rPr>
      <w:i/>
      <w:iCs/>
      <w:color w:val="404040" w:themeColor="text1" w:themeTint="BF"/>
    </w:rPr>
  </w:style>
  <w:style w:type="character" w:customStyle="1" w:styleId="CitaCar">
    <w:name w:val="Cita Car"/>
    <w:basedOn w:val="Fuentedeprrafopredeter"/>
    <w:link w:val="Cita"/>
    <w:uiPriority w:val="29"/>
    <w:rsid w:val="00E36FFA"/>
    <w:rPr>
      <w:i/>
      <w:iCs/>
      <w:color w:val="404040" w:themeColor="text1" w:themeTint="BF"/>
    </w:rPr>
  </w:style>
  <w:style w:type="paragraph" w:styleId="Prrafodelista">
    <w:name w:val="List Paragraph"/>
    <w:basedOn w:val="Normal"/>
    <w:uiPriority w:val="34"/>
    <w:qFormat/>
    <w:rsid w:val="00E36FFA"/>
    <w:pPr>
      <w:ind w:left="720"/>
      <w:contextualSpacing/>
    </w:pPr>
  </w:style>
  <w:style w:type="character" w:styleId="nfasisintenso">
    <w:name w:val="Intense Emphasis"/>
    <w:basedOn w:val="Fuentedeprrafopredeter"/>
    <w:uiPriority w:val="21"/>
    <w:qFormat/>
    <w:rsid w:val="00E36FFA"/>
    <w:rPr>
      <w:i/>
      <w:iCs/>
      <w:color w:val="0F4761" w:themeColor="accent1" w:themeShade="BF"/>
    </w:rPr>
  </w:style>
  <w:style w:type="paragraph" w:styleId="Citadestacada">
    <w:name w:val="Intense Quote"/>
    <w:basedOn w:val="Normal"/>
    <w:next w:val="Normal"/>
    <w:link w:val="CitadestacadaCar"/>
    <w:uiPriority w:val="30"/>
    <w:qFormat/>
    <w:rsid w:val="00E36F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36FFA"/>
    <w:rPr>
      <w:i/>
      <w:iCs/>
      <w:color w:val="0F4761" w:themeColor="accent1" w:themeShade="BF"/>
    </w:rPr>
  </w:style>
  <w:style w:type="character" w:styleId="Referenciaintensa">
    <w:name w:val="Intense Reference"/>
    <w:basedOn w:val="Fuentedeprrafopredeter"/>
    <w:uiPriority w:val="32"/>
    <w:qFormat/>
    <w:rsid w:val="00E36FFA"/>
    <w:rPr>
      <w:b/>
      <w:bCs/>
      <w:smallCaps/>
      <w:color w:val="0F4761" w:themeColor="accent1" w:themeShade="BF"/>
      <w:spacing w:val="5"/>
    </w:rPr>
  </w:style>
  <w:style w:type="paragraph" w:styleId="Textoindependiente">
    <w:name w:val="Body Text"/>
    <w:basedOn w:val="Normal"/>
    <w:link w:val="TextoindependienteCar"/>
    <w:uiPriority w:val="1"/>
    <w:qFormat/>
    <w:rsid w:val="000B1D35"/>
    <w:pPr>
      <w:widowControl w:val="0"/>
      <w:autoSpaceDE w:val="0"/>
      <w:autoSpaceDN w:val="0"/>
      <w:spacing w:after="0" w:line="240" w:lineRule="auto"/>
    </w:pPr>
    <w:rPr>
      <w:rFonts w:ascii="Arial" w:eastAsia="Arial" w:hAnsi="Arial" w:cs="Arial"/>
      <w:kern w:val="0"/>
      <w:lang w:val="es-ES"/>
      <w14:ligatures w14:val="none"/>
    </w:rPr>
  </w:style>
  <w:style w:type="character" w:customStyle="1" w:styleId="TextoindependienteCar">
    <w:name w:val="Texto independiente Car"/>
    <w:basedOn w:val="Fuentedeprrafopredeter"/>
    <w:link w:val="Textoindependiente"/>
    <w:uiPriority w:val="1"/>
    <w:rsid w:val="000B1D35"/>
    <w:rPr>
      <w:rFonts w:ascii="Arial" w:eastAsia="Arial" w:hAnsi="Arial" w:cs="Arial"/>
      <w:kern w:val="0"/>
      <w:lang w:val="es-ES"/>
      <w14:ligatures w14:val="none"/>
    </w:rPr>
  </w:style>
  <w:style w:type="paragraph" w:customStyle="1" w:styleId="Default">
    <w:name w:val="Default"/>
    <w:rsid w:val="000B1D35"/>
    <w:pPr>
      <w:autoSpaceDE w:val="0"/>
      <w:autoSpaceDN w:val="0"/>
      <w:adjustRightInd w:val="0"/>
      <w:spacing w:after="0" w:line="240" w:lineRule="auto"/>
    </w:pPr>
    <w:rPr>
      <w:rFonts w:ascii="Arial" w:hAnsi="Arial" w:cs="Arial"/>
      <w:color w:val="000000"/>
      <w:kern w:val="0"/>
      <w:sz w:val="24"/>
      <w:szCs w:val="24"/>
    </w:rPr>
  </w:style>
  <w:style w:type="paragraph" w:customStyle="1" w:styleId="xmsobodytext">
    <w:name w:val="x_msobodytext"/>
    <w:basedOn w:val="Normal"/>
    <w:rsid w:val="000B1D35"/>
    <w:pPr>
      <w:spacing w:before="100" w:beforeAutospacing="1" w:after="100" w:afterAutospacing="1" w:line="240" w:lineRule="auto"/>
    </w:pPr>
    <w:rPr>
      <w:rFonts w:ascii="Times New Roman" w:eastAsia="Times New Roman" w:hAnsi="Times New Roman" w:cs="Times New Roman"/>
      <w:kern w:val="0"/>
      <w:sz w:val="24"/>
      <w:szCs w:val="24"/>
      <w:lang w:val="es-PE" w:eastAsia="es-PE"/>
      <w14:ligatures w14:val="none"/>
    </w:rPr>
  </w:style>
  <w:style w:type="paragraph" w:customStyle="1" w:styleId="xmsonormal">
    <w:name w:val="x_msonormal"/>
    <w:basedOn w:val="Normal"/>
    <w:rsid w:val="000B1D35"/>
    <w:pPr>
      <w:spacing w:before="100" w:beforeAutospacing="1" w:after="100" w:afterAutospacing="1" w:line="240" w:lineRule="auto"/>
    </w:pPr>
    <w:rPr>
      <w:rFonts w:ascii="Times New Roman" w:eastAsia="Times New Roman" w:hAnsi="Times New Roman" w:cs="Times New Roman"/>
      <w:kern w:val="0"/>
      <w:sz w:val="24"/>
      <w:szCs w:val="24"/>
      <w:lang w:val="es-PE" w:eastAsia="es-PE"/>
      <w14:ligatures w14:val="none"/>
    </w:rPr>
  </w:style>
  <w:style w:type="character" w:styleId="Refdecomentario">
    <w:name w:val="annotation reference"/>
    <w:basedOn w:val="Fuentedeprrafopredeter"/>
    <w:uiPriority w:val="99"/>
    <w:semiHidden/>
    <w:unhideWhenUsed/>
    <w:rsid w:val="000B1D35"/>
    <w:rPr>
      <w:sz w:val="16"/>
      <w:szCs w:val="16"/>
    </w:rPr>
  </w:style>
  <w:style w:type="paragraph" w:styleId="Textocomentario">
    <w:name w:val="annotation text"/>
    <w:basedOn w:val="Normal"/>
    <w:link w:val="TextocomentarioCar"/>
    <w:uiPriority w:val="99"/>
    <w:unhideWhenUsed/>
    <w:rsid w:val="000B1D35"/>
    <w:pPr>
      <w:spacing w:line="240" w:lineRule="auto"/>
    </w:pPr>
    <w:rPr>
      <w:sz w:val="20"/>
      <w:szCs w:val="20"/>
    </w:rPr>
  </w:style>
  <w:style w:type="character" w:customStyle="1" w:styleId="TextocomentarioCar">
    <w:name w:val="Texto comentario Car"/>
    <w:basedOn w:val="Fuentedeprrafopredeter"/>
    <w:link w:val="Textocomentario"/>
    <w:uiPriority w:val="99"/>
    <w:rsid w:val="000B1D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dc:creator>
  <cp:keywords/>
  <dc:description/>
  <cp:lastModifiedBy>Henrry Edgardo Flores Goyburo</cp:lastModifiedBy>
  <cp:revision>38</cp:revision>
  <dcterms:created xsi:type="dcterms:W3CDTF">2024-04-22T22:14:00Z</dcterms:created>
  <dcterms:modified xsi:type="dcterms:W3CDTF">2024-04-24T16:06:00Z</dcterms:modified>
</cp:coreProperties>
</file>