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F6380" w14:textId="07C7FB4F" w:rsidR="0022679C" w:rsidRDefault="0022679C" w:rsidP="00D037CD">
      <w:pPr>
        <w:pStyle w:val="Sinespaciado"/>
        <w:jc w:val="center"/>
        <w:rPr>
          <w:rFonts w:ascii="Arial" w:hAnsi="Arial" w:cs="Arial"/>
          <w:b/>
          <w:color w:val="000000" w:themeColor="text1"/>
        </w:rPr>
      </w:pPr>
      <w:r>
        <w:rPr>
          <w:rFonts w:ascii="Times New Roman"/>
          <w:noProof/>
          <w:sz w:val="20"/>
          <w:lang w:eastAsia="es-PE"/>
        </w:rPr>
        <w:drawing>
          <wp:anchor distT="0" distB="0" distL="114300" distR="114300" simplePos="0" relativeHeight="251659264" behindDoc="0" locked="0" layoutInCell="1" allowOverlap="1" wp14:anchorId="76F90978" wp14:editId="0BA28199">
            <wp:simplePos x="0" y="0"/>
            <wp:positionH relativeFrom="margin">
              <wp:posOffset>-57150</wp:posOffset>
            </wp:positionH>
            <wp:positionV relativeFrom="paragraph">
              <wp:posOffset>2540</wp:posOffset>
            </wp:positionV>
            <wp:extent cx="1859210" cy="438245"/>
            <wp:effectExtent l="0" t="0" r="8255" b="0"/>
            <wp:wrapSquare wrapText="bothSides"/>
            <wp:docPr id="1489166278" name="Image 1" descr="Imagen que contiene Texto  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Imagen que contiene Texto  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9210" cy="438245"/>
                    </a:xfrm>
                    <a:prstGeom prst="rect">
                      <a:avLst/>
                    </a:prstGeom>
                  </pic:spPr>
                </pic:pic>
              </a:graphicData>
            </a:graphic>
            <wp14:sizeRelH relativeFrom="page">
              <wp14:pctWidth>0</wp14:pctWidth>
            </wp14:sizeRelH>
            <wp14:sizeRelV relativeFrom="page">
              <wp14:pctHeight>0</wp14:pctHeight>
            </wp14:sizeRelV>
          </wp:anchor>
        </w:drawing>
      </w:r>
    </w:p>
    <w:p w14:paraId="2B319E85" w14:textId="6EFF8554" w:rsidR="0022679C" w:rsidRDefault="0022679C" w:rsidP="00D037CD">
      <w:pPr>
        <w:pStyle w:val="Sinespaciado"/>
        <w:jc w:val="center"/>
        <w:rPr>
          <w:rFonts w:ascii="Arial" w:hAnsi="Arial" w:cs="Arial"/>
          <w:b/>
          <w:color w:val="000000" w:themeColor="text1"/>
        </w:rPr>
      </w:pPr>
    </w:p>
    <w:p w14:paraId="4171B2A6" w14:textId="77777777" w:rsidR="0022679C" w:rsidRDefault="0022679C" w:rsidP="00D037CD">
      <w:pPr>
        <w:pStyle w:val="Sinespaciado"/>
        <w:jc w:val="center"/>
        <w:rPr>
          <w:rFonts w:ascii="Arial" w:hAnsi="Arial" w:cs="Arial"/>
          <w:b/>
          <w:color w:val="000000" w:themeColor="text1"/>
        </w:rPr>
      </w:pPr>
    </w:p>
    <w:p w14:paraId="3384806E" w14:textId="77777777" w:rsidR="0022679C" w:rsidRDefault="0022679C" w:rsidP="00D037CD">
      <w:pPr>
        <w:pStyle w:val="Sinespaciado"/>
        <w:jc w:val="center"/>
        <w:rPr>
          <w:rFonts w:ascii="Arial" w:hAnsi="Arial" w:cs="Arial"/>
          <w:b/>
          <w:color w:val="000000" w:themeColor="text1"/>
        </w:rPr>
      </w:pPr>
    </w:p>
    <w:p w14:paraId="15BA827C" w14:textId="77777777" w:rsidR="0022679C" w:rsidRDefault="0022679C" w:rsidP="00D037CD">
      <w:pPr>
        <w:pStyle w:val="Sinespaciado"/>
        <w:jc w:val="center"/>
        <w:rPr>
          <w:rFonts w:ascii="Arial" w:hAnsi="Arial" w:cs="Arial"/>
          <w:b/>
          <w:color w:val="000000" w:themeColor="text1"/>
        </w:rPr>
      </w:pPr>
    </w:p>
    <w:p w14:paraId="36D25BE2" w14:textId="0A811977" w:rsidR="0084532C" w:rsidRPr="0022679C" w:rsidRDefault="00D037CD" w:rsidP="00D037CD">
      <w:pPr>
        <w:pStyle w:val="Sinespaciado"/>
        <w:jc w:val="center"/>
        <w:rPr>
          <w:rFonts w:ascii="Arial" w:hAnsi="Arial" w:cs="Arial"/>
          <w:b/>
          <w:color w:val="000000" w:themeColor="text1"/>
          <w:u w:val="single"/>
        </w:rPr>
      </w:pPr>
      <w:r w:rsidRPr="0022679C">
        <w:rPr>
          <w:rFonts w:ascii="Arial" w:hAnsi="Arial" w:cs="Arial"/>
          <w:b/>
          <w:color w:val="000000" w:themeColor="text1"/>
          <w:u w:val="single"/>
        </w:rPr>
        <w:t xml:space="preserve">RESOLUCIÓN N° </w:t>
      </w:r>
      <w:r w:rsidR="0022679C">
        <w:rPr>
          <w:rFonts w:ascii="Arial" w:hAnsi="Arial" w:cs="Arial"/>
          <w:b/>
          <w:color w:val="000000" w:themeColor="text1"/>
          <w:u w:val="single"/>
        </w:rPr>
        <w:t>238</w:t>
      </w:r>
      <w:r w:rsidR="00DE7167">
        <w:rPr>
          <w:rFonts w:ascii="Arial" w:hAnsi="Arial" w:cs="Arial"/>
          <w:b/>
          <w:color w:val="000000" w:themeColor="text1"/>
          <w:u w:val="single"/>
        </w:rPr>
        <w:t>5</w:t>
      </w:r>
    </w:p>
    <w:p w14:paraId="04388C75" w14:textId="77777777" w:rsidR="00D037CD" w:rsidRPr="007474A6" w:rsidRDefault="00D037CD" w:rsidP="00D037CD">
      <w:pPr>
        <w:pStyle w:val="Sinespaciado"/>
        <w:jc w:val="center"/>
        <w:rPr>
          <w:rFonts w:ascii="Arial" w:hAnsi="Arial" w:cs="Arial"/>
          <w:b/>
          <w:color w:val="000000" w:themeColor="text1"/>
        </w:rPr>
      </w:pPr>
    </w:p>
    <w:p w14:paraId="6B9CCF27" w14:textId="35911FC9" w:rsidR="00B22C35" w:rsidRPr="007474A6" w:rsidRDefault="00DE7167" w:rsidP="0022679C">
      <w:pPr>
        <w:spacing w:after="0" w:line="240" w:lineRule="auto"/>
        <w:ind w:left="4962"/>
        <w:jc w:val="both"/>
        <w:rPr>
          <w:rFonts w:ascii="Arial" w:hAnsi="Arial" w:cs="Arial"/>
          <w:color w:val="000000" w:themeColor="text1"/>
        </w:rPr>
      </w:pPr>
      <w:r w:rsidRPr="00ED4383">
        <w:rPr>
          <w:rFonts w:ascii="Arial" w:eastAsia="Calibri" w:hAnsi="Arial" w:cs="Arial"/>
          <w:color w:val="000000" w:themeColor="text1"/>
        </w:rPr>
        <w:t>Declara inadmisible el rec</w:t>
      </w:r>
      <w:r w:rsidRPr="00ED4383">
        <w:rPr>
          <w:rFonts w:ascii="Arial" w:hAnsi="Arial" w:cs="Arial"/>
          <w:color w:val="000000" w:themeColor="text1"/>
        </w:rPr>
        <w:t xml:space="preserve">lamo interpuesto por el señor Jaime Wilfredo Cuellar </w:t>
      </w:r>
      <w:proofErr w:type="spellStart"/>
      <w:r w:rsidRPr="00ED4383">
        <w:rPr>
          <w:rFonts w:ascii="Arial" w:hAnsi="Arial" w:cs="Arial"/>
          <w:color w:val="000000" w:themeColor="text1"/>
        </w:rPr>
        <w:t>Imaña</w:t>
      </w:r>
      <w:proofErr w:type="spellEnd"/>
      <w:r w:rsidRPr="00ED4383">
        <w:rPr>
          <w:rFonts w:ascii="Arial" w:hAnsi="Arial" w:cs="Arial"/>
          <w:color w:val="000000" w:themeColor="text1"/>
        </w:rPr>
        <w:t xml:space="preserve"> contra el Estado Plurinacional de Bolivia, por presunto incumplimiento de normas comunitarias. </w:t>
      </w:r>
      <w:r w:rsidRPr="00ED4383">
        <w:rPr>
          <w:rFonts w:ascii="Arial" w:hAnsi="Arial" w:cs="Arial"/>
          <w:color w:val="000000" w:themeColor="text1"/>
          <w:u w:val="single"/>
        </w:rPr>
        <w:t>Expediente FP/04/2024</w:t>
      </w:r>
      <w:r w:rsidR="0095367B" w:rsidRPr="007474A6">
        <w:rPr>
          <w:rFonts w:ascii="Arial" w:hAnsi="Arial" w:cs="Arial"/>
          <w:color w:val="000000" w:themeColor="text1"/>
          <w:u w:val="single"/>
        </w:rPr>
        <w:t>.</w:t>
      </w:r>
    </w:p>
    <w:p w14:paraId="7315C909" w14:textId="77777777" w:rsidR="00D037CD" w:rsidRPr="007474A6" w:rsidRDefault="00D037CD" w:rsidP="00D037CD">
      <w:pPr>
        <w:spacing w:after="0" w:line="240" w:lineRule="auto"/>
        <w:ind w:left="4248"/>
        <w:jc w:val="both"/>
        <w:rPr>
          <w:rFonts w:ascii="Arial" w:hAnsi="Arial" w:cs="Arial"/>
          <w:color w:val="000000" w:themeColor="text1"/>
        </w:rPr>
      </w:pPr>
    </w:p>
    <w:p w14:paraId="7A27ACF9" w14:textId="77777777" w:rsidR="00D037CD" w:rsidRPr="007474A6" w:rsidRDefault="00D037CD" w:rsidP="00D037CD">
      <w:pPr>
        <w:spacing w:after="0" w:line="240" w:lineRule="auto"/>
        <w:ind w:left="4248"/>
        <w:jc w:val="both"/>
        <w:rPr>
          <w:rFonts w:ascii="Arial" w:hAnsi="Arial" w:cs="Arial"/>
          <w:color w:val="000000" w:themeColor="text1"/>
        </w:rPr>
      </w:pPr>
    </w:p>
    <w:p w14:paraId="0043C82A" w14:textId="77777777" w:rsidR="00D037CD" w:rsidRPr="007474A6" w:rsidRDefault="00D037CD" w:rsidP="00D037CD">
      <w:pPr>
        <w:spacing w:after="0" w:line="240" w:lineRule="auto"/>
        <w:rPr>
          <w:rFonts w:ascii="Arial" w:hAnsi="Arial" w:cs="Arial"/>
          <w:b/>
          <w:color w:val="000000" w:themeColor="text1"/>
        </w:rPr>
      </w:pPr>
      <w:r w:rsidRPr="007474A6">
        <w:rPr>
          <w:rFonts w:ascii="Arial" w:hAnsi="Arial" w:cs="Arial"/>
          <w:b/>
          <w:color w:val="000000" w:themeColor="text1"/>
        </w:rPr>
        <w:t>LA SECRETARÍA GENERAL DE LA COMUNIDAD ANDINA;</w:t>
      </w:r>
    </w:p>
    <w:p w14:paraId="4362A96E" w14:textId="77777777" w:rsidR="00D037CD" w:rsidRPr="007474A6" w:rsidRDefault="00D037CD" w:rsidP="00D037CD">
      <w:pPr>
        <w:spacing w:after="0" w:line="240" w:lineRule="auto"/>
        <w:rPr>
          <w:rFonts w:ascii="Arial" w:hAnsi="Arial" w:cs="Arial"/>
          <w:color w:val="000000" w:themeColor="text1"/>
        </w:rPr>
      </w:pPr>
    </w:p>
    <w:p w14:paraId="3B0AC751" w14:textId="315B71ED" w:rsidR="00D037CD" w:rsidRPr="007474A6" w:rsidRDefault="00D037CD" w:rsidP="00D037CD">
      <w:pPr>
        <w:spacing w:after="0" w:line="240" w:lineRule="auto"/>
        <w:jc w:val="both"/>
        <w:rPr>
          <w:rFonts w:ascii="Arial" w:hAnsi="Arial" w:cs="Arial"/>
          <w:color w:val="000000" w:themeColor="text1"/>
        </w:rPr>
      </w:pPr>
      <w:r w:rsidRPr="007474A6">
        <w:rPr>
          <w:rFonts w:ascii="Arial" w:hAnsi="Arial" w:cs="Arial"/>
          <w:b/>
          <w:color w:val="000000" w:themeColor="text1"/>
        </w:rPr>
        <w:t>VISTOS:</w:t>
      </w:r>
      <w:r w:rsidRPr="007474A6">
        <w:rPr>
          <w:rFonts w:ascii="Arial" w:hAnsi="Arial" w:cs="Arial"/>
          <w:color w:val="000000" w:themeColor="text1"/>
        </w:rPr>
        <w:t xml:space="preserve"> </w:t>
      </w:r>
      <w:r w:rsidR="00DE7167" w:rsidRPr="00ED4383">
        <w:rPr>
          <w:rFonts w:ascii="Arial" w:hAnsi="Arial" w:cs="Arial"/>
          <w:color w:val="000000" w:themeColor="text1"/>
        </w:rPr>
        <w:t xml:space="preserve">Los artículos 29, 30, 34 y 39 del Acuerdo de Cartagena, el Tratado de Creación del Tribunal de Justicia de la Comunidad Andina y la Decisión 623 </w:t>
      </w:r>
      <w:r w:rsidR="00DE7167" w:rsidRPr="00ED4383">
        <w:rPr>
          <w:rFonts w:ascii="Arial" w:hAnsi="Arial" w:cs="Arial"/>
          <w:color w:val="000000" w:themeColor="text1"/>
          <w:lang w:val="es-ES_tradnl"/>
        </w:rPr>
        <w:t>Reglamento de la Fase Prejudicial de la Acción de Incumplimiento</w:t>
      </w:r>
      <w:r w:rsidR="00680C2B">
        <w:rPr>
          <w:rFonts w:ascii="Arial" w:hAnsi="Arial" w:cs="Arial"/>
          <w:color w:val="000000" w:themeColor="text1"/>
          <w:lang w:val="es-EC"/>
        </w:rPr>
        <w:t>.</w:t>
      </w:r>
    </w:p>
    <w:p w14:paraId="278D34EF" w14:textId="77777777" w:rsidR="00D037CD" w:rsidRPr="007474A6" w:rsidRDefault="00D037CD" w:rsidP="00D037CD">
      <w:pPr>
        <w:spacing w:after="0" w:line="240" w:lineRule="auto"/>
        <w:rPr>
          <w:rFonts w:ascii="Arial" w:hAnsi="Arial" w:cs="Arial"/>
          <w:color w:val="000000" w:themeColor="text1"/>
        </w:rPr>
      </w:pPr>
    </w:p>
    <w:p w14:paraId="6F348BBD" w14:textId="77777777" w:rsidR="00D037CD" w:rsidRPr="007474A6" w:rsidRDefault="00D037CD" w:rsidP="00D037CD">
      <w:pPr>
        <w:spacing w:after="0" w:line="240" w:lineRule="auto"/>
        <w:rPr>
          <w:rFonts w:ascii="Arial" w:hAnsi="Arial" w:cs="Arial"/>
          <w:b/>
          <w:color w:val="000000" w:themeColor="text1"/>
        </w:rPr>
      </w:pPr>
      <w:r w:rsidRPr="007474A6">
        <w:rPr>
          <w:rFonts w:ascii="Arial" w:hAnsi="Arial" w:cs="Arial"/>
          <w:b/>
          <w:color w:val="000000" w:themeColor="text1"/>
        </w:rPr>
        <w:t>CONSIDERANDO:</w:t>
      </w:r>
    </w:p>
    <w:p w14:paraId="61078FAD" w14:textId="77777777" w:rsidR="00D3039F" w:rsidRPr="007474A6" w:rsidRDefault="00D3039F" w:rsidP="00D037CD">
      <w:pPr>
        <w:spacing w:after="0" w:line="240" w:lineRule="auto"/>
        <w:rPr>
          <w:rFonts w:ascii="Arial" w:hAnsi="Arial" w:cs="Arial"/>
          <w:b/>
          <w:color w:val="000000" w:themeColor="text1"/>
        </w:rPr>
      </w:pPr>
    </w:p>
    <w:p w14:paraId="2F1D7B5C" w14:textId="2C174D72" w:rsidR="00D3039F" w:rsidRPr="007474A6" w:rsidRDefault="00D3039F" w:rsidP="0022679C">
      <w:pPr>
        <w:pStyle w:val="Prrafodelista"/>
        <w:numPr>
          <w:ilvl w:val="0"/>
          <w:numId w:val="15"/>
        </w:numPr>
        <w:spacing w:after="0" w:line="240" w:lineRule="auto"/>
        <w:ind w:left="709"/>
        <w:rPr>
          <w:rFonts w:ascii="Arial" w:hAnsi="Arial" w:cs="Arial"/>
          <w:b/>
          <w:color w:val="000000" w:themeColor="text1"/>
        </w:rPr>
      </w:pPr>
      <w:r w:rsidRPr="007474A6">
        <w:rPr>
          <w:rFonts w:ascii="Arial" w:hAnsi="Arial" w:cs="Arial"/>
          <w:b/>
          <w:color w:val="000000" w:themeColor="text1"/>
        </w:rPr>
        <w:t>ANTECEDENTES</w:t>
      </w:r>
    </w:p>
    <w:p w14:paraId="268FF118" w14:textId="77777777" w:rsidR="00D3039F" w:rsidRPr="007474A6" w:rsidRDefault="00D3039F" w:rsidP="00D3039F">
      <w:pPr>
        <w:spacing w:after="0" w:line="240" w:lineRule="auto"/>
        <w:rPr>
          <w:rFonts w:ascii="Arial" w:hAnsi="Arial" w:cs="Arial"/>
          <w:b/>
          <w:color w:val="000000" w:themeColor="text1"/>
        </w:rPr>
      </w:pPr>
    </w:p>
    <w:p w14:paraId="32DA450B" w14:textId="56FFA83B" w:rsidR="00D3039F" w:rsidRPr="007474A6" w:rsidRDefault="00D3039F" w:rsidP="00D3039F">
      <w:pPr>
        <w:spacing w:after="0" w:line="240" w:lineRule="auto"/>
        <w:rPr>
          <w:rFonts w:ascii="Arial" w:hAnsi="Arial" w:cs="Arial"/>
          <w:bCs/>
          <w:i/>
          <w:iCs/>
          <w:color w:val="000000" w:themeColor="text1"/>
        </w:rPr>
      </w:pPr>
      <w:r w:rsidRPr="007474A6">
        <w:rPr>
          <w:rFonts w:ascii="Arial" w:hAnsi="Arial" w:cs="Arial"/>
          <w:bCs/>
          <w:i/>
          <w:iCs/>
          <w:color w:val="000000" w:themeColor="text1"/>
        </w:rPr>
        <w:t>Reclamo:</w:t>
      </w:r>
    </w:p>
    <w:p w14:paraId="29FD366A" w14:textId="77777777" w:rsidR="00D037CD" w:rsidRPr="007474A6" w:rsidRDefault="00D037CD" w:rsidP="00D037CD">
      <w:pPr>
        <w:spacing w:after="0" w:line="240" w:lineRule="auto"/>
        <w:rPr>
          <w:rFonts w:ascii="Arial" w:hAnsi="Arial" w:cs="Arial"/>
          <w:b/>
          <w:color w:val="000000" w:themeColor="text1"/>
        </w:rPr>
      </w:pPr>
    </w:p>
    <w:p w14:paraId="7635BC69" w14:textId="77777777" w:rsidR="00DE7167" w:rsidRPr="00ED4383" w:rsidRDefault="00DE7167" w:rsidP="00DE7167">
      <w:pPr>
        <w:pStyle w:val="Prrafodelista"/>
        <w:spacing w:after="0" w:line="240" w:lineRule="auto"/>
        <w:ind w:left="0" w:firstLine="708"/>
        <w:jc w:val="both"/>
        <w:rPr>
          <w:rFonts w:ascii="Arial" w:hAnsi="Arial" w:cs="Arial"/>
          <w:color w:val="000000" w:themeColor="text1"/>
          <w:lang w:val="es-ES"/>
        </w:rPr>
      </w:pPr>
      <w:r w:rsidRPr="00ED4383">
        <w:rPr>
          <w:rFonts w:ascii="Arial" w:hAnsi="Arial" w:cs="Arial"/>
          <w:color w:val="000000" w:themeColor="text1"/>
        </w:rPr>
        <w:t xml:space="preserve">El 29 de enero de 2024, la Secretaría General de la Comunidad Andina (en adelante SGCAN), recibió el reclamo presentado por el señor Jaime Wilfredo Cuellar </w:t>
      </w:r>
      <w:proofErr w:type="spellStart"/>
      <w:r w:rsidRPr="00ED4383">
        <w:rPr>
          <w:rFonts w:ascii="Arial" w:hAnsi="Arial" w:cs="Arial"/>
          <w:color w:val="000000" w:themeColor="text1"/>
        </w:rPr>
        <w:t>Imaña</w:t>
      </w:r>
      <w:proofErr w:type="spellEnd"/>
      <w:r w:rsidRPr="00ED4383">
        <w:rPr>
          <w:rFonts w:ascii="Arial" w:hAnsi="Arial" w:cs="Arial"/>
          <w:color w:val="000000" w:themeColor="text1"/>
        </w:rPr>
        <w:t xml:space="preserve"> (en adelante, el Reclamante), por el presunto incumplimiento de la Decisión 774 por parte del Estado Plurinacional de Bolivia</w:t>
      </w:r>
      <w:r w:rsidRPr="00ED4383">
        <w:rPr>
          <w:rStyle w:val="Refdenotaalpie"/>
          <w:rFonts w:ascii="Arial" w:hAnsi="Arial" w:cs="Arial"/>
          <w:color w:val="000000" w:themeColor="text1"/>
        </w:rPr>
        <w:footnoteReference w:id="1"/>
      </w:r>
      <w:r w:rsidRPr="00ED4383">
        <w:rPr>
          <w:rFonts w:ascii="Arial" w:hAnsi="Arial" w:cs="Arial"/>
          <w:color w:val="000000" w:themeColor="text1"/>
        </w:rPr>
        <w:t>, acompañando anexos en fojas 156.</w:t>
      </w:r>
      <w:r w:rsidRPr="00ED4383">
        <w:rPr>
          <w:rStyle w:val="Refdenotaalpie"/>
          <w:rFonts w:ascii="Arial" w:hAnsi="Arial" w:cs="Arial"/>
          <w:color w:val="000000" w:themeColor="text1"/>
          <w:lang w:val="es-ES"/>
        </w:rPr>
        <w:footnoteReference w:id="2"/>
      </w:r>
    </w:p>
    <w:p w14:paraId="0689EC7A" w14:textId="77777777" w:rsidR="00DE7167" w:rsidRPr="00ED4383" w:rsidRDefault="00DE7167" w:rsidP="00DE7167">
      <w:pPr>
        <w:pStyle w:val="Prrafodelista"/>
        <w:spacing w:after="0" w:line="240" w:lineRule="auto"/>
        <w:ind w:left="0"/>
        <w:jc w:val="both"/>
        <w:rPr>
          <w:rFonts w:ascii="Arial" w:hAnsi="Arial" w:cs="Arial"/>
          <w:color w:val="000000" w:themeColor="text1"/>
          <w:lang w:val="es-ES"/>
        </w:rPr>
      </w:pPr>
    </w:p>
    <w:p w14:paraId="7441C02F" w14:textId="3ABA8641" w:rsidR="00DE7167" w:rsidRPr="00ED4383" w:rsidRDefault="00DE7167" w:rsidP="00DE7167">
      <w:pPr>
        <w:pStyle w:val="Prrafodelista"/>
        <w:spacing w:after="0" w:line="240" w:lineRule="auto"/>
        <w:ind w:left="0" w:firstLine="708"/>
        <w:jc w:val="both"/>
        <w:rPr>
          <w:rFonts w:ascii="Arial" w:hAnsi="Arial" w:cs="Arial"/>
          <w:color w:val="000000" w:themeColor="text1"/>
          <w:lang w:val="es-ES"/>
        </w:rPr>
      </w:pPr>
      <w:r w:rsidRPr="00ED4383">
        <w:rPr>
          <w:rFonts w:ascii="Arial" w:hAnsi="Arial" w:cs="Arial"/>
          <w:color w:val="000000" w:themeColor="text1"/>
        </w:rPr>
        <w:t xml:space="preserve">El Reclamante interpone el reclamo por incumplimiento </w:t>
      </w:r>
      <w:r w:rsidRPr="00ED4383">
        <w:rPr>
          <w:rFonts w:ascii="Arial" w:hAnsi="Arial" w:cs="Arial"/>
          <w:i/>
          <w:iCs/>
          <w:color w:val="000000" w:themeColor="text1"/>
        </w:rPr>
        <w:t xml:space="preserve">“Conforme a lo establecido en los artículos 255, parágrafo I; 257, parágrafo I; y el artículo 265 parágrafo I de la Constitución Política del Estado del Estado Plurinacional de Bolivia, y de conformidad al artículo 25 del Tratado del Tribunal de Justicia de la Comunidad Andina de Naciones [sic], y en sujeción a los derechos que me asisten, tengo a bien apersonarme, acreditando ante su Autoridad mi legitimación activa para interponer la presente acción, (Acción de Incumplimiento contra el Estado de Bolivia y las autoridades que, mediante sus decisiones, acciones y omisiones, amenazan y vulneran mi derecho individual y colectivo a la vida, salud, agua, seguridad y medio ambiente, mismo reconocido por la Constitución Política del Estado Plurinacional de Bolivia y ratificado por mi Estado a través de los diversos instrumentos del derecho internacional, con repercusiones a todas y cada una de las personas que formamos parte de la población boliviana y de la Comunidad Andina de Naciones. Al efecto demostrando mi facultad para interponer esta acción de defensa se debe referir que la misma se encuentra activada en mérito de los actos y omisiones del Estado de mi nacionalidad (Bolivia) y de las autoridades responsables de la protección de derechos enunciados, </w:t>
      </w:r>
      <w:r w:rsidRPr="00ED4383">
        <w:rPr>
          <w:rFonts w:ascii="Arial" w:hAnsi="Arial" w:cs="Arial"/>
          <w:i/>
          <w:iCs/>
          <w:color w:val="000000" w:themeColor="text1"/>
        </w:rPr>
        <w:t>que,</w:t>
      </w:r>
      <w:r w:rsidRPr="00ED4383">
        <w:rPr>
          <w:rFonts w:ascii="Arial" w:hAnsi="Arial" w:cs="Arial"/>
          <w:i/>
          <w:iCs/>
          <w:color w:val="000000" w:themeColor="text1"/>
        </w:rPr>
        <w:t xml:space="preserve"> en caso de continuar y proseguir, violan y violarán nuestros derechos e intereses colectivos relacionados con el medio ambiente, salud, seguridad y la vida (…)”</w:t>
      </w:r>
      <w:r w:rsidRPr="00ED4383">
        <w:rPr>
          <w:rStyle w:val="Refdenotaalpie"/>
          <w:rFonts w:ascii="Arial" w:hAnsi="Arial" w:cs="Arial"/>
          <w:color w:val="000000" w:themeColor="text1"/>
        </w:rPr>
        <w:footnoteReference w:id="3"/>
      </w:r>
      <w:r w:rsidRPr="00ED4383">
        <w:rPr>
          <w:rFonts w:ascii="Arial" w:hAnsi="Arial" w:cs="Arial"/>
          <w:color w:val="000000" w:themeColor="text1"/>
        </w:rPr>
        <w:t>.</w:t>
      </w:r>
    </w:p>
    <w:p w14:paraId="1976D04D" w14:textId="77777777" w:rsidR="00DE7167" w:rsidRPr="00ED4383" w:rsidRDefault="00DE7167" w:rsidP="00DE7167">
      <w:pPr>
        <w:pStyle w:val="Prrafodelista"/>
        <w:spacing w:after="0" w:line="240" w:lineRule="auto"/>
        <w:ind w:left="0"/>
        <w:jc w:val="both"/>
        <w:rPr>
          <w:rFonts w:ascii="Arial" w:hAnsi="Arial" w:cs="Arial"/>
          <w:color w:val="000000" w:themeColor="text1"/>
          <w:lang w:val="es-ES"/>
        </w:rPr>
      </w:pPr>
    </w:p>
    <w:p w14:paraId="7E21CBF2" w14:textId="77777777" w:rsidR="00DE7167" w:rsidRPr="00ED4383" w:rsidRDefault="00DE7167" w:rsidP="00DE7167">
      <w:pPr>
        <w:pStyle w:val="Prrafodelista"/>
        <w:spacing w:after="0" w:line="240" w:lineRule="auto"/>
        <w:ind w:left="0" w:firstLine="708"/>
        <w:jc w:val="both"/>
        <w:rPr>
          <w:rFonts w:ascii="Arial" w:hAnsi="Arial" w:cs="Arial"/>
          <w:color w:val="000000" w:themeColor="text1"/>
          <w:lang w:val="es-ES"/>
        </w:rPr>
      </w:pPr>
      <w:r w:rsidRPr="00ED4383">
        <w:rPr>
          <w:rFonts w:ascii="Arial" w:hAnsi="Arial" w:cs="Arial"/>
          <w:color w:val="000000" w:themeColor="text1"/>
        </w:rPr>
        <w:t>En efecto, el reclamante manifiesta que la SGCAN sería competente para atender su reclamación en tanto que la misma se sustenta en la defensa de los derechos colectivos de la población de los Países Miembros de la Comunidad Andina:</w:t>
      </w:r>
    </w:p>
    <w:p w14:paraId="719A0908" w14:textId="77777777" w:rsidR="00DE7167" w:rsidRPr="00ED4383" w:rsidRDefault="00DE7167" w:rsidP="00DE7167">
      <w:pPr>
        <w:pStyle w:val="Prrafodelista"/>
        <w:rPr>
          <w:rFonts w:ascii="Arial" w:hAnsi="Arial" w:cs="Arial"/>
          <w:color w:val="000000" w:themeColor="text1"/>
          <w:lang w:val="es-ES"/>
        </w:rPr>
      </w:pPr>
    </w:p>
    <w:p w14:paraId="3D597D81" w14:textId="77777777" w:rsidR="00DE7167" w:rsidRPr="00ED4383" w:rsidRDefault="00DE7167" w:rsidP="00DE7167">
      <w:pPr>
        <w:pStyle w:val="Prrafodelista"/>
        <w:spacing w:after="0" w:line="240" w:lineRule="auto"/>
        <w:ind w:left="1416"/>
        <w:jc w:val="both"/>
        <w:rPr>
          <w:rFonts w:ascii="Arial" w:hAnsi="Arial" w:cs="Arial"/>
          <w:i/>
          <w:iCs/>
          <w:color w:val="000000" w:themeColor="text1"/>
          <w:lang w:val="es-ES"/>
        </w:rPr>
      </w:pPr>
      <w:r w:rsidRPr="00ED4383">
        <w:rPr>
          <w:rFonts w:ascii="Arial" w:hAnsi="Arial" w:cs="Arial"/>
          <w:i/>
          <w:iCs/>
          <w:color w:val="000000" w:themeColor="text1"/>
          <w:lang w:val="es-ES"/>
        </w:rPr>
        <w:t>“III. COMPETENCIA.</w:t>
      </w:r>
    </w:p>
    <w:p w14:paraId="2D30929C" w14:textId="77777777" w:rsidR="00DE7167" w:rsidRPr="00ED4383" w:rsidRDefault="00DE7167" w:rsidP="00DE7167">
      <w:pPr>
        <w:pStyle w:val="Prrafodelista"/>
        <w:ind w:left="1416"/>
        <w:jc w:val="both"/>
        <w:rPr>
          <w:rFonts w:ascii="Arial" w:hAnsi="Arial" w:cs="Arial"/>
          <w:color w:val="000000" w:themeColor="text1"/>
          <w:lang w:val="es-ES"/>
        </w:rPr>
      </w:pPr>
      <w:r w:rsidRPr="00ED4383">
        <w:rPr>
          <w:rFonts w:ascii="Arial" w:hAnsi="Arial" w:cs="Arial"/>
          <w:b/>
          <w:bCs/>
          <w:i/>
          <w:iCs/>
          <w:color w:val="000000" w:themeColor="text1"/>
          <w:u w:val="single"/>
          <w:lang w:val="es-ES"/>
        </w:rPr>
        <w:t>Por la naturaleza y alcance de la Acción Incumplimiento, tratándose de la defensa de los derechos colectivos de la población de los países miembros de la Comunidad Andina de Naciones [sic], vulnerados por actos y omisiones lesivos de los Estados y de sus autoridades</w:t>
      </w:r>
      <w:r w:rsidRPr="00ED4383">
        <w:rPr>
          <w:rFonts w:ascii="Arial" w:hAnsi="Arial" w:cs="Arial"/>
          <w:i/>
          <w:iCs/>
          <w:color w:val="000000" w:themeColor="text1"/>
          <w:lang w:val="es-ES"/>
        </w:rPr>
        <w:t xml:space="preserve"> que, en muchos casos, proyectan sus efectos territoriales expansivamente a escala nacional y regional, como en este caso ocurre con la afectación del medio ambiente, seguridad, salud entre otros, independientemente de que el acto u omisión se produzca en un lugar específico o determinado, de acuerdo la competencia judicial extra territorial corresponde a la Comunidad Andina de Naciones[sic] y a sus estamentos de Justicia de materia del lugar en el que se hubiera producido la violación del derecho. En el presente caso, toda vez que el INCUMPLIMIENTO DE LA DECISION N° 774, afecta a todo el Estado Plurinacional de Bolivia, y ante la inexistencia de disposiciones legales y administrativas que hayan sido adoptadas para ese fin, afectan a todo el territorio nacional de Bolivia y producen un efecto en la región y muy en especial en los países miembros de la Comunidad Andina de Naciones. En consideración a estos fundamentos, se interpone la presente acción de incumplimiento”.</w:t>
      </w:r>
      <w:r w:rsidRPr="00ED4383">
        <w:rPr>
          <w:rStyle w:val="Refdenotaalpie"/>
          <w:rFonts w:ascii="Arial" w:hAnsi="Arial" w:cs="Arial"/>
          <w:i/>
          <w:iCs/>
          <w:color w:val="000000" w:themeColor="text1"/>
          <w:lang w:val="es-ES"/>
        </w:rPr>
        <w:footnoteReference w:id="4"/>
      </w:r>
      <w:r w:rsidRPr="00ED4383">
        <w:rPr>
          <w:rFonts w:ascii="Arial" w:hAnsi="Arial" w:cs="Arial"/>
          <w:color w:val="000000" w:themeColor="text1"/>
          <w:lang w:val="es-ES"/>
        </w:rPr>
        <w:t xml:space="preserve"> (Énfasis añadido)</w:t>
      </w:r>
    </w:p>
    <w:p w14:paraId="3B752EDB" w14:textId="77777777" w:rsidR="00DE7167" w:rsidRPr="00ED4383" w:rsidRDefault="00DE7167" w:rsidP="00DE7167">
      <w:pPr>
        <w:pStyle w:val="Prrafodelista"/>
        <w:spacing w:after="0" w:line="240" w:lineRule="auto"/>
        <w:ind w:left="0"/>
        <w:jc w:val="both"/>
        <w:rPr>
          <w:rFonts w:ascii="Arial" w:hAnsi="Arial" w:cs="Arial"/>
          <w:color w:val="000000" w:themeColor="text1"/>
          <w:lang w:val="es-ES"/>
        </w:rPr>
      </w:pPr>
    </w:p>
    <w:p w14:paraId="19936CA4" w14:textId="77777777" w:rsidR="00DE7167" w:rsidRPr="00ED4383" w:rsidRDefault="00DE7167" w:rsidP="00DE7167">
      <w:pPr>
        <w:pStyle w:val="Prrafodelista"/>
        <w:spacing w:after="0" w:line="240" w:lineRule="auto"/>
        <w:ind w:left="0" w:firstLine="708"/>
        <w:jc w:val="both"/>
        <w:rPr>
          <w:rFonts w:ascii="Arial" w:hAnsi="Arial" w:cs="Arial"/>
          <w:color w:val="000000" w:themeColor="text1"/>
          <w:lang w:val="es-ES"/>
        </w:rPr>
      </w:pPr>
      <w:r w:rsidRPr="00ED4383">
        <w:rPr>
          <w:rFonts w:ascii="Arial" w:hAnsi="Arial" w:cs="Arial"/>
          <w:color w:val="000000" w:themeColor="text1"/>
        </w:rPr>
        <w:t xml:space="preserve">Cabe señalar que en su recurso, el Reclamante ha alcanzado como fundamento de  hecho y de derecho los siguientes puntos: </w:t>
      </w:r>
      <w:r w:rsidRPr="00ED4383">
        <w:rPr>
          <w:rFonts w:ascii="Arial" w:hAnsi="Arial" w:cs="Arial"/>
          <w:i/>
          <w:iCs/>
          <w:color w:val="000000" w:themeColor="text1"/>
        </w:rPr>
        <w:t>“a) el Estado Boliviano, la necesidad de frenar el saqueo de recursos minerales por la explotación minera ilegal y las “Mafias Transnacionales”; b) proyecciones sobre el crimen organizado, la lenidad del Estado Boliviano y sus consecuencias en la Región y en los Países Miembros de la CAN; c) la falta de normativa como consecuencia del incumplimiento de la Decisión 774, y el uso irrestricto de mercurio en Bolivia; d) la débil normativa del estado Boliviano al abordaje del problema del mercurio; e) sobre las bandas criminales transnacionales y su relación con la importación de mercurio en Bolivia; f) sobre el flagrante incumplimiento de la Decisión 774 por parte del Estado Boliviano.”</w:t>
      </w:r>
      <w:r w:rsidRPr="00ED4383">
        <w:rPr>
          <w:rStyle w:val="Refdenotaalpie"/>
          <w:rFonts w:ascii="Arial" w:hAnsi="Arial" w:cs="Arial"/>
          <w:color w:val="000000" w:themeColor="text1"/>
        </w:rPr>
        <w:footnoteReference w:id="5"/>
      </w:r>
    </w:p>
    <w:p w14:paraId="47BB8454" w14:textId="77777777" w:rsidR="00DE7167" w:rsidRPr="00ED4383" w:rsidRDefault="00DE7167" w:rsidP="00DE7167">
      <w:pPr>
        <w:pStyle w:val="Prrafodelista"/>
        <w:spacing w:after="0" w:line="240" w:lineRule="auto"/>
        <w:ind w:left="0"/>
        <w:jc w:val="both"/>
        <w:rPr>
          <w:rFonts w:ascii="Arial" w:hAnsi="Arial" w:cs="Arial"/>
          <w:color w:val="000000" w:themeColor="text1"/>
        </w:rPr>
      </w:pPr>
    </w:p>
    <w:p w14:paraId="7FD05F8E" w14:textId="77777777" w:rsidR="00DE7167" w:rsidRPr="00ED4383" w:rsidRDefault="00DE7167" w:rsidP="00DE7167">
      <w:pPr>
        <w:pStyle w:val="Prrafodelista"/>
        <w:spacing w:after="0" w:line="240" w:lineRule="auto"/>
        <w:ind w:left="0"/>
        <w:jc w:val="both"/>
        <w:rPr>
          <w:rFonts w:ascii="Arial" w:hAnsi="Arial" w:cs="Arial"/>
          <w:i/>
          <w:iCs/>
          <w:color w:val="000000" w:themeColor="text1"/>
        </w:rPr>
      </w:pPr>
      <w:r w:rsidRPr="00ED4383">
        <w:rPr>
          <w:rFonts w:ascii="Arial" w:hAnsi="Arial" w:cs="Arial"/>
          <w:i/>
          <w:iCs/>
          <w:color w:val="000000" w:themeColor="text1"/>
        </w:rPr>
        <w:t>Examen de Admisibilidad</w:t>
      </w:r>
    </w:p>
    <w:p w14:paraId="77EED101" w14:textId="77777777" w:rsidR="00DE7167" w:rsidRPr="00ED4383" w:rsidRDefault="00DE7167" w:rsidP="00DE7167">
      <w:pPr>
        <w:pStyle w:val="Prrafodelista"/>
        <w:rPr>
          <w:rFonts w:ascii="Arial" w:hAnsi="Arial" w:cs="Arial"/>
          <w:color w:val="000000" w:themeColor="text1"/>
        </w:rPr>
      </w:pPr>
    </w:p>
    <w:p w14:paraId="1FD50E79" w14:textId="77777777" w:rsidR="00DE7167" w:rsidRPr="00ED4383" w:rsidRDefault="00DE7167" w:rsidP="00DE7167">
      <w:pPr>
        <w:pStyle w:val="Prrafodelista"/>
        <w:spacing w:after="0" w:line="240" w:lineRule="auto"/>
        <w:ind w:left="0" w:firstLine="708"/>
        <w:jc w:val="both"/>
        <w:rPr>
          <w:rFonts w:ascii="Arial" w:hAnsi="Arial" w:cs="Arial"/>
          <w:color w:val="000000" w:themeColor="text1"/>
        </w:rPr>
      </w:pPr>
      <w:r w:rsidRPr="00ED4383">
        <w:rPr>
          <w:rFonts w:ascii="Arial" w:hAnsi="Arial" w:cs="Arial"/>
          <w:color w:val="000000" w:themeColor="text1"/>
        </w:rPr>
        <w:t xml:space="preserve">Conforme a lo establecido en la Decisión 623, se efectuó el correspondiente análisis de admisibilidad, con el objeto de determinar si el reclamo cumplía o no con los requisitos del artículo 14 de la referida Decisión. </w:t>
      </w:r>
    </w:p>
    <w:p w14:paraId="4B98FC37" w14:textId="77777777" w:rsidR="00DE7167" w:rsidRPr="00ED4383" w:rsidRDefault="00DE7167" w:rsidP="00DE7167">
      <w:pPr>
        <w:pStyle w:val="Prrafodelista"/>
        <w:spacing w:after="0" w:line="240" w:lineRule="auto"/>
        <w:ind w:left="0"/>
        <w:jc w:val="both"/>
        <w:rPr>
          <w:rFonts w:ascii="Arial" w:hAnsi="Arial" w:cs="Arial"/>
          <w:color w:val="000000" w:themeColor="text1"/>
        </w:rPr>
      </w:pPr>
    </w:p>
    <w:p w14:paraId="4710B607" w14:textId="77777777" w:rsidR="00DE7167" w:rsidRPr="00ED4383" w:rsidRDefault="00DE7167" w:rsidP="00DE7167">
      <w:pPr>
        <w:pStyle w:val="Prrafodelista"/>
        <w:spacing w:after="0" w:line="240" w:lineRule="auto"/>
        <w:ind w:left="0" w:firstLine="708"/>
        <w:jc w:val="both"/>
        <w:rPr>
          <w:rFonts w:ascii="Arial" w:hAnsi="Arial" w:cs="Arial"/>
          <w:bCs/>
          <w:iCs/>
          <w:color w:val="000000" w:themeColor="text1"/>
        </w:rPr>
      </w:pPr>
      <w:r w:rsidRPr="00ED4383">
        <w:rPr>
          <w:rFonts w:ascii="Arial" w:hAnsi="Arial" w:cs="Arial"/>
          <w:color w:val="000000" w:themeColor="text1"/>
        </w:rPr>
        <w:t>En tal sentido, la SGCAN emitió la comunicación SG/E/SJ/156/2024 de fecha 05 de febrero de 2024, señalando que la reclamación presentada se encontraba incompleta, por lo que, conforme a lo dispuesto en el artículo 15 de la Decisión 623, se confirió a</w:t>
      </w:r>
      <w:r w:rsidRPr="00ED4383">
        <w:rPr>
          <w:rFonts w:ascii="Arial" w:hAnsi="Arial" w:cs="Arial"/>
          <w:color w:val="000000" w:themeColor="text1"/>
          <w:lang w:val="es-ES"/>
        </w:rPr>
        <w:t>l solicitante</w:t>
      </w:r>
      <w:r w:rsidRPr="00ED4383">
        <w:rPr>
          <w:rFonts w:ascii="Arial" w:hAnsi="Arial" w:cs="Arial"/>
          <w:color w:val="000000" w:themeColor="text1"/>
        </w:rPr>
        <w:t xml:space="preserve"> un plazo de 15 días hábiles para aclarar, subsanar y remitir la documentación necesaria, según lo indicado en los literales a), c) y e) del análisis de admisibilidad, conforme se pasa a detallar: </w:t>
      </w:r>
    </w:p>
    <w:p w14:paraId="67240188" w14:textId="77777777" w:rsidR="00DE7167" w:rsidRPr="00ED4383" w:rsidRDefault="00DE7167" w:rsidP="00DE7167">
      <w:pPr>
        <w:pStyle w:val="Prrafodelista"/>
        <w:rPr>
          <w:rFonts w:ascii="Arial" w:hAnsi="Arial" w:cs="Arial"/>
          <w:color w:val="000000" w:themeColor="text1"/>
        </w:rPr>
      </w:pPr>
    </w:p>
    <w:p w14:paraId="6B5BBA2F" w14:textId="77777777" w:rsidR="00DE7167" w:rsidRPr="00ED4383" w:rsidRDefault="00DE7167" w:rsidP="00DE7167">
      <w:pPr>
        <w:pStyle w:val="Prrafodelista"/>
        <w:numPr>
          <w:ilvl w:val="0"/>
          <w:numId w:val="17"/>
        </w:numPr>
        <w:spacing w:after="0" w:line="240" w:lineRule="auto"/>
        <w:jc w:val="both"/>
        <w:rPr>
          <w:rFonts w:ascii="Arial" w:hAnsi="Arial" w:cs="Arial"/>
          <w:bCs/>
          <w:iCs/>
          <w:color w:val="000000" w:themeColor="text1"/>
        </w:rPr>
      </w:pPr>
      <w:r w:rsidRPr="00ED4383">
        <w:rPr>
          <w:rFonts w:ascii="Arial" w:hAnsi="Arial" w:cs="Arial"/>
          <w:b/>
          <w:i/>
          <w:color w:val="000000" w:themeColor="text1"/>
        </w:rPr>
        <w:t xml:space="preserve">En cuanto a la identificación completa del reclamante, su acreditación y la afectación de sus derechos: </w:t>
      </w:r>
    </w:p>
    <w:p w14:paraId="39029FFA" w14:textId="77777777" w:rsidR="00DE7167" w:rsidRPr="00ED4383" w:rsidRDefault="00DE7167" w:rsidP="00DE7167">
      <w:pPr>
        <w:pStyle w:val="Prrafodelista"/>
        <w:spacing w:after="0" w:line="240" w:lineRule="auto"/>
        <w:ind w:left="1078"/>
        <w:jc w:val="both"/>
        <w:rPr>
          <w:rFonts w:ascii="Arial" w:hAnsi="Arial" w:cs="Arial"/>
          <w:bCs/>
          <w:iCs/>
          <w:color w:val="000000" w:themeColor="text1"/>
        </w:rPr>
      </w:pPr>
    </w:p>
    <w:p w14:paraId="34BFF9E3" w14:textId="77777777" w:rsidR="00DE7167" w:rsidRPr="00ED4383" w:rsidRDefault="00DE7167" w:rsidP="00DE7167">
      <w:pPr>
        <w:pStyle w:val="Prrafodelista"/>
        <w:spacing w:after="0" w:line="240" w:lineRule="auto"/>
        <w:ind w:left="1078"/>
        <w:jc w:val="both"/>
        <w:rPr>
          <w:rFonts w:ascii="Arial" w:hAnsi="Arial" w:cs="Arial"/>
          <w:bCs/>
          <w:iCs/>
          <w:color w:val="000000" w:themeColor="text1"/>
        </w:rPr>
      </w:pPr>
      <w:r w:rsidRPr="00ED4383">
        <w:rPr>
          <w:rFonts w:ascii="Arial" w:hAnsi="Arial" w:cs="Arial"/>
          <w:bCs/>
          <w:iCs/>
          <w:color w:val="000000" w:themeColor="text1"/>
        </w:rPr>
        <w:t>El reclamo no contenía información específica que acreditara la condición del reclamante como persona afectada en sus derechos sobre el alegado incumplimiento de una norma comunitaria, por lo que se requirió al solicitante remitir información específica que acreditara la afectación de sus derechos.</w:t>
      </w:r>
    </w:p>
    <w:p w14:paraId="43E2388E" w14:textId="77777777" w:rsidR="00DE7167" w:rsidRPr="00ED4383" w:rsidRDefault="00DE7167" w:rsidP="00DE7167">
      <w:pPr>
        <w:pStyle w:val="Prrafodelista"/>
        <w:spacing w:after="0" w:line="240" w:lineRule="auto"/>
        <w:ind w:left="1078"/>
        <w:jc w:val="both"/>
        <w:rPr>
          <w:rFonts w:ascii="Arial" w:hAnsi="Arial" w:cs="Arial"/>
          <w:bCs/>
          <w:iCs/>
          <w:color w:val="000000" w:themeColor="text1"/>
        </w:rPr>
      </w:pPr>
    </w:p>
    <w:p w14:paraId="58A0772D" w14:textId="77777777" w:rsidR="00DE7167" w:rsidRPr="00ED4383" w:rsidRDefault="00DE7167" w:rsidP="00DE7167">
      <w:pPr>
        <w:pStyle w:val="Prrafodelista"/>
        <w:numPr>
          <w:ilvl w:val="0"/>
          <w:numId w:val="18"/>
        </w:numPr>
        <w:spacing w:after="0" w:line="240" w:lineRule="auto"/>
        <w:jc w:val="both"/>
        <w:rPr>
          <w:rFonts w:ascii="Arial" w:hAnsi="Arial" w:cs="Arial"/>
          <w:bCs/>
          <w:iCs/>
          <w:color w:val="000000" w:themeColor="text1"/>
        </w:rPr>
      </w:pPr>
      <w:r w:rsidRPr="00ED4383">
        <w:rPr>
          <w:rFonts w:ascii="Arial" w:hAnsi="Arial" w:cs="Arial"/>
          <w:b/>
          <w:i/>
          <w:color w:val="000000" w:themeColor="text1"/>
        </w:rPr>
        <w:t xml:space="preserve">En cuanto a la identificación o descripción clara de las medidas o conductas que constituyen el presunto incumplimiento al ordenamiento comunitario: </w:t>
      </w:r>
    </w:p>
    <w:p w14:paraId="1F08E027" w14:textId="77777777" w:rsidR="00DE7167" w:rsidRPr="00ED4383" w:rsidRDefault="00DE7167" w:rsidP="00DE7167">
      <w:pPr>
        <w:pStyle w:val="Prrafodelista"/>
        <w:spacing w:after="0" w:line="240" w:lineRule="auto"/>
        <w:ind w:left="1078"/>
        <w:jc w:val="both"/>
        <w:rPr>
          <w:rFonts w:ascii="Arial" w:hAnsi="Arial" w:cs="Arial"/>
          <w:bCs/>
          <w:iCs/>
          <w:color w:val="000000" w:themeColor="text1"/>
        </w:rPr>
      </w:pPr>
    </w:p>
    <w:p w14:paraId="328BF3BD" w14:textId="77777777" w:rsidR="00DE7167" w:rsidRPr="00ED4383" w:rsidRDefault="00DE7167" w:rsidP="00DE7167">
      <w:pPr>
        <w:pStyle w:val="Prrafodelista"/>
        <w:spacing w:after="0" w:line="240" w:lineRule="auto"/>
        <w:ind w:left="1078"/>
        <w:jc w:val="both"/>
        <w:rPr>
          <w:rFonts w:ascii="Arial" w:hAnsi="Arial" w:cs="Arial"/>
          <w:bCs/>
          <w:iCs/>
          <w:color w:val="000000" w:themeColor="text1"/>
        </w:rPr>
      </w:pPr>
      <w:r w:rsidRPr="00ED4383">
        <w:rPr>
          <w:rFonts w:ascii="Arial" w:hAnsi="Arial" w:cs="Arial"/>
          <w:bCs/>
          <w:iCs/>
          <w:color w:val="000000" w:themeColor="text1"/>
        </w:rPr>
        <w:t>Se observó que las medidas descritas en su escrito de reclamo tenían relación con el presunto incumplimiento de los artículos 1, 2, 4, 5, 6 y 7 de la Decisión 774, así como con las leyes del Estado Plurinacional de Bolivia N°367, N°535 y N°759; sin embargo, no se evidenciaba con claridad la relación de la citada normativa interna con el supuesto incumplimiento de la norma comunitaria, por lo que se requirió al solicitante especificar si la expedición de dichas leyes bolivianas, también constituías medidas relacionadas con el objeto de su reclamo.</w:t>
      </w:r>
    </w:p>
    <w:p w14:paraId="3E125CA6" w14:textId="77777777" w:rsidR="00DE7167" w:rsidRPr="00ED4383" w:rsidRDefault="00DE7167" w:rsidP="00DE7167">
      <w:pPr>
        <w:spacing w:after="0" w:line="240" w:lineRule="auto"/>
        <w:jc w:val="both"/>
        <w:rPr>
          <w:rFonts w:ascii="Arial" w:hAnsi="Arial" w:cs="Arial"/>
          <w:bCs/>
          <w:iCs/>
          <w:color w:val="000000" w:themeColor="text1"/>
        </w:rPr>
      </w:pPr>
    </w:p>
    <w:p w14:paraId="61790E9D" w14:textId="77777777" w:rsidR="00DE7167" w:rsidRPr="00ED4383" w:rsidRDefault="00DE7167" w:rsidP="00DE7167">
      <w:pPr>
        <w:pStyle w:val="Prrafodelista"/>
        <w:numPr>
          <w:ilvl w:val="0"/>
          <w:numId w:val="19"/>
        </w:numPr>
        <w:spacing w:after="0" w:line="240" w:lineRule="auto"/>
        <w:jc w:val="both"/>
        <w:rPr>
          <w:rFonts w:ascii="Arial" w:hAnsi="Arial" w:cs="Arial"/>
          <w:bCs/>
          <w:iCs/>
          <w:color w:val="000000" w:themeColor="text1"/>
        </w:rPr>
      </w:pPr>
      <w:r w:rsidRPr="00ED4383">
        <w:rPr>
          <w:rFonts w:ascii="Arial" w:hAnsi="Arial" w:cs="Arial"/>
          <w:b/>
          <w:i/>
          <w:color w:val="000000" w:themeColor="text1"/>
        </w:rPr>
        <w:t xml:space="preserve">En cuanto a la fundamentación de las razones por las que el reclamante considera que las medidas o conductas reclamadas constituyen un incumplimiento de la normativa comunitaria: </w:t>
      </w:r>
    </w:p>
    <w:p w14:paraId="7C3293B8" w14:textId="77777777" w:rsidR="00DE7167" w:rsidRPr="00ED4383" w:rsidRDefault="00DE7167" w:rsidP="00DE7167">
      <w:pPr>
        <w:pStyle w:val="Prrafodelista"/>
        <w:spacing w:after="0" w:line="240" w:lineRule="auto"/>
        <w:ind w:left="1078"/>
        <w:jc w:val="both"/>
        <w:rPr>
          <w:rFonts w:ascii="Arial" w:hAnsi="Arial" w:cs="Arial"/>
          <w:bCs/>
          <w:iCs/>
          <w:color w:val="000000" w:themeColor="text1"/>
        </w:rPr>
      </w:pPr>
    </w:p>
    <w:p w14:paraId="3B59EF42" w14:textId="77777777" w:rsidR="00DE7167" w:rsidRPr="00ED4383" w:rsidRDefault="00DE7167" w:rsidP="00DE7167">
      <w:pPr>
        <w:pStyle w:val="Prrafodelista"/>
        <w:spacing w:after="0" w:line="240" w:lineRule="auto"/>
        <w:ind w:left="1078"/>
        <w:jc w:val="both"/>
        <w:rPr>
          <w:rFonts w:ascii="Arial" w:hAnsi="Arial" w:cs="Arial"/>
          <w:bCs/>
          <w:iCs/>
          <w:color w:val="000000" w:themeColor="text1"/>
        </w:rPr>
      </w:pPr>
      <w:r w:rsidRPr="00ED4383">
        <w:rPr>
          <w:rFonts w:ascii="Arial" w:hAnsi="Arial" w:cs="Arial"/>
          <w:bCs/>
          <w:iCs/>
          <w:color w:val="000000" w:themeColor="text1"/>
        </w:rPr>
        <w:t>Se observó que en el escrito de reclamo se hacía referencia, por una parte, a las leyes N°367, N°759 y N°535</w:t>
      </w:r>
      <w:r w:rsidRPr="00ED4383">
        <w:rPr>
          <w:rStyle w:val="Refdenotaalpie"/>
          <w:rFonts w:ascii="Arial" w:hAnsi="Arial" w:cs="Arial"/>
          <w:bCs/>
          <w:iCs/>
          <w:color w:val="000000" w:themeColor="text1"/>
        </w:rPr>
        <w:footnoteReference w:id="6"/>
      </w:r>
      <w:r w:rsidRPr="00ED4383">
        <w:rPr>
          <w:rFonts w:ascii="Arial" w:hAnsi="Arial" w:cs="Arial"/>
          <w:bCs/>
          <w:iCs/>
          <w:color w:val="000000" w:themeColor="text1"/>
        </w:rPr>
        <w:t xml:space="preserve"> y, por otra, a la falta de normativa y de recursos que estén destinados a cumplir con los preceptos y objetivos de la Decisión 774; sin embargo, no se expusieron con claridad las razones del alegado incumplimiento de la norma comunitaria por parte del Estado Plurinacional de Bolivia. En tal sentido, la Secretaría General requirió al Reclamante especificar en detalle las razones por las que se considera el presunto incumplimiento de la Decisión 774 por parte del Estado Plurinacional de Bolivia.</w:t>
      </w:r>
    </w:p>
    <w:p w14:paraId="043C82BC" w14:textId="77777777" w:rsidR="00DE7167" w:rsidRPr="00ED4383" w:rsidRDefault="00DE7167" w:rsidP="00DE7167">
      <w:pPr>
        <w:pStyle w:val="Prrafodelista"/>
        <w:spacing w:after="0" w:line="240" w:lineRule="auto"/>
        <w:ind w:left="0"/>
        <w:jc w:val="both"/>
        <w:rPr>
          <w:rFonts w:ascii="Arial" w:hAnsi="Arial" w:cs="Arial"/>
          <w:color w:val="000000" w:themeColor="text1"/>
        </w:rPr>
      </w:pPr>
    </w:p>
    <w:p w14:paraId="2AEC11D4" w14:textId="20700BEA" w:rsidR="00F839B6" w:rsidRDefault="00DE7167" w:rsidP="00DE7167">
      <w:pPr>
        <w:pStyle w:val="Prrafodelista"/>
        <w:spacing w:after="0" w:line="240" w:lineRule="auto"/>
        <w:ind w:left="0" w:firstLine="708"/>
        <w:jc w:val="both"/>
        <w:rPr>
          <w:rFonts w:ascii="Arial" w:hAnsi="Arial" w:cs="Arial"/>
          <w:bCs/>
          <w:iCs/>
          <w:color w:val="000000" w:themeColor="text1"/>
        </w:rPr>
      </w:pPr>
      <w:r w:rsidRPr="00ED4383">
        <w:rPr>
          <w:rFonts w:ascii="Arial" w:hAnsi="Arial" w:cs="Arial"/>
          <w:color w:val="000000" w:themeColor="text1"/>
        </w:rPr>
        <w:t>En atención a lo señalado en la comunicación SG/E/SJ/156/2024, con fecha 26 de febrero de 2024, el Reclamante presentó a la SGCAN un escrito de subsanación, dentro del expediente FP/04/2024</w:t>
      </w:r>
      <w:r w:rsidR="00024001" w:rsidRPr="007474A6">
        <w:rPr>
          <w:rFonts w:ascii="Arial" w:hAnsi="Arial" w:cs="Arial"/>
          <w:bCs/>
          <w:iCs/>
          <w:color w:val="000000" w:themeColor="text1"/>
        </w:rPr>
        <w:t xml:space="preserve">. </w:t>
      </w:r>
    </w:p>
    <w:p w14:paraId="0A93C2B8" w14:textId="77777777" w:rsidR="0079318F" w:rsidRPr="007474A6" w:rsidRDefault="0079318F" w:rsidP="005B6D42">
      <w:pPr>
        <w:pStyle w:val="Prrafodelista"/>
        <w:spacing w:after="0" w:line="240" w:lineRule="auto"/>
        <w:ind w:left="0"/>
        <w:jc w:val="both"/>
        <w:rPr>
          <w:rFonts w:ascii="Arial" w:hAnsi="Arial" w:cs="Arial"/>
          <w:bCs/>
          <w:iCs/>
          <w:color w:val="000000" w:themeColor="text1"/>
        </w:rPr>
      </w:pPr>
    </w:p>
    <w:p w14:paraId="1902090B" w14:textId="47EEA9DC" w:rsidR="00F47532" w:rsidRPr="007474A6" w:rsidRDefault="00F47532" w:rsidP="0022679C">
      <w:pPr>
        <w:pStyle w:val="Prrafodelista"/>
        <w:numPr>
          <w:ilvl w:val="0"/>
          <w:numId w:val="15"/>
        </w:numPr>
        <w:spacing w:after="0" w:line="240" w:lineRule="auto"/>
        <w:ind w:left="709"/>
        <w:jc w:val="both"/>
        <w:rPr>
          <w:rFonts w:ascii="Arial" w:hAnsi="Arial" w:cs="Arial"/>
          <w:b/>
          <w:bCs/>
          <w:color w:val="000000" w:themeColor="text1"/>
        </w:rPr>
      </w:pPr>
      <w:r w:rsidRPr="007474A6">
        <w:rPr>
          <w:rFonts w:ascii="Arial" w:hAnsi="Arial" w:cs="Arial"/>
          <w:b/>
          <w:bCs/>
          <w:color w:val="000000" w:themeColor="text1"/>
        </w:rPr>
        <w:t>MARCO JURÍDICO DE LA FASE PREJUDICIAL</w:t>
      </w:r>
    </w:p>
    <w:p w14:paraId="7A58BE91" w14:textId="77777777" w:rsidR="00573FE1" w:rsidRPr="007474A6" w:rsidRDefault="00573FE1" w:rsidP="00573FE1">
      <w:pPr>
        <w:pStyle w:val="Prrafodelista"/>
        <w:rPr>
          <w:rFonts w:ascii="Arial" w:hAnsi="Arial" w:cs="Arial"/>
          <w:color w:val="000000" w:themeColor="text1"/>
        </w:rPr>
      </w:pPr>
    </w:p>
    <w:p w14:paraId="3EB05373" w14:textId="77777777" w:rsidR="00DE7167" w:rsidRPr="00ED4383" w:rsidRDefault="00DE7167" w:rsidP="00DE7167">
      <w:pPr>
        <w:pStyle w:val="Prrafodelista"/>
        <w:spacing w:after="0" w:line="240" w:lineRule="auto"/>
        <w:ind w:left="0" w:firstLine="708"/>
        <w:jc w:val="both"/>
        <w:rPr>
          <w:rFonts w:ascii="Arial" w:hAnsi="Arial" w:cs="Arial"/>
          <w:color w:val="000000" w:themeColor="text1"/>
        </w:rPr>
      </w:pPr>
      <w:r w:rsidRPr="00ED4383">
        <w:rPr>
          <w:rFonts w:ascii="Arial" w:hAnsi="Arial" w:cs="Arial"/>
          <w:color w:val="000000" w:themeColor="text1"/>
        </w:rPr>
        <w:t>El Acuerdo de Cartagena establece en su artículo 29</w:t>
      </w:r>
      <w:r>
        <w:rPr>
          <w:rFonts w:ascii="Arial" w:hAnsi="Arial" w:cs="Arial"/>
          <w:color w:val="000000" w:themeColor="text1"/>
        </w:rPr>
        <w:t xml:space="preserve"> </w:t>
      </w:r>
      <w:r w:rsidRPr="00ED4383">
        <w:rPr>
          <w:rFonts w:ascii="Arial" w:hAnsi="Arial" w:cs="Arial"/>
          <w:color w:val="000000" w:themeColor="text1"/>
        </w:rPr>
        <w:t>que la SGCAN se expresa a través de Resoluciones, en tanto que el artículo 30 del mismo cuerpo normativo</w:t>
      </w:r>
      <w:r>
        <w:rPr>
          <w:rFonts w:ascii="Arial" w:hAnsi="Arial" w:cs="Arial"/>
          <w:color w:val="000000" w:themeColor="text1"/>
        </w:rPr>
        <w:t>,</w:t>
      </w:r>
      <w:r w:rsidRPr="00ED4383">
        <w:rPr>
          <w:rFonts w:ascii="Arial" w:hAnsi="Arial" w:cs="Arial"/>
          <w:color w:val="000000" w:themeColor="text1"/>
        </w:rPr>
        <w:t xml:space="preserve"> dispone que este órgano comunitario es el encargado de velar por la aplicación del ordenamiento jurídico de la Comunidad Andina.</w:t>
      </w:r>
    </w:p>
    <w:p w14:paraId="0D7E3C78" w14:textId="77777777" w:rsidR="00DE7167" w:rsidRPr="00ED4383" w:rsidRDefault="00DE7167" w:rsidP="00DE7167">
      <w:pPr>
        <w:pStyle w:val="Prrafodelista"/>
        <w:spacing w:after="0" w:line="240" w:lineRule="auto"/>
        <w:ind w:left="0"/>
        <w:jc w:val="both"/>
        <w:rPr>
          <w:rFonts w:ascii="Arial" w:hAnsi="Arial" w:cs="Arial"/>
          <w:color w:val="000000" w:themeColor="text1"/>
        </w:rPr>
      </w:pPr>
    </w:p>
    <w:p w14:paraId="1117E85D" w14:textId="3EE28B54" w:rsidR="00142460" w:rsidRPr="007474A6" w:rsidRDefault="00DE7167" w:rsidP="00DE7167">
      <w:pPr>
        <w:pStyle w:val="Prrafodelista"/>
        <w:spacing w:after="0" w:line="240" w:lineRule="auto"/>
        <w:ind w:left="0" w:firstLine="708"/>
        <w:jc w:val="both"/>
        <w:rPr>
          <w:rFonts w:ascii="Arial" w:hAnsi="Arial" w:cs="Arial"/>
          <w:color w:val="000000" w:themeColor="text1"/>
        </w:rPr>
      </w:pPr>
      <w:r w:rsidRPr="00ED4383">
        <w:rPr>
          <w:rFonts w:ascii="Arial" w:hAnsi="Arial" w:cs="Arial"/>
          <w:color w:val="000000" w:themeColor="text1"/>
        </w:rPr>
        <w:t>De conformidad con el artículo 25 del Tratado de Creación del Tribunal de Justicia de la Comunidad Andina (TCTJCA) y la Decisión 623</w:t>
      </w:r>
      <w:r>
        <w:rPr>
          <w:rFonts w:ascii="Arial" w:hAnsi="Arial" w:cs="Arial"/>
          <w:color w:val="000000" w:themeColor="text1"/>
        </w:rPr>
        <w:t xml:space="preserve"> – Reglamento de la Fase Prejudicial de la Acción de Incumplimiento</w:t>
      </w:r>
      <w:r w:rsidRPr="00ED4383">
        <w:rPr>
          <w:rFonts w:ascii="Arial" w:hAnsi="Arial" w:cs="Arial"/>
          <w:color w:val="000000" w:themeColor="text1"/>
        </w:rPr>
        <w:t>, la SGCAN es competente para conocer las reclamaciones por incumplimiento de la normativa comunitaria presentadas por personas naturales o jurídicas que se sientan afectadas en sus derechos por un País Miembro</w:t>
      </w:r>
      <w:r w:rsidR="00C66AF5" w:rsidRPr="007474A6">
        <w:rPr>
          <w:rFonts w:ascii="Arial" w:hAnsi="Arial" w:cs="Arial"/>
          <w:color w:val="000000" w:themeColor="text1"/>
        </w:rPr>
        <w:t>.</w:t>
      </w:r>
    </w:p>
    <w:p w14:paraId="1CE9EE39" w14:textId="77777777" w:rsidR="00786175" w:rsidRPr="007474A6" w:rsidRDefault="00786175" w:rsidP="00786175">
      <w:pPr>
        <w:pStyle w:val="Prrafodelista"/>
        <w:rPr>
          <w:rFonts w:ascii="Arial" w:hAnsi="Arial" w:cs="Arial"/>
          <w:color w:val="000000" w:themeColor="text1"/>
        </w:rPr>
      </w:pPr>
    </w:p>
    <w:p w14:paraId="73F1C39A" w14:textId="4B3853A5" w:rsidR="00786175" w:rsidRPr="007474A6" w:rsidRDefault="00786175" w:rsidP="0022679C">
      <w:pPr>
        <w:pStyle w:val="Prrafodelista"/>
        <w:numPr>
          <w:ilvl w:val="0"/>
          <w:numId w:val="15"/>
        </w:numPr>
        <w:spacing w:after="0" w:line="240" w:lineRule="auto"/>
        <w:ind w:left="709"/>
        <w:jc w:val="both"/>
        <w:rPr>
          <w:rFonts w:ascii="Arial" w:hAnsi="Arial" w:cs="Arial"/>
          <w:b/>
          <w:bCs/>
          <w:color w:val="000000" w:themeColor="text1"/>
        </w:rPr>
      </w:pPr>
      <w:r w:rsidRPr="007474A6">
        <w:rPr>
          <w:rFonts w:ascii="Arial" w:hAnsi="Arial" w:cs="Arial"/>
          <w:b/>
          <w:bCs/>
          <w:color w:val="000000" w:themeColor="text1"/>
        </w:rPr>
        <w:t>ANÁLISIS DE LA SECRETARÍA GENERAL DE LA COMUNIDAD ANDINA</w:t>
      </w:r>
    </w:p>
    <w:p w14:paraId="2F3F7FBE" w14:textId="77777777" w:rsidR="00142460" w:rsidRPr="007474A6" w:rsidRDefault="00142460" w:rsidP="00142460">
      <w:pPr>
        <w:pStyle w:val="Prrafodelista"/>
        <w:rPr>
          <w:rFonts w:ascii="Arial" w:hAnsi="Arial" w:cs="Arial"/>
          <w:color w:val="000000" w:themeColor="text1"/>
        </w:rPr>
      </w:pPr>
    </w:p>
    <w:p w14:paraId="78783972" w14:textId="77777777" w:rsidR="00DE7167" w:rsidRPr="00ED4383" w:rsidRDefault="00DE7167" w:rsidP="00DE7167">
      <w:pPr>
        <w:pStyle w:val="Prrafodelista"/>
        <w:spacing w:after="0" w:line="240" w:lineRule="auto"/>
        <w:ind w:left="0" w:firstLine="708"/>
        <w:jc w:val="both"/>
        <w:rPr>
          <w:rFonts w:ascii="Arial" w:hAnsi="Arial" w:cs="Arial"/>
          <w:color w:val="000000" w:themeColor="text1"/>
        </w:rPr>
      </w:pPr>
      <w:r w:rsidRPr="00ED4383">
        <w:rPr>
          <w:rFonts w:ascii="Arial" w:hAnsi="Arial" w:cs="Arial"/>
          <w:color w:val="000000" w:themeColor="text1"/>
        </w:rPr>
        <w:t xml:space="preserve">Como se ha manifestado anteriormente, a fin de determinar si el reclamo cumplía o no con los requisitos del artículo 14 de la Decisión 623, la SGCAN realizó el correspondiente análisis de admisibilidad; en ese sentido, mediante comunicación </w:t>
      </w:r>
      <w:r w:rsidRPr="00ED4383">
        <w:rPr>
          <w:rFonts w:ascii="Arial" w:hAnsi="Arial" w:cs="Arial"/>
          <w:color w:val="000000" w:themeColor="text1"/>
        </w:rPr>
        <w:lastRenderedPageBreak/>
        <w:t xml:space="preserve">SG/E/SJ/156/2024 del 5 de febrero de 2024, se puso en conocimiento del interesado que la reclamación presentada se encontraba incompleta, por lo que debía ser subsanada, según lo indicado en los literales a), c) y e) del análisis de admisibilidad. </w:t>
      </w:r>
    </w:p>
    <w:p w14:paraId="3740C23A" w14:textId="77777777" w:rsidR="00DE7167" w:rsidRPr="00ED4383" w:rsidRDefault="00DE7167" w:rsidP="00DE7167">
      <w:pPr>
        <w:pStyle w:val="Prrafodelista"/>
        <w:spacing w:after="0" w:line="240" w:lineRule="auto"/>
        <w:ind w:left="0"/>
        <w:jc w:val="both"/>
        <w:rPr>
          <w:rFonts w:ascii="Arial" w:hAnsi="Arial" w:cs="Arial"/>
          <w:color w:val="000000" w:themeColor="text1"/>
        </w:rPr>
      </w:pPr>
    </w:p>
    <w:p w14:paraId="4A67EFA1" w14:textId="77777777" w:rsidR="00DE7167" w:rsidRPr="00ED4383" w:rsidRDefault="00DE7167" w:rsidP="00DE7167">
      <w:pPr>
        <w:pStyle w:val="Prrafodelista"/>
        <w:spacing w:after="0" w:line="240" w:lineRule="auto"/>
        <w:ind w:left="0" w:firstLine="708"/>
        <w:jc w:val="both"/>
        <w:rPr>
          <w:rFonts w:ascii="Arial" w:hAnsi="Arial" w:cs="Arial"/>
          <w:color w:val="000000" w:themeColor="text1"/>
        </w:rPr>
      </w:pPr>
      <w:r w:rsidRPr="00ED4383">
        <w:rPr>
          <w:rFonts w:ascii="Arial" w:hAnsi="Arial" w:cs="Arial"/>
          <w:color w:val="000000" w:themeColor="text1"/>
        </w:rPr>
        <w:t>Es así como, con fecha 26 de febrero de 2024, el solicitante presentó su escrito de subsanación, indicando que, en el marco de la acción presentada, ofreció abundante prueba respecto al incumplimiento de la Decisión 774 por parte del Estado Plurinacional de Bolivia, documentos que, en su opinión, no fueron evaluados y sobre los cuales la SGCAN no ha emitido pronunciamiento de fondo.</w:t>
      </w:r>
    </w:p>
    <w:p w14:paraId="1060D50C" w14:textId="77777777" w:rsidR="00DE7167" w:rsidRPr="00ED4383" w:rsidRDefault="00DE7167" w:rsidP="00DE7167">
      <w:pPr>
        <w:pStyle w:val="Prrafodelista"/>
        <w:rPr>
          <w:rFonts w:ascii="Arial" w:hAnsi="Arial" w:cs="Arial"/>
          <w:color w:val="000000" w:themeColor="text1"/>
        </w:rPr>
      </w:pPr>
    </w:p>
    <w:p w14:paraId="6DD9F3DD" w14:textId="77777777" w:rsidR="00DE7167" w:rsidRPr="00ED4383" w:rsidRDefault="00DE7167" w:rsidP="00DE7167">
      <w:pPr>
        <w:pStyle w:val="Prrafodelista"/>
        <w:spacing w:after="0" w:line="240" w:lineRule="auto"/>
        <w:ind w:left="0" w:firstLine="708"/>
        <w:jc w:val="both"/>
        <w:rPr>
          <w:rFonts w:ascii="Arial" w:hAnsi="Arial" w:cs="Arial"/>
          <w:color w:val="000000" w:themeColor="text1"/>
        </w:rPr>
      </w:pPr>
      <w:r w:rsidRPr="00ED4383">
        <w:rPr>
          <w:rFonts w:ascii="Arial" w:hAnsi="Arial" w:cs="Arial"/>
          <w:color w:val="000000" w:themeColor="text1"/>
        </w:rPr>
        <w:t>En este contexto, el Reclamante ha manifestado:</w:t>
      </w:r>
    </w:p>
    <w:p w14:paraId="5D6D6290" w14:textId="77777777" w:rsidR="00DE7167" w:rsidRPr="00ED4383" w:rsidRDefault="00DE7167" w:rsidP="00DE7167">
      <w:pPr>
        <w:pStyle w:val="Prrafodelista"/>
        <w:ind w:left="1418"/>
        <w:rPr>
          <w:rFonts w:ascii="Arial" w:hAnsi="Arial" w:cs="Arial"/>
          <w:i/>
          <w:iCs/>
          <w:color w:val="000000" w:themeColor="text1"/>
        </w:rPr>
      </w:pPr>
    </w:p>
    <w:p w14:paraId="486B2320" w14:textId="77777777" w:rsidR="00DE7167" w:rsidRPr="00ED4383" w:rsidRDefault="00DE7167" w:rsidP="00DE7167">
      <w:pPr>
        <w:pStyle w:val="Prrafodelista"/>
        <w:spacing w:after="0" w:line="240" w:lineRule="auto"/>
        <w:ind w:left="1418"/>
        <w:jc w:val="both"/>
        <w:rPr>
          <w:rFonts w:ascii="Arial" w:hAnsi="Arial" w:cs="Arial"/>
          <w:i/>
          <w:iCs/>
          <w:color w:val="000000" w:themeColor="text1"/>
        </w:rPr>
      </w:pPr>
      <w:r w:rsidRPr="00ED4383">
        <w:rPr>
          <w:rFonts w:ascii="Arial" w:hAnsi="Arial" w:cs="Arial"/>
          <w:i/>
          <w:iCs/>
          <w:color w:val="000000" w:themeColor="text1"/>
        </w:rPr>
        <w:t>“Como se colige en el caso específico la Secretaria de la Comunidad Andina de Naciones</w:t>
      </w:r>
      <w:r w:rsidRPr="00ED4383">
        <w:rPr>
          <w:rFonts w:ascii="Arial" w:hAnsi="Arial" w:cs="Arial"/>
          <w:color w:val="000000" w:themeColor="text1"/>
        </w:rPr>
        <w:t>[sic]</w:t>
      </w:r>
      <w:r w:rsidRPr="00ED4383">
        <w:rPr>
          <w:rFonts w:ascii="Arial" w:hAnsi="Arial" w:cs="Arial"/>
          <w:i/>
          <w:iCs/>
          <w:color w:val="000000" w:themeColor="text1"/>
        </w:rPr>
        <w:t xml:space="preserve"> no ha aludido expresamente al principio de adquisición o de comunidad de la prueba en ninguna parte del documento remitido a mi persona, debiendo considerar que para el establecimiento de sus decisiones, est</w:t>
      </w:r>
      <w:r>
        <w:rPr>
          <w:rFonts w:ascii="Arial" w:hAnsi="Arial" w:cs="Arial"/>
          <w:i/>
          <w:iCs/>
          <w:color w:val="000000" w:themeColor="text1"/>
        </w:rPr>
        <w:t>as</w:t>
      </w:r>
      <w:r w:rsidRPr="00ED4383">
        <w:rPr>
          <w:rFonts w:ascii="Arial" w:hAnsi="Arial" w:cs="Arial"/>
          <w:i/>
          <w:iCs/>
          <w:color w:val="000000" w:themeColor="text1"/>
        </w:rPr>
        <w:t xml:space="preserve"> deben basarse no solo en las pruebas ofrecidas, sino también en la pruebas requeridas al Estado sujeto del incumplimiento para desvirtuar los hechos de la denuncia en su contra, cuando en dichas pruebas existían elementos de convicción favorables al denunciante (situación completamente desconocida por su autoridad para el presente caso).</w:t>
      </w:r>
    </w:p>
    <w:p w14:paraId="512F6348" w14:textId="77777777" w:rsidR="00DE7167" w:rsidRPr="00ED4383" w:rsidRDefault="00DE7167" w:rsidP="00DE7167">
      <w:pPr>
        <w:pStyle w:val="Prrafodelista"/>
        <w:spacing w:after="0" w:line="240" w:lineRule="auto"/>
        <w:ind w:left="1418"/>
        <w:jc w:val="both"/>
        <w:rPr>
          <w:rFonts w:ascii="Arial" w:hAnsi="Arial" w:cs="Arial"/>
          <w:i/>
          <w:iCs/>
          <w:color w:val="000000" w:themeColor="text1"/>
        </w:rPr>
      </w:pPr>
      <w:r w:rsidRPr="00ED4383">
        <w:rPr>
          <w:rFonts w:ascii="Arial" w:hAnsi="Arial" w:cs="Arial"/>
          <w:i/>
          <w:iCs/>
          <w:color w:val="000000" w:themeColor="text1"/>
        </w:rPr>
        <w:t>(…)</w:t>
      </w:r>
    </w:p>
    <w:p w14:paraId="2200A723" w14:textId="77777777" w:rsidR="00DE7167" w:rsidRPr="00ED4383" w:rsidRDefault="00DE7167" w:rsidP="00DE7167">
      <w:pPr>
        <w:pStyle w:val="Prrafodelista"/>
        <w:spacing w:after="0" w:line="240" w:lineRule="auto"/>
        <w:ind w:left="1418"/>
        <w:jc w:val="both"/>
        <w:rPr>
          <w:rFonts w:ascii="Arial" w:hAnsi="Arial" w:cs="Arial"/>
          <w:color w:val="000000" w:themeColor="text1"/>
        </w:rPr>
      </w:pPr>
      <w:r w:rsidRPr="00ED4383">
        <w:rPr>
          <w:rFonts w:ascii="Arial" w:hAnsi="Arial" w:cs="Arial"/>
          <w:b/>
          <w:bCs/>
          <w:i/>
          <w:iCs/>
          <w:color w:val="000000" w:themeColor="text1"/>
          <w:u w:val="single"/>
        </w:rPr>
        <w:t>que corresponde igualmente a la parte que alegare un hecho la obligación de probarlo. No es, sin embargo, una exigencia rígida, pues en muchos casos el Estado (en este caso, el Estado Plurinacional de Bolivia) deberá cooperar en el establecimiento o existencia de un hecho alegado, o por la víctima, en su caso, hecho que fue vulnerado y que deja en indefensión al suscrito</w:t>
      </w:r>
      <w:r w:rsidRPr="00ED4383">
        <w:rPr>
          <w:rFonts w:ascii="Arial" w:hAnsi="Arial" w:cs="Arial"/>
          <w:i/>
          <w:iCs/>
          <w:color w:val="000000" w:themeColor="text1"/>
        </w:rPr>
        <w:t>”</w:t>
      </w:r>
      <w:r w:rsidRPr="00ED4383">
        <w:rPr>
          <w:rStyle w:val="Refdenotaalpie"/>
          <w:rFonts w:ascii="Arial" w:hAnsi="Arial" w:cs="Arial"/>
          <w:i/>
          <w:iCs/>
          <w:color w:val="000000" w:themeColor="text1"/>
        </w:rPr>
        <w:footnoteReference w:id="7"/>
      </w:r>
      <w:r w:rsidRPr="00ED4383">
        <w:rPr>
          <w:rFonts w:ascii="Arial" w:hAnsi="Arial" w:cs="Arial"/>
          <w:color w:val="000000" w:themeColor="text1"/>
        </w:rPr>
        <w:t xml:space="preserve"> (El resaltado es del Reclamante)</w:t>
      </w:r>
    </w:p>
    <w:p w14:paraId="0E18A55C" w14:textId="77777777" w:rsidR="00DE7167" w:rsidRPr="00ED4383" w:rsidRDefault="00DE7167" w:rsidP="00DE7167">
      <w:pPr>
        <w:pStyle w:val="Prrafodelista"/>
        <w:spacing w:after="0" w:line="240" w:lineRule="auto"/>
        <w:ind w:left="0"/>
        <w:jc w:val="both"/>
        <w:rPr>
          <w:rFonts w:ascii="Arial" w:hAnsi="Arial" w:cs="Arial"/>
          <w:color w:val="000000" w:themeColor="text1"/>
        </w:rPr>
      </w:pPr>
    </w:p>
    <w:p w14:paraId="628C8460" w14:textId="77777777" w:rsidR="00DE7167" w:rsidRPr="00ED4383" w:rsidRDefault="00DE7167" w:rsidP="00DE7167">
      <w:pPr>
        <w:pStyle w:val="Prrafodelista"/>
        <w:spacing w:after="0" w:line="240" w:lineRule="auto"/>
        <w:ind w:left="0" w:firstLine="708"/>
        <w:jc w:val="both"/>
        <w:rPr>
          <w:rFonts w:ascii="Arial" w:hAnsi="Arial" w:cs="Arial"/>
        </w:rPr>
      </w:pPr>
      <w:r w:rsidRPr="00ED4383">
        <w:rPr>
          <w:rFonts w:ascii="Arial" w:hAnsi="Arial" w:cs="Arial"/>
        </w:rPr>
        <w:t xml:space="preserve">Al respecto, es importante puntualizar que, conforme lo establece el artículo 15 de la Decisión 623, una vez recibido el reclamo por incumplimiento, la SGCAN deberá analizar la documentación presentada con el escrito de reclamo a fin de determinar si el mismo cumple o no con los requisitos establecidos en el artículo 14 de la referida Decisión, </w:t>
      </w:r>
      <w:r w:rsidRPr="00ED4383">
        <w:rPr>
          <w:rFonts w:ascii="Arial" w:hAnsi="Arial" w:cs="Arial"/>
          <w:u w:val="single"/>
        </w:rPr>
        <w:t>sin efectuar aún una evaluación sobre los aspectos de fondo del asunto en cuestión</w:t>
      </w:r>
      <w:r w:rsidRPr="00ED4383">
        <w:rPr>
          <w:rFonts w:ascii="Arial" w:hAnsi="Arial" w:cs="Arial"/>
        </w:rPr>
        <w:t>. E</w:t>
      </w:r>
      <w:r w:rsidRPr="00ED4383">
        <w:rPr>
          <w:rFonts w:ascii="Arial" w:hAnsi="Arial" w:cs="Arial"/>
          <w:color w:val="000000" w:themeColor="text1"/>
        </w:rPr>
        <w:t xml:space="preserve">n esta etapa preliminar, la SGCAN cuenta con un plazo de cinco (5) días hábiles para realizar este análisis y, en caso de identificar alguna omisión o insuficiencia, deberá notificar por escrito al reclamante. </w:t>
      </w:r>
    </w:p>
    <w:p w14:paraId="43BF3B6E" w14:textId="77777777" w:rsidR="00DE7167" w:rsidRPr="00ED4383" w:rsidRDefault="00DE7167" w:rsidP="00DE7167">
      <w:pPr>
        <w:pStyle w:val="Prrafodelista"/>
        <w:rPr>
          <w:rFonts w:ascii="Arial" w:hAnsi="Arial" w:cs="Arial"/>
          <w:color w:val="000000" w:themeColor="text1"/>
        </w:rPr>
      </w:pPr>
    </w:p>
    <w:p w14:paraId="1A57BBA9" w14:textId="77777777" w:rsidR="00DE7167" w:rsidRPr="00ED4383" w:rsidRDefault="00DE7167" w:rsidP="00DE7167">
      <w:pPr>
        <w:pStyle w:val="Prrafodelista"/>
        <w:spacing w:after="0" w:line="240" w:lineRule="auto"/>
        <w:ind w:left="0" w:firstLine="708"/>
        <w:jc w:val="both"/>
        <w:rPr>
          <w:rFonts w:ascii="Arial" w:hAnsi="Arial" w:cs="Arial"/>
          <w:color w:val="000000" w:themeColor="text1"/>
        </w:rPr>
      </w:pPr>
      <w:r w:rsidRPr="00ED4383">
        <w:rPr>
          <w:rFonts w:ascii="Arial" w:hAnsi="Arial" w:cs="Arial"/>
          <w:color w:val="000000" w:themeColor="text1"/>
        </w:rPr>
        <w:t>En cuanto a los criterios que debe observar la SGCAN respecto del análisis de admisibilidad de los reclamos presentados para iniciar la Fase Prejudicial de la Acción de Incumplimiento, el Honorable Tribunal de Justicia de la Comunidad Andina ha señalado lo siguiente:</w:t>
      </w:r>
    </w:p>
    <w:p w14:paraId="32C70DEC" w14:textId="77777777" w:rsidR="00DE7167" w:rsidRPr="00ED4383" w:rsidRDefault="00DE7167" w:rsidP="00DE7167">
      <w:pPr>
        <w:pStyle w:val="Prrafodelista"/>
        <w:spacing w:after="0" w:line="240" w:lineRule="auto"/>
        <w:ind w:left="0"/>
        <w:jc w:val="both"/>
        <w:rPr>
          <w:rFonts w:ascii="Arial" w:hAnsi="Arial" w:cs="Arial"/>
          <w:color w:val="000000" w:themeColor="text1"/>
        </w:rPr>
      </w:pPr>
    </w:p>
    <w:p w14:paraId="196DF42C" w14:textId="77777777" w:rsidR="00DE7167" w:rsidRPr="00ED4383" w:rsidRDefault="00DE7167" w:rsidP="00DE7167">
      <w:pPr>
        <w:pStyle w:val="Prrafodelista"/>
        <w:spacing w:after="0" w:line="240" w:lineRule="auto"/>
        <w:ind w:left="1418"/>
        <w:jc w:val="both"/>
        <w:rPr>
          <w:rFonts w:ascii="Arial" w:hAnsi="Arial" w:cs="Arial"/>
          <w:i/>
          <w:iCs/>
          <w:color w:val="000000" w:themeColor="text1"/>
        </w:rPr>
      </w:pPr>
      <w:r w:rsidRPr="00ED4383">
        <w:rPr>
          <w:rFonts w:ascii="Arial" w:hAnsi="Arial" w:cs="Arial"/>
          <w:i/>
          <w:iCs/>
          <w:color w:val="000000" w:themeColor="text1"/>
        </w:rPr>
        <w:t xml:space="preserve">“De conformidad con el principio de atribución y competencias propio del derecho comunitario andino, las actuaciones de la SGCA, en la etapa de admisibilidad de un reclamo presentado por un País Miembro o por una persona natural o jurídica afectada en sus derechos o intereses legítimos, se encuentran debidamente regladas y </w:t>
      </w:r>
      <w:r w:rsidRPr="00ED4383">
        <w:rPr>
          <w:rFonts w:ascii="Arial" w:hAnsi="Arial" w:cs="Arial"/>
          <w:i/>
          <w:iCs/>
          <w:color w:val="000000" w:themeColor="text1"/>
          <w:u w:val="single"/>
        </w:rPr>
        <w:t>deben limitarse a verificar el cumplimiento de los requisitos taxativamente enumerados en el Artículo 14 de la Decisión 623, con el único propósito de admitir a trámite el reclamo o, de ser el caso, conceder al reclamante un plazo de quince (15) días hábiles para su debida regularización</w:t>
      </w:r>
      <w:r w:rsidRPr="00ED4383">
        <w:rPr>
          <w:rFonts w:ascii="Arial" w:hAnsi="Arial" w:cs="Arial"/>
          <w:i/>
          <w:iCs/>
          <w:color w:val="000000" w:themeColor="text1"/>
        </w:rPr>
        <w:t>.</w:t>
      </w:r>
    </w:p>
    <w:p w14:paraId="2A3D02DE" w14:textId="77777777" w:rsidR="00DE7167" w:rsidRPr="00ED4383" w:rsidRDefault="00DE7167" w:rsidP="00DE7167">
      <w:pPr>
        <w:pStyle w:val="Prrafodelista"/>
        <w:spacing w:after="0" w:line="240" w:lineRule="auto"/>
        <w:ind w:left="1418"/>
        <w:jc w:val="both"/>
        <w:rPr>
          <w:rFonts w:ascii="Arial" w:hAnsi="Arial" w:cs="Arial"/>
          <w:i/>
          <w:iCs/>
          <w:color w:val="000000" w:themeColor="text1"/>
        </w:rPr>
      </w:pPr>
    </w:p>
    <w:p w14:paraId="01A3D20C" w14:textId="77777777" w:rsidR="00DE7167" w:rsidRPr="00ED4383" w:rsidRDefault="00DE7167" w:rsidP="00DE7167">
      <w:pPr>
        <w:pStyle w:val="Prrafodelista"/>
        <w:spacing w:after="0" w:line="240" w:lineRule="auto"/>
        <w:ind w:left="1418"/>
        <w:jc w:val="both"/>
        <w:rPr>
          <w:rFonts w:ascii="Arial" w:hAnsi="Arial" w:cs="Arial"/>
          <w:color w:val="000000" w:themeColor="text1"/>
        </w:rPr>
      </w:pPr>
      <w:r w:rsidRPr="00ED4383">
        <w:rPr>
          <w:rFonts w:ascii="Arial" w:hAnsi="Arial" w:cs="Arial"/>
          <w:i/>
          <w:iCs/>
          <w:color w:val="000000" w:themeColor="text1"/>
          <w:u w:val="single"/>
        </w:rPr>
        <w:lastRenderedPageBreak/>
        <w:t>En ningún caso, durante la etapa de verificación de la admisibilidad de un reclamo, la SGCA podrá anticipar criterio y mucho menos realizar un análisis de fondo sobre el objeto del presunto incumplimiento reclamado o sobre las pretensiones del reclamante</w:t>
      </w:r>
      <w:r w:rsidRPr="00ED4383">
        <w:rPr>
          <w:rFonts w:ascii="Arial" w:hAnsi="Arial" w:cs="Arial"/>
          <w:i/>
          <w:iCs/>
          <w:color w:val="000000" w:themeColor="text1"/>
        </w:rPr>
        <w:t>, con el propósito de inadmitirlo a trámite o archivarlo.”</w:t>
      </w:r>
      <w:r w:rsidRPr="00ED4383">
        <w:rPr>
          <w:rStyle w:val="Refdenotaalpie"/>
          <w:rFonts w:ascii="Arial" w:hAnsi="Arial" w:cs="Arial"/>
          <w:i/>
          <w:iCs/>
          <w:color w:val="000000" w:themeColor="text1"/>
        </w:rPr>
        <w:footnoteReference w:id="8"/>
      </w:r>
      <w:r w:rsidRPr="00ED4383">
        <w:rPr>
          <w:rFonts w:ascii="Arial" w:hAnsi="Arial" w:cs="Arial"/>
          <w:color w:val="000000" w:themeColor="text1"/>
        </w:rPr>
        <w:t xml:space="preserve"> (Énfasis agregado)</w:t>
      </w:r>
    </w:p>
    <w:p w14:paraId="04BDD035" w14:textId="77777777" w:rsidR="00DE7167" w:rsidRPr="00ED4383" w:rsidRDefault="00DE7167" w:rsidP="00DE7167">
      <w:pPr>
        <w:pStyle w:val="Prrafodelista"/>
        <w:spacing w:after="0" w:line="240" w:lineRule="auto"/>
        <w:ind w:left="0"/>
        <w:jc w:val="both"/>
        <w:rPr>
          <w:rFonts w:ascii="Arial" w:hAnsi="Arial" w:cs="Arial"/>
          <w:color w:val="000000" w:themeColor="text1"/>
        </w:rPr>
      </w:pPr>
    </w:p>
    <w:p w14:paraId="00E93D6D" w14:textId="77777777" w:rsidR="00DE7167" w:rsidRPr="00ED4383" w:rsidRDefault="00DE7167" w:rsidP="00DE7167">
      <w:pPr>
        <w:pStyle w:val="Prrafodelista"/>
        <w:spacing w:after="0" w:line="240" w:lineRule="auto"/>
        <w:ind w:left="0" w:firstLine="708"/>
        <w:jc w:val="both"/>
        <w:rPr>
          <w:rFonts w:ascii="Arial" w:hAnsi="Arial" w:cs="Arial"/>
          <w:color w:val="000000" w:themeColor="text1"/>
        </w:rPr>
      </w:pPr>
      <w:r w:rsidRPr="00ED4383">
        <w:rPr>
          <w:rFonts w:ascii="Arial" w:hAnsi="Arial" w:cs="Arial"/>
        </w:rPr>
        <w:t xml:space="preserve">Teniendo en cuenta lo señalado por el Honorable Tribunal de Justicia de la Comunidad Andina, la SGCAN analizó el reclamo y la documentación remitida por el Reclamante, y </w:t>
      </w:r>
      <w:r w:rsidRPr="00ED4383">
        <w:rPr>
          <w:rFonts w:ascii="Arial" w:hAnsi="Arial" w:cs="Arial"/>
          <w:color w:val="000000" w:themeColor="text1"/>
        </w:rPr>
        <w:t>solicitó la subsanación correspondiente, precisando que el referido análisis lo efectuaba con el objeto de determinar si el reclamo cumplía o no con los requisitos establecidos en el artículo 14 de la Decisión 623, sin efectuar el análisis de la materia de fondo.</w:t>
      </w:r>
      <w:r w:rsidRPr="00ED4383">
        <w:rPr>
          <w:rStyle w:val="Refdenotaalpie"/>
          <w:rFonts w:ascii="Arial" w:hAnsi="Arial" w:cs="Arial"/>
          <w:color w:val="000000" w:themeColor="text1"/>
        </w:rPr>
        <w:footnoteReference w:id="9"/>
      </w:r>
    </w:p>
    <w:p w14:paraId="0EE6381B" w14:textId="77777777" w:rsidR="00DE7167" w:rsidRPr="00ED4383" w:rsidRDefault="00DE7167" w:rsidP="00DE7167">
      <w:pPr>
        <w:pStyle w:val="Prrafodelista"/>
        <w:spacing w:after="0" w:line="240" w:lineRule="auto"/>
        <w:ind w:left="0"/>
        <w:jc w:val="both"/>
        <w:rPr>
          <w:rFonts w:ascii="Arial" w:hAnsi="Arial" w:cs="Arial"/>
          <w:color w:val="000000" w:themeColor="text1"/>
        </w:rPr>
      </w:pPr>
    </w:p>
    <w:p w14:paraId="31030C2D" w14:textId="77777777" w:rsidR="00DE7167" w:rsidRPr="00ED4383" w:rsidRDefault="00DE7167" w:rsidP="00DE7167">
      <w:pPr>
        <w:pStyle w:val="Prrafodelista"/>
        <w:spacing w:after="0" w:line="240" w:lineRule="auto"/>
        <w:ind w:left="0" w:firstLine="708"/>
        <w:jc w:val="both"/>
        <w:rPr>
          <w:rFonts w:ascii="Arial" w:hAnsi="Arial" w:cs="Arial"/>
          <w:color w:val="000000" w:themeColor="text1"/>
        </w:rPr>
      </w:pPr>
      <w:r w:rsidRPr="00ED4383">
        <w:rPr>
          <w:rFonts w:ascii="Arial" w:hAnsi="Arial" w:cs="Arial"/>
        </w:rPr>
        <w:t>En este sentido, es importante enfatizar</w:t>
      </w:r>
      <w:r w:rsidRPr="00ED4383">
        <w:rPr>
          <w:rFonts w:ascii="Arial" w:hAnsi="Arial" w:cs="Arial"/>
          <w:color w:val="000000" w:themeColor="text1"/>
        </w:rPr>
        <w:t xml:space="preserve"> que la SGCAN, </w:t>
      </w:r>
      <w:r w:rsidRPr="00ED4383">
        <w:rPr>
          <w:rFonts w:ascii="Arial" w:hAnsi="Arial" w:cs="Arial"/>
          <w:color w:val="000000" w:themeColor="text1"/>
          <w:u w:val="single"/>
        </w:rPr>
        <w:t>sólo después de haber admitido un reclamo es que procede a efectuar la evaluación de los argumentos de fondo de las reclamaciones,</w:t>
      </w:r>
      <w:r w:rsidRPr="00C91633">
        <w:rPr>
          <w:rFonts w:ascii="Arial" w:hAnsi="Arial" w:cs="Arial"/>
          <w:color w:val="000000" w:themeColor="text1"/>
        </w:rPr>
        <w:t xml:space="preserve"> culminando</w:t>
      </w:r>
      <w:r w:rsidRPr="00ED4383">
        <w:rPr>
          <w:rFonts w:ascii="Arial" w:hAnsi="Arial" w:cs="Arial"/>
          <w:color w:val="000000" w:themeColor="text1"/>
        </w:rPr>
        <w:t xml:space="preserve"> la Fase Prejudicial de la Acción de Incumplimiento con la emisión de un dictamen motivado sobre el estado de cumplimiento o incumplimiento de las obligaciones derivadas del ordenamiento jurídico de la Comunidad Andina que hubieren sido materia del correspondiente reclamo.</w:t>
      </w:r>
    </w:p>
    <w:p w14:paraId="5CF6D5E0" w14:textId="77777777" w:rsidR="00DE7167" w:rsidRPr="00ED4383" w:rsidRDefault="00DE7167" w:rsidP="00DE7167">
      <w:pPr>
        <w:pStyle w:val="Prrafodelista"/>
        <w:rPr>
          <w:rFonts w:ascii="Arial" w:hAnsi="Arial" w:cs="Arial"/>
          <w:color w:val="000000" w:themeColor="text1"/>
        </w:rPr>
      </w:pPr>
    </w:p>
    <w:p w14:paraId="0477EB6D" w14:textId="77777777" w:rsidR="00DE7167" w:rsidRPr="00ED4383" w:rsidRDefault="00DE7167" w:rsidP="00DE7167">
      <w:pPr>
        <w:pStyle w:val="Prrafodelista"/>
        <w:spacing w:after="0" w:line="240" w:lineRule="auto"/>
        <w:ind w:left="0" w:firstLine="708"/>
        <w:jc w:val="both"/>
        <w:rPr>
          <w:rFonts w:ascii="Arial" w:hAnsi="Arial" w:cs="Arial"/>
          <w:color w:val="000000" w:themeColor="text1"/>
        </w:rPr>
      </w:pPr>
      <w:r w:rsidRPr="00ED4383">
        <w:rPr>
          <w:rFonts w:ascii="Arial" w:hAnsi="Arial" w:cs="Arial"/>
          <w:color w:val="000000" w:themeColor="text1"/>
        </w:rPr>
        <w:t xml:space="preserve">Ahora bien, respecto </w:t>
      </w:r>
      <w:r>
        <w:rPr>
          <w:rFonts w:ascii="Arial" w:hAnsi="Arial" w:cs="Arial"/>
          <w:color w:val="000000" w:themeColor="text1"/>
        </w:rPr>
        <w:t>de</w:t>
      </w:r>
      <w:r w:rsidRPr="00ED4383">
        <w:rPr>
          <w:rFonts w:ascii="Arial" w:hAnsi="Arial" w:cs="Arial"/>
          <w:color w:val="000000" w:themeColor="text1"/>
        </w:rPr>
        <w:t xml:space="preserve"> los acápites a), c) y e) del Análisis de Admisibilidad realizado en el presente caso, el solicitante en su escrito de subsanación (recibido por la SGCAN el 26 de febrero de 2024), ha indicado que con su solicitud del 29 de enero de 2024, entregó pruebas documentales que demuestran y desvirtúan las afirmaciones  realizadas por la SGCAN en la comunicación SG/E/SJ/156/2024, respecto a que: no se evidencia información específica que acredite la condición del reclamante como persona afectada por el incumplimiento de la Decisión 774 como norma comunitaria; no resulta clara la relación de normas con el incumplimiento de la norma comunitaria; no se han expuesto con claridad las razones del alegado incumplimiento de la norma comunitaria por parte del Estado boliviano. Agrega asimismo el Reclamante que dichos documentos han sido entregados nuevamente en su escrito de subsanación para su análisis.</w:t>
      </w:r>
    </w:p>
    <w:p w14:paraId="078F65C1" w14:textId="77777777" w:rsidR="00DE7167" w:rsidRPr="00ED4383" w:rsidRDefault="00DE7167" w:rsidP="00DE7167">
      <w:pPr>
        <w:pStyle w:val="Prrafodelista"/>
        <w:spacing w:after="0" w:line="240" w:lineRule="auto"/>
        <w:ind w:left="1418"/>
        <w:jc w:val="both"/>
        <w:rPr>
          <w:rFonts w:ascii="Arial" w:hAnsi="Arial" w:cs="Arial"/>
          <w:color w:val="000000" w:themeColor="text1"/>
        </w:rPr>
      </w:pPr>
    </w:p>
    <w:p w14:paraId="233F5696" w14:textId="77777777" w:rsidR="00DE7167" w:rsidRPr="00ED4383" w:rsidRDefault="00DE7167" w:rsidP="00DE7167">
      <w:pPr>
        <w:pStyle w:val="Prrafodelista"/>
        <w:spacing w:after="0" w:line="240" w:lineRule="auto"/>
        <w:ind w:left="0" w:firstLine="708"/>
        <w:jc w:val="both"/>
        <w:rPr>
          <w:rFonts w:ascii="Arial" w:hAnsi="Arial" w:cs="Arial"/>
          <w:color w:val="000000" w:themeColor="text1"/>
        </w:rPr>
      </w:pPr>
      <w:r w:rsidRPr="00ED4383">
        <w:rPr>
          <w:rFonts w:ascii="Arial" w:hAnsi="Arial" w:cs="Arial"/>
          <w:color w:val="000000" w:themeColor="text1"/>
        </w:rPr>
        <w:t>Cabe mencionar que, el Reclamante ha indicado que no existen avances respecto a los ilícitos por él denunciados en contra de la minería ilegal; en consecuencia, el Estado Plurinacional de Bolivia estaría incurriendo en incumplimiento de la Decisión 774 en particular los artículos 1, 2, 4, 5, 6 y 7, afectando el derecho a la vida, el derecho a la salud y el derecho al agua, tanto en forma individual como colectiva:</w:t>
      </w:r>
    </w:p>
    <w:p w14:paraId="4FE9782E" w14:textId="77777777" w:rsidR="00DE7167" w:rsidRPr="00ED4383" w:rsidRDefault="00DE7167" w:rsidP="00DE7167">
      <w:pPr>
        <w:pStyle w:val="Prrafodelista"/>
        <w:spacing w:after="0" w:line="240" w:lineRule="auto"/>
        <w:ind w:left="0"/>
        <w:jc w:val="both"/>
        <w:rPr>
          <w:rFonts w:ascii="Arial" w:hAnsi="Arial" w:cs="Arial"/>
          <w:color w:val="000000" w:themeColor="text1"/>
        </w:rPr>
      </w:pPr>
    </w:p>
    <w:p w14:paraId="4AB465AF" w14:textId="77777777" w:rsidR="00DE7167" w:rsidRPr="00ED4383" w:rsidRDefault="00DE7167" w:rsidP="00DE7167">
      <w:pPr>
        <w:pStyle w:val="Prrafodelista"/>
        <w:spacing w:after="0" w:line="240" w:lineRule="auto"/>
        <w:ind w:left="1416"/>
        <w:jc w:val="both"/>
        <w:rPr>
          <w:rFonts w:ascii="Arial" w:hAnsi="Arial" w:cs="Arial"/>
          <w:color w:val="000000" w:themeColor="text1"/>
        </w:rPr>
      </w:pPr>
      <w:r w:rsidRPr="00ED4383">
        <w:rPr>
          <w:rFonts w:ascii="Arial" w:hAnsi="Arial" w:cs="Arial"/>
          <w:i/>
          <w:iCs/>
          <w:color w:val="000000" w:themeColor="text1"/>
        </w:rPr>
        <w:t xml:space="preserve">“(…) </w:t>
      </w:r>
      <w:r w:rsidRPr="00ED4383">
        <w:rPr>
          <w:rFonts w:ascii="Arial" w:hAnsi="Arial" w:cs="Arial"/>
          <w:b/>
          <w:bCs/>
          <w:i/>
          <w:iCs/>
          <w:color w:val="000000" w:themeColor="text1"/>
          <w:u w:val="single"/>
        </w:rPr>
        <w:t>el Estado Boliviano y sus autoridades han incurrido en actos y omisiones que generan un incumplimiento y que además vulneran y amenazan con lesionar nuestros derechos e intereses colectivos a un medio ambiente saludable, seguridad, vida y otros</w:t>
      </w:r>
      <w:r w:rsidRPr="00ED4383">
        <w:rPr>
          <w:rFonts w:ascii="Arial" w:hAnsi="Arial" w:cs="Arial"/>
          <w:i/>
          <w:iCs/>
          <w:color w:val="000000" w:themeColor="text1"/>
        </w:rPr>
        <w:t>; tengo a bien reiterar la pretensión destinada a la activación de la “acción de incumplimiento”</w:t>
      </w:r>
      <w:r w:rsidRPr="00ED4383">
        <w:rPr>
          <w:rFonts w:ascii="Arial" w:hAnsi="Arial" w:cs="Arial"/>
          <w:i/>
          <w:iCs/>
        </w:rPr>
        <w:t>, ROGANDO E IMPLORANDO SU ADMISION A FIN DE GARANTIZAR EL CUMPLIMIENTO Y APLICACION DE DERECHOS HUMANOS AFECTADOS POR EL INCUMPLIMIENTO DE LA DECISION N°774</w:t>
      </w:r>
      <w:r w:rsidRPr="00ED4383">
        <w:rPr>
          <w:rFonts w:ascii="Arial" w:hAnsi="Arial" w:cs="Arial"/>
          <w:i/>
          <w:iCs/>
          <w:color w:val="000000" w:themeColor="text1"/>
        </w:rPr>
        <w:t xml:space="preserve"> (…)”</w:t>
      </w:r>
      <w:r w:rsidRPr="00ED4383">
        <w:rPr>
          <w:rStyle w:val="Refdenotaalpie"/>
          <w:rFonts w:ascii="Arial" w:hAnsi="Arial" w:cs="Arial"/>
          <w:i/>
          <w:iCs/>
          <w:color w:val="000000" w:themeColor="text1"/>
        </w:rPr>
        <w:footnoteReference w:id="10"/>
      </w:r>
      <w:r w:rsidRPr="00ED4383">
        <w:rPr>
          <w:rFonts w:ascii="Arial" w:hAnsi="Arial" w:cs="Arial"/>
          <w:i/>
          <w:iCs/>
          <w:color w:val="000000" w:themeColor="text1"/>
        </w:rPr>
        <w:t xml:space="preserve"> </w:t>
      </w:r>
      <w:r w:rsidRPr="00ED4383">
        <w:rPr>
          <w:rFonts w:ascii="Arial" w:hAnsi="Arial" w:cs="Arial"/>
          <w:color w:val="000000" w:themeColor="text1"/>
        </w:rPr>
        <w:t>(Énfasis añadido)</w:t>
      </w:r>
    </w:p>
    <w:p w14:paraId="05ADD6C6" w14:textId="77777777" w:rsidR="00DE7167" w:rsidRPr="00ED4383" w:rsidRDefault="00DE7167" w:rsidP="00DE7167">
      <w:pPr>
        <w:pStyle w:val="Prrafodelista"/>
        <w:spacing w:after="0" w:line="240" w:lineRule="auto"/>
        <w:ind w:left="1416"/>
        <w:jc w:val="both"/>
        <w:rPr>
          <w:rFonts w:ascii="Arial" w:hAnsi="Arial" w:cs="Arial"/>
          <w:color w:val="000000" w:themeColor="text1"/>
        </w:rPr>
      </w:pPr>
    </w:p>
    <w:p w14:paraId="7915287E" w14:textId="77777777" w:rsidR="00DE7167" w:rsidRPr="00ED4383" w:rsidRDefault="00DE7167" w:rsidP="00DE7167">
      <w:pPr>
        <w:pStyle w:val="Prrafodelista"/>
        <w:spacing w:after="0" w:line="240" w:lineRule="auto"/>
        <w:ind w:left="0" w:firstLine="708"/>
        <w:jc w:val="both"/>
        <w:rPr>
          <w:rFonts w:ascii="Arial" w:hAnsi="Arial" w:cs="Arial"/>
          <w:color w:val="000000" w:themeColor="text1"/>
        </w:rPr>
      </w:pPr>
      <w:r w:rsidRPr="00ED4383">
        <w:rPr>
          <w:rFonts w:ascii="Arial" w:hAnsi="Arial" w:cs="Arial"/>
          <w:color w:val="000000" w:themeColor="text1"/>
        </w:rPr>
        <w:t xml:space="preserve">Cabe </w:t>
      </w:r>
      <w:r>
        <w:rPr>
          <w:rFonts w:ascii="Arial" w:hAnsi="Arial" w:cs="Arial"/>
          <w:color w:val="000000" w:themeColor="text1"/>
        </w:rPr>
        <w:t xml:space="preserve">asimismo </w:t>
      </w:r>
      <w:r w:rsidRPr="00ED4383">
        <w:rPr>
          <w:rFonts w:ascii="Arial" w:hAnsi="Arial" w:cs="Arial"/>
          <w:color w:val="000000" w:themeColor="text1"/>
        </w:rPr>
        <w:t>señalar que el Reclamante propone como experto en temas sociales y mineros, ambientales y temas propios relativos al uso y consecuencias del mercurio al Lic. Oscar Efraín Campanini Gonzales.</w:t>
      </w:r>
    </w:p>
    <w:p w14:paraId="3BBF5D50" w14:textId="77777777" w:rsidR="00DE7167" w:rsidRPr="00ED4383" w:rsidRDefault="00DE7167" w:rsidP="00DE7167">
      <w:pPr>
        <w:pStyle w:val="Prrafodelista"/>
        <w:rPr>
          <w:rFonts w:ascii="Arial" w:hAnsi="Arial" w:cs="Arial"/>
          <w:color w:val="000000" w:themeColor="text1"/>
        </w:rPr>
      </w:pPr>
    </w:p>
    <w:p w14:paraId="376BA380" w14:textId="77777777" w:rsidR="00DE7167" w:rsidRPr="00ED4383" w:rsidRDefault="00DE7167" w:rsidP="00DE7167">
      <w:pPr>
        <w:pStyle w:val="Prrafodelista"/>
        <w:spacing w:after="0" w:line="240" w:lineRule="auto"/>
        <w:ind w:left="0" w:firstLine="708"/>
        <w:jc w:val="both"/>
        <w:rPr>
          <w:rFonts w:ascii="Arial" w:hAnsi="Arial" w:cs="Arial"/>
          <w:color w:val="000000" w:themeColor="text1"/>
        </w:rPr>
      </w:pPr>
      <w:r w:rsidRPr="00ED4383">
        <w:rPr>
          <w:rFonts w:ascii="Arial" w:hAnsi="Arial" w:cs="Arial"/>
          <w:color w:val="000000" w:themeColor="text1"/>
        </w:rPr>
        <w:lastRenderedPageBreak/>
        <w:t>De la revisión del escrito de subsanación remitido por el Reclamante el 26 de febrero de 2024</w:t>
      </w:r>
      <w:r w:rsidRPr="00ED4383">
        <w:rPr>
          <w:rStyle w:val="Refdenotaalpie"/>
          <w:rFonts w:ascii="Arial" w:hAnsi="Arial" w:cs="Arial"/>
          <w:color w:val="000000" w:themeColor="text1"/>
        </w:rPr>
        <w:footnoteReference w:id="11"/>
      </w:r>
      <w:r w:rsidRPr="00ED4383">
        <w:rPr>
          <w:rFonts w:ascii="Arial" w:hAnsi="Arial" w:cs="Arial"/>
          <w:color w:val="000000" w:themeColor="text1"/>
        </w:rPr>
        <w:t xml:space="preserve">, se aprecia lo siguiente: </w:t>
      </w:r>
    </w:p>
    <w:p w14:paraId="376C2C62" w14:textId="77777777" w:rsidR="00DE7167" w:rsidRPr="00ED4383" w:rsidRDefault="00DE7167" w:rsidP="00DE7167">
      <w:pPr>
        <w:pStyle w:val="Prrafodelista"/>
        <w:rPr>
          <w:rFonts w:ascii="Arial" w:hAnsi="Arial" w:cs="Arial"/>
          <w:b/>
          <w:bCs/>
          <w:i/>
          <w:iCs/>
          <w:color w:val="000000" w:themeColor="text1"/>
        </w:rPr>
      </w:pPr>
    </w:p>
    <w:p w14:paraId="4BEF7EFF" w14:textId="77777777" w:rsidR="00DE7167" w:rsidRPr="00ED4383" w:rsidRDefault="00DE7167" w:rsidP="00DE7167">
      <w:pPr>
        <w:pStyle w:val="Prrafodelista"/>
        <w:spacing w:after="0" w:line="240" w:lineRule="auto"/>
        <w:ind w:left="0"/>
        <w:jc w:val="both"/>
        <w:rPr>
          <w:rFonts w:ascii="Arial" w:hAnsi="Arial" w:cs="Arial"/>
          <w:color w:val="000000" w:themeColor="text1"/>
        </w:rPr>
      </w:pPr>
      <w:r w:rsidRPr="00ED4383">
        <w:rPr>
          <w:rFonts w:ascii="Arial" w:hAnsi="Arial" w:cs="Arial"/>
          <w:b/>
          <w:bCs/>
          <w:i/>
          <w:iCs/>
          <w:color w:val="000000" w:themeColor="text1"/>
        </w:rPr>
        <w:t>III.1. En cuanto a la identificación completa del reclamante, su acreditación y la afectación de sus derechos</w:t>
      </w:r>
      <w:r w:rsidRPr="00ED4383">
        <w:rPr>
          <w:rFonts w:ascii="Arial" w:hAnsi="Arial" w:cs="Arial"/>
          <w:i/>
          <w:iCs/>
          <w:color w:val="000000" w:themeColor="text1"/>
        </w:rPr>
        <w:t xml:space="preserve">. </w:t>
      </w:r>
    </w:p>
    <w:p w14:paraId="3DE7DCD8" w14:textId="77777777" w:rsidR="00DE7167" w:rsidRPr="00ED4383" w:rsidRDefault="00DE7167" w:rsidP="00DE7167">
      <w:pPr>
        <w:pStyle w:val="Prrafodelista"/>
        <w:spacing w:after="0" w:line="240" w:lineRule="auto"/>
        <w:ind w:left="0"/>
        <w:jc w:val="both"/>
        <w:rPr>
          <w:rFonts w:ascii="Arial" w:hAnsi="Arial" w:cs="Arial"/>
          <w:color w:val="000000" w:themeColor="text1"/>
        </w:rPr>
      </w:pPr>
    </w:p>
    <w:p w14:paraId="03102D01" w14:textId="77777777" w:rsidR="00DE7167" w:rsidRPr="00ED4383" w:rsidRDefault="00DE7167" w:rsidP="00DE7167">
      <w:pPr>
        <w:pStyle w:val="Prrafodelista"/>
        <w:spacing w:after="0" w:line="240" w:lineRule="auto"/>
        <w:ind w:left="0" w:firstLine="708"/>
        <w:jc w:val="both"/>
        <w:rPr>
          <w:rFonts w:ascii="Arial" w:hAnsi="Arial" w:cs="Arial"/>
          <w:color w:val="000000" w:themeColor="text1"/>
        </w:rPr>
      </w:pPr>
      <w:r w:rsidRPr="00ED4383">
        <w:rPr>
          <w:rFonts w:ascii="Arial" w:hAnsi="Arial" w:cs="Arial"/>
          <w:color w:val="000000" w:themeColor="text1"/>
        </w:rPr>
        <w:t xml:space="preserve">La Decisión 623 en su artículo 13 establece que, de conformidad con el artículo 25 del Tratado de Creación del Tribunal de Justicia de la Comunidad Andina (TCTJCA), cuando una persona </w:t>
      </w:r>
      <w:r w:rsidRPr="00ED4383">
        <w:rPr>
          <w:rFonts w:ascii="Arial" w:hAnsi="Arial" w:cs="Arial"/>
          <w:color w:val="000000" w:themeColor="text1"/>
          <w:u w:val="single"/>
        </w:rPr>
        <w:t>natural o jurídica afectada en sus derechos</w:t>
      </w:r>
      <w:r w:rsidRPr="00ED4383">
        <w:rPr>
          <w:rFonts w:ascii="Arial" w:hAnsi="Arial" w:cs="Arial"/>
          <w:color w:val="000000" w:themeColor="text1"/>
        </w:rPr>
        <w:t xml:space="preserve"> considere que un País Miembro ha incurrido en incumplimiento de sus obligaciones emanadas del ordenamiento jurídico de la Comunidad Andina, formulará por escrito su reclamo.</w:t>
      </w:r>
    </w:p>
    <w:p w14:paraId="1E9B2D5F" w14:textId="77777777" w:rsidR="00DE7167" w:rsidRPr="00ED4383" w:rsidRDefault="00DE7167" w:rsidP="00DE7167">
      <w:pPr>
        <w:pStyle w:val="Prrafodelista"/>
        <w:rPr>
          <w:rFonts w:ascii="Arial" w:hAnsi="Arial" w:cs="Arial"/>
          <w:color w:val="000000" w:themeColor="text1"/>
        </w:rPr>
      </w:pPr>
    </w:p>
    <w:p w14:paraId="42285D38" w14:textId="77777777" w:rsidR="00DE7167" w:rsidRPr="00ED4383" w:rsidRDefault="00DE7167" w:rsidP="00DE7167">
      <w:pPr>
        <w:pStyle w:val="Prrafodelista"/>
        <w:spacing w:after="0" w:line="240" w:lineRule="auto"/>
        <w:ind w:left="0" w:firstLine="708"/>
        <w:jc w:val="both"/>
        <w:rPr>
          <w:rFonts w:ascii="Arial" w:hAnsi="Arial" w:cs="Arial"/>
          <w:color w:val="000000" w:themeColor="text1"/>
        </w:rPr>
      </w:pPr>
      <w:r w:rsidRPr="00ED4383">
        <w:rPr>
          <w:rFonts w:ascii="Arial" w:hAnsi="Arial" w:cs="Arial"/>
          <w:color w:val="000000" w:themeColor="text1"/>
        </w:rPr>
        <w:t>Del mismo modo, en el marco de lo dispuesto en el artículo 25 del TCTJCA, el artículo 108 del Estatuto del Tribunal de Justicia de la Comunidad Andina (ETJCA)</w:t>
      </w:r>
      <w:r w:rsidRPr="00ED4383">
        <w:rPr>
          <w:rStyle w:val="Refdenotaalpie"/>
          <w:rFonts w:ascii="Arial" w:hAnsi="Arial" w:cs="Arial"/>
          <w:color w:val="000000" w:themeColor="text1"/>
        </w:rPr>
        <w:footnoteReference w:id="12"/>
      </w:r>
      <w:r w:rsidRPr="00ED4383">
        <w:rPr>
          <w:rFonts w:ascii="Arial" w:hAnsi="Arial" w:cs="Arial"/>
          <w:color w:val="000000" w:themeColor="text1"/>
        </w:rPr>
        <w:t xml:space="preserve"> y el artículo 14 de la Decisión 623, cuando el reclamo sea presentado por una persona natural o jurídica</w:t>
      </w:r>
      <w:r>
        <w:rPr>
          <w:rFonts w:ascii="Arial" w:hAnsi="Arial" w:cs="Arial"/>
          <w:color w:val="000000" w:themeColor="text1"/>
        </w:rPr>
        <w:t>, la misma</w:t>
      </w:r>
      <w:r w:rsidRPr="00ED4383">
        <w:rPr>
          <w:rFonts w:ascii="Arial" w:hAnsi="Arial" w:cs="Arial"/>
          <w:color w:val="000000" w:themeColor="text1"/>
        </w:rPr>
        <w:t xml:space="preserve"> deberá acreditar su condición de </w:t>
      </w:r>
      <w:r w:rsidRPr="00ED4383">
        <w:rPr>
          <w:rFonts w:ascii="Arial" w:hAnsi="Arial" w:cs="Arial"/>
          <w:color w:val="000000" w:themeColor="text1"/>
          <w:u w:val="single"/>
        </w:rPr>
        <w:t>persona natural o jurídica afectada en sus derechos</w:t>
      </w:r>
      <w:r w:rsidRPr="00ED4383">
        <w:rPr>
          <w:rFonts w:ascii="Arial" w:hAnsi="Arial" w:cs="Arial"/>
          <w:color w:val="000000" w:themeColor="text1"/>
        </w:rPr>
        <w:t>.</w:t>
      </w:r>
    </w:p>
    <w:p w14:paraId="218D17AB" w14:textId="77777777" w:rsidR="00DE7167" w:rsidRPr="00ED4383" w:rsidRDefault="00DE7167" w:rsidP="00DE7167">
      <w:pPr>
        <w:pStyle w:val="Prrafodelista"/>
        <w:spacing w:after="0" w:line="240" w:lineRule="auto"/>
        <w:ind w:left="0"/>
        <w:jc w:val="both"/>
        <w:rPr>
          <w:rFonts w:ascii="Arial" w:hAnsi="Arial" w:cs="Arial"/>
          <w:color w:val="000000" w:themeColor="text1"/>
        </w:rPr>
      </w:pPr>
    </w:p>
    <w:p w14:paraId="3CD1CB4B" w14:textId="77777777" w:rsidR="00DE7167" w:rsidRDefault="00DE7167" w:rsidP="00DE7167">
      <w:pPr>
        <w:pStyle w:val="Prrafodelista"/>
        <w:spacing w:after="0" w:line="240" w:lineRule="auto"/>
        <w:ind w:left="0" w:firstLine="708"/>
        <w:jc w:val="both"/>
        <w:rPr>
          <w:rFonts w:ascii="Arial" w:hAnsi="Arial" w:cs="Arial"/>
          <w:color w:val="000000" w:themeColor="text1"/>
        </w:rPr>
      </w:pPr>
      <w:r w:rsidRPr="00ED4383">
        <w:rPr>
          <w:rFonts w:ascii="Arial" w:hAnsi="Arial" w:cs="Arial"/>
          <w:color w:val="000000" w:themeColor="text1"/>
        </w:rPr>
        <w:t>Respecto al derecho subjetivo e interés legítimo que deben acreditar los particulares en el uso del mecanismo de solución de controversias comunitario ha dicho el Tribunal de Justicia de la Comunidad Andina en su sentencia del Proceso 01-AI-2015:</w:t>
      </w:r>
    </w:p>
    <w:p w14:paraId="41900504" w14:textId="77777777" w:rsidR="00DE7167" w:rsidRPr="00ED4383" w:rsidRDefault="00DE7167" w:rsidP="00DE7167">
      <w:pPr>
        <w:pStyle w:val="Prrafodelista"/>
        <w:spacing w:after="0" w:line="240" w:lineRule="auto"/>
        <w:ind w:left="0" w:firstLine="708"/>
        <w:jc w:val="both"/>
        <w:rPr>
          <w:rFonts w:ascii="Arial" w:hAnsi="Arial" w:cs="Arial"/>
          <w:color w:val="000000" w:themeColor="text1"/>
        </w:rPr>
      </w:pPr>
    </w:p>
    <w:p w14:paraId="5770E3B9" w14:textId="77777777" w:rsidR="00DE7167" w:rsidRPr="00ED4383" w:rsidRDefault="00DE7167" w:rsidP="00DE7167">
      <w:pPr>
        <w:ind w:left="1418"/>
        <w:rPr>
          <w:rFonts w:ascii="Arial" w:hAnsi="Arial" w:cs="Arial"/>
          <w:i/>
          <w:iCs/>
          <w:color w:val="000000" w:themeColor="text1"/>
        </w:rPr>
      </w:pPr>
      <w:r w:rsidRPr="00ED4383">
        <w:rPr>
          <w:rFonts w:ascii="Arial" w:hAnsi="Arial" w:cs="Arial"/>
          <w:i/>
          <w:iCs/>
          <w:color w:val="000000" w:themeColor="text1"/>
        </w:rPr>
        <w:t>“(…) Para una adecuada comprensión de los requisitos de legitimación, es necesario diferenciar dos niveles, a saber:</w:t>
      </w:r>
    </w:p>
    <w:p w14:paraId="20DD0421" w14:textId="77777777" w:rsidR="00DE7167" w:rsidRPr="00ED4383" w:rsidRDefault="00DE7167" w:rsidP="00DE7167">
      <w:pPr>
        <w:pStyle w:val="Prrafodelista"/>
        <w:numPr>
          <w:ilvl w:val="1"/>
          <w:numId w:val="20"/>
        </w:numPr>
        <w:spacing w:after="0" w:line="240" w:lineRule="auto"/>
        <w:ind w:left="2127" w:hanging="142"/>
        <w:jc w:val="both"/>
        <w:rPr>
          <w:rFonts w:ascii="Arial" w:hAnsi="Arial" w:cs="Arial"/>
          <w:i/>
          <w:iCs/>
          <w:color w:val="000000" w:themeColor="text1"/>
        </w:rPr>
      </w:pPr>
      <w:r w:rsidRPr="00ED4383">
        <w:rPr>
          <w:rFonts w:ascii="Arial" w:hAnsi="Arial" w:cs="Arial"/>
          <w:b/>
          <w:bCs/>
          <w:i/>
          <w:iCs/>
          <w:color w:val="000000" w:themeColor="text1"/>
        </w:rPr>
        <w:t>Primer nivel:</w:t>
      </w:r>
      <w:r w:rsidRPr="00ED4383">
        <w:rPr>
          <w:rFonts w:ascii="Arial" w:hAnsi="Arial" w:cs="Arial"/>
          <w:i/>
          <w:iCs/>
          <w:color w:val="000000" w:themeColor="text1"/>
        </w:rPr>
        <w:t xml:space="preserve"> El simple interés para presentar una acción, que es el interés común de todos los habitantes. En este caso, bastaría la identificación, existencia y debida representación del accionante. </w:t>
      </w:r>
      <w:r w:rsidRPr="00ED4383">
        <w:rPr>
          <w:rFonts w:ascii="Arial" w:hAnsi="Arial" w:cs="Arial"/>
          <w:b/>
          <w:bCs/>
          <w:i/>
          <w:iCs/>
          <w:color w:val="000000" w:themeColor="text1"/>
          <w:u w:val="single"/>
        </w:rPr>
        <w:t>Este criterio de legitimación activa no se encuentra contemplado en la normativa comunitaria que regula la acción de incumplimiento.</w:t>
      </w:r>
    </w:p>
    <w:p w14:paraId="59F42A3F" w14:textId="77777777" w:rsidR="00DE7167" w:rsidRPr="00ED4383" w:rsidRDefault="00DE7167" w:rsidP="00DE7167">
      <w:pPr>
        <w:pStyle w:val="Prrafodelista"/>
        <w:ind w:left="2127" w:hanging="142"/>
        <w:rPr>
          <w:rFonts w:ascii="Arial" w:hAnsi="Arial" w:cs="Arial"/>
          <w:i/>
          <w:iCs/>
          <w:color w:val="000000" w:themeColor="text1"/>
        </w:rPr>
      </w:pPr>
    </w:p>
    <w:p w14:paraId="07059EF0" w14:textId="77777777" w:rsidR="00DE7167" w:rsidRPr="00ED4383" w:rsidRDefault="00DE7167" w:rsidP="00DE7167">
      <w:pPr>
        <w:pStyle w:val="Prrafodelista"/>
        <w:numPr>
          <w:ilvl w:val="1"/>
          <w:numId w:val="20"/>
        </w:numPr>
        <w:spacing w:after="0" w:line="240" w:lineRule="auto"/>
        <w:ind w:left="2127" w:hanging="142"/>
        <w:jc w:val="both"/>
        <w:rPr>
          <w:rFonts w:ascii="Arial" w:hAnsi="Arial" w:cs="Arial"/>
          <w:i/>
          <w:iCs/>
          <w:color w:val="000000" w:themeColor="text1"/>
        </w:rPr>
      </w:pPr>
      <w:r w:rsidRPr="00ED4383">
        <w:rPr>
          <w:rFonts w:ascii="Arial" w:hAnsi="Arial" w:cs="Arial"/>
          <w:b/>
          <w:bCs/>
          <w:i/>
          <w:iCs/>
          <w:color w:val="000000" w:themeColor="text1"/>
        </w:rPr>
        <w:t>Segundo nivel:</w:t>
      </w:r>
      <w:r w:rsidRPr="00ED4383">
        <w:rPr>
          <w:rFonts w:ascii="Arial" w:hAnsi="Arial" w:cs="Arial"/>
          <w:i/>
          <w:iCs/>
          <w:color w:val="000000" w:themeColor="text1"/>
        </w:rPr>
        <w:t xml:space="preserve"> La afectación de un derecho subjetivo o un interés legítimo, como sigue:</w:t>
      </w:r>
    </w:p>
    <w:p w14:paraId="7DAF0DD0" w14:textId="77777777" w:rsidR="00DE7167" w:rsidRPr="00ED4383" w:rsidRDefault="00DE7167" w:rsidP="00DE7167">
      <w:pPr>
        <w:pStyle w:val="Prrafodelista"/>
        <w:ind w:left="2127" w:hanging="142"/>
        <w:rPr>
          <w:rFonts w:ascii="Arial" w:hAnsi="Arial" w:cs="Arial"/>
          <w:b/>
          <w:bCs/>
          <w:i/>
          <w:iCs/>
          <w:color w:val="000000" w:themeColor="text1"/>
        </w:rPr>
      </w:pPr>
    </w:p>
    <w:p w14:paraId="3FB1E058" w14:textId="77777777" w:rsidR="00DE7167" w:rsidRPr="00ED4383" w:rsidRDefault="00DE7167" w:rsidP="00DE7167">
      <w:pPr>
        <w:pStyle w:val="Prrafodelista"/>
        <w:numPr>
          <w:ilvl w:val="2"/>
          <w:numId w:val="20"/>
        </w:numPr>
        <w:spacing w:after="0" w:line="240" w:lineRule="auto"/>
        <w:ind w:left="2127" w:hanging="142"/>
        <w:jc w:val="both"/>
        <w:rPr>
          <w:rFonts w:ascii="Arial" w:hAnsi="Arial" w:cs="Arial"/>
          <w:i/>
          <w:iCs/>
          <w:color w:val="000000" w:themeColor="text1"/>
        </w:rPr>
      </w:pPr>
      <w:r w:rsidRPr="00ED4383">
        <w:rPr>
          <w:rFonts w:ascii="Arial" w:hAnsi="Arial" w:cs="Arial"/>
          <w:b/>
          <w:bCs/>
          <w:i/>
          <w:iCs/>
          <w:color w:val="000000" w:themeColor="text1"/>
        </w:rPr>
        <w:t>Afectación de un derecho subjetivo.</w:t>
      </w:r>
      <w:r w:rsidRPr="00ED4383">
        <w:rPr>
          <w:rFonts w:ascii="Arial" w:hAnsi="Arial" w:cs="Arial"/>
          <w:i/>
          <w:iCs/>
          <w:color w:val="000000" w:themeColor="text1"/>
        </w:rPr>
        <w:t xml:space="preserve"> </w:t>
      </w:r>
      <w:r w:rsidRPr="00ED4383">
        <w:rPr>
          <w:rFonts w:ascii="Arial" w:hAnsi="Arial" w:cs="Arial"/>
          <w:i/>
          <w:iCs/>
          <w:color w:val="000000" w:themeColor="text1"/>
          <w:u w:val="single"/>
        </w:rPr>
        <w:t>Se refiere a la necesaria identidad entre el afectado y el titular de la acción de reclamación, y al deber de éste de demostrar la afectación de un derecho actual, inmediato y directo, que se ve lesionado o potencialmente lesionado por el acto reclamado</w:t>
      </w:r>
      <w:r w:rsidRPr="00ED4383">
        <w:rPr>
          <w:rFonts w:ascii="Arial" w:hAnsi="Arial" w:cs="Arial"/>
          <w:i/>
          <w:iCs/>
          <w:color w:val="000000" w:themeColor="text1"/>
        </w:rPr>
        <w:t>.</w:t>
      </w:r>
    </w:p>
    <w:p w14:paraId="25F86C82" w14:textId="77777777" w:rsidR="00DE7167" w:rsidRPr="00ED4383" w:rsidRDefault="00DE7167" w:rsidP="00DE7167">
      <w:pPr>
        <w:pStyle w:val="Prrafodelista"/>
        <w:numPr>
          <w:ilvl w:val="2"/>
          <w:numId w:val="20"/>
        </w:numPr>
        <w:spacing w:after="0" w:line="240" w:lineRule="auto"/>
        <w:ind w:left="2127" w:hanging="142"/>
        <w:jc w:val="both"/>
        <w:rPr>
          <w:rFonts w:ascii="Arial" w:hAnsi="Arial" w:cs="Arial"/>
          <w:i/>
          <w:iCs/>
          <w:color w:val="000000" w:themeColor="text1"/>
        </w:rPr>
      </w:pPr>
      <w:r w:rsidRPr="00ED4383">
        <w:rPr>
          <w:rFonts w:ascii="Arial" w:hAnsi="Arial" w:cs="Arial"/>
          <w:b/>
          <w:bCs/>
          <w:i/>
          <w:iCs/>
          <w:color w:val="000000" w:themeColor="text1"/>
        </w:rPr>
        <w:t>Afectación de un interés legítimo</w:t>
      </w:r>
      <w:r w:rsidRPr="00ED4383">
        <w:rPr>
          <w:rFonts w:ascii="Arial" w:hAnsi="Arial" w:cs="Arial"/>
          <w:i/>
          <w:iCs/>
          <w:color w:val="000000" w:themeColor="text1"/>
        </w:rPr>
        <w:t xml:space="preserve">. No se trata de que el recurrente deba tener un interés personalísimo, en el sentido de individual y exclusivo, </w:t>
      </w:r>
      <w:r w:rsidRPr="00ED4383">
        <w:rPr>
          <w:rFonts w:ascii="Arial" w:hAnsi="Arial" w:cs="Arial"/>
          <w:i/>
          <w:iCs/>
          <w:color w:val="000000" w:themeColor="text1"/>
          <w:u w:val="single"/>
        </w:rPr>
        <w:t>pero sí uno particular en el sentido de presentar alguna afectación a su órbita de acción o situación jurídica, diferenciándose así del mero interés general</w:t>
      </w:r>
      <w:r w:rsidRPr="00ED4383">
        <w:rPr>
          <w:rFonts w:ascii="Arial" w:hAnsi="Arial" w:cs="Arial"/>
          <w:i/>
          <w:iCs/>
          <w:color w:val="000000" w:themeColor="text1"/>
        </w:rPr>
        <w:t>. La persona que ejerza la acción se encuentra de esta manera comprendida en la órbita de incidencia del acto reclamado, pudiendo ser su interés de carácter real o potencial, patrimonial o moral.</w:t>
      </w:r>
    </w:p>
    <w:p w14:paraId="46677737" w14:textId="77777777" w:rsidR="00DE7167" w:rsidRPr="00ED4383" w:rsidRDefault="00DE7167" w:rsidP="00DE7167">
      <w:pPr>
        <w:pStyle w:val="Prrafodelista"/>
        <w:ind w:left="2127" w:hanging="142"/>
        <w:rPr>
          <w:rFonts w:ascii="Arial" w:hAnsi="Arial" w:cs="Arial"/>
          <w:i/>
          <w:iCs/>
          <w:color w:val="000000" w:themeColor="text1"/>
        </w:rPr>
      </w:pPr>
      <w:r w:rsidRPr="00ED4383">
        <w:rPr>
          <w:rFonts w:ascii="Arial" w:hAnsi="Arial" w:cs="Arial"/>
          <w:i/>
          <w:iCs/>
          <w:color w:val="000000" w:themeColor="text1"/>
        </w:rPr>
        <w:t>(…)”</w:t>
      </w:r>
      <w:r w:rsidRPr="00ED4383">
        <w:rPr>
          <w:rStyle w:val="Refdenotaalpie"/>
          <w:rFonts w:ascii="Arial" w:hAnsi="Arial" w:cs="Arial"/>
          <w:i/>
          <w:iCs/>
          <w:color w:val="000000" w:themeColor="text1"/>
        </w:rPr>
        <w:footnoteReference w:id="13"/>
      </w:r>
      <w:r w:rsidRPr="00ED4383">
        <w:rPr>
          <w:rFonts w:ascii="Arial" w:hAnsi="Arial" w:cs="Arial"/>
          <w:color w:val="000000" w:themeColor="text1"/>
        </w:rPr>
        <w:t>(énfasis agregado)</w:t>
      </w:r>
    </w:p>
    <w:p w14:paraId="0A555778" w14:textId="77777777" w:rsidR="00DE7167" w:rsidRPr="00ED4383" w:rsidRDefault="00DE7167" w:rsidP="00DE7167">
      <w:pPr>
        <w:pStyle w:val="Prrafodelista"/>
        <w:spacing w:after="0" w:line="240" w:lineRule="auto"/>
        <w:ind w:left="0"/>
        <w:jc w:val="both"/>
        <w:rPr>
          <w:rFonts w:ascii="Arial" w:hAnsi="Arial" w:cs="Arial"/>
          <w:color w:val="000000" w:themeColor="text1"/>
        </w:rPr>
      </w:pPr>
    </w:p>
    <w:p w14:paraId="07094BF2" w14:textId="77777777" w:rsidR="00DE7167" w:rsidRPr="00ED4383" w:rsidRDefault="00DE7167" w:rsidP="00DE7167">
      <w:pPr>
        <w:pStyle w:val="Prrafodelista"/>
        <w:spacing w:after="0" w:line="240" w:lineRule="auto"/>
        <w:ind w:left="0" w:firstLine="708"/>
        <w:jc w:val="both"/>
        <w:rPr>
          <w:rFonts w:ascii="Arial" w:hAnsi="Arial" w:cs="Arial"/>
          <w:color w:val="000000" w:themeColor="text1"/>
        </w:rPr>
      </w:pPr>
      <w:r w:rsidRPr="00ED4383">
        <w:rPr>
          <w:rFonts w:ascii="Arial" w:hAnsi="Arial" w:cs="Arial"/>
          <w:color w:val="000000" w:themeColor="text1"/>
        </w:rPr>
        <w:lastRenderedPageBreak/>
        <w:t>En esta línea, y citando dicho criterio jurisprudencial, el Honorable Tribunal de Justicia de la Comunidad Andina en el Auto de fecha 3 de octubre de 2017 dentro del Proceso 03-AI-2017, concluyó que el reclamante carecía de legitimación para plantear la acción de incumplimiento en cuanto, “</w:t>
      </w:r>
      <w:r w:rsidRPr="00ED4383">
        <w:rPr>
          <w:rFonts w:ascii="Arial" w:hAnsi="Arial" w:cs="Arial"/>
          <w:i/>
          <w:iCs/>
          <w:color w:val="000000" w:themeColor="text1"/>
        </w:rPr>
        <w:t>más que venir por una afectación directa a su esfera jurídica de derechos subjetivos o intereses legítimos, viene, como afirmó ante la SGCA y luego ante este Tribunal, en representación de todos los floricultores colombianos; esto es, en representación de un interés difuso, general o abstracto</w:t>
      </w:r>
      <w:r w:rsidRPr="00ED4383">
        <w:rPr>
          <w:rFonts w:ascii="Arial" w:hAnsi="Arial" w:cs="Arial"/>
          <w:color w:val="000000" w:themeColor="text1"/>
        </w:rPr>
        <w:t>”.</w:t>
      </w:r>
      <w:r w:rsidRPr="00ED4383">
        <w:rPr>
          <w:rStyle w:val="Refdenotaalpie"/>
          <w:rFonts w:ascii="Arial" w:hAnsi="Arial" w:cs="Arial"/>
          <w:color w:val="000000" w:themeColor="text1"/>
        </w:rPr>
        <w:footnoteReference w:id="14"/>
      </w:r>
    </w:p>
    <w:p w14:paraId="0AB342FB" w14:textId="77777777" w:rsidR="00DE7167" w:rsidRPr="00ED4383" w:rsidRDefault="00DE7167" w:rsidP="00DE7167">
      <w:pPr>
        <w:pStyle w:val="Prrafodelista"/>
        <w:spacing w:after="0" w:line="240" w:lineRule="auto"/>
        <w:ind w:left="0"/>
        <w:jc w:val="both"/>
        <w:rPr>
          <w:rFonts w:ascii="Arial" w:hAnsi="Arial" w:cs="Arial"/>
          <w:color w:val="000000" w:themeColor="text1"/>
        </w:rPr>
      </w:pPr>
    </w:p>
    <w:p w14:paraId="1A1D5647" w14:textId="77777777" w:rsidR="00DE7167" w:rsidRPr="00ED4383" w:rsidRDefault="00DE7167" w:rsidP="00DE7167">
      <w:pPr>
        <w:pStyle w:val="Prrafodelista"/>
        <w:spacing w:after="0" w:line="240" w:lineRule="auto"/>
        <w:ind w:left="0" w:firstLine="708"/>
        <w:jc w:val="both"/>
        <w:rPr>
          <w:rFonts w:ascii="Arial" w:hAnsi="Arial" w:cs="Arial"/>
          <w:color w:val="000000" w:themeColor="text1"/>
        </w:rPr>
      </w:pPr>
      <w:r w:rsidRPr="00ED4383">
        <w:rPr>
          <w:rFonts w:ascii="Arial" w:hAnsi="Arial" w:cs="Arial"/>
          <w:color w:val="000000" w:themeColor="text1"/>
        </w:rPr>
        <w:t xml:space="preserve">En consecuencia, para presentar una acción de incumplimiento en Fase Prejudicial, el Reclamante debe demostrar la afectación de su derecho subjetivo o interés legítimo, conforme a lo establecido en los artículos 13 y 14 de la Decisión 623. </w:t>
      </w:r>
    </w:p>
    <w:p w14:paraId="2799700D" w14:textId="77777777" w:rsidR="00DE7167" w:rsidRDefault="00DE7167" w:rsidP="00DE7167">
      <w:pPr>
        <w:tabs>
          <w:tab w:val="left" w:pos="1560"/>
        </w:tabs>
        <w:spacing w:after="0" w:line="240" w:lineRule="auto"/>
        <w:jc w:val="both"/>
        <w:rPr>
          <w:rFonts w:ascii="Arial" w:hAnsi="Arial" w:cs="Arial"/>
        </w:rPr>
      </w:pPr>
      <w:r>
        <w:rPr>
          <w:rFonts w:ascii="Arial" w:hAnsi="Arial" w:cs="Arial"/>
        </w:rPr>
        <w:tab/>
      </w:r>
    </w:p>
    <w:p w14:paraId="3CAC0D9E" w14:textId="446C6DE0" w:rsidR="00DE7167" w:rsidRDefault="00DE7167" w:rsidP="00DE7167">
      <w:pPr>
        <w:tabs>
          <w:tab w:val="left" w:pos="709"/>
        </w:tabs>
        <w:spacing w:after="0" w:line="240" w:lineRule="auto"/>
        <w:jc w:val="both"/>
        <w:rPr>
          <w:rFonts w:ascii="Arial" w:hAnsi="Arial" w:cs="Arial"/>
          <w:bCs/>
          <w:iCs/>
          <w:color w:val="000000" w:themeColor="text1"/>
        </w:rPr>
      </w:pPr>
      <w:r>
        <w:rPr>
          <w:rFonts w:ascii="Arial" w:hAnsi="Arial" w:cs="Arial"/>
        </w:rPr>
        <w:tab/>
      </w:r>
      <w:r w:rsidRPr="00ED4383">
        <w:rPr>
          <w:rFonts w:ascii="Arial" w:hAnsi="Arial" w:cs="Arial"/>
        </w:rPr>
        <w:t xml:space="preserve">Al respecto, cabe señalar que en su escrito de reclamación del 29 de enero de 2024, el reclamante señaló en reiterados pasajes del mismo que interponía la acción de incumplimiento en defensa de los derechos colectivos de la población de los Países Miembros de la Comunidad Andina, entre otros; sin perjuicio de ello, y para tener precisión respecto del exacto alcance de su reclamo, mediante  </w:t>
      </w:r>
      <w:r w:rsidRPr="00ED4383">
        <w:rPr>
          <w:rFonts w:ascii="Arial" w:hAnsi="Arial" w:cs="Arial"/>
          <w:color w:val="000000" w:themeColor="text1"/>
        </w:rPr>
        <w:t xml:space="preserve">comunicación SG/E/SJ/156/2024 se le requirió </w:t>
      </w:r>
      <w:r w:rsidRPr="00ED4383">
        <w:rPr>
          <w:rFonts w:ascii="Arial" w:hAnsi="Arial" w:cs="Arial"/>
          <w:bCs/>
          <w:iCs/>
          <w:color w:val="000000" w:themeColor="text1"/>
        </w:rPr>
        <w:t>remitir información específica que acreditara la afectación de sus derechos conforme a la exigencia de la normativa comunitaria andina, habiéndose manifestado expresamente en el petitorio de su escrito de subsanación lo siguiente:</w:t>
      </w:r>
    </w:p>
    <w:p w14:paraId="5FA75439" w14:textId="77777777" w:rsidR="00DE7167" w:rsidRPr="00ED4383" w:rsidRDefault="00DE7167" w:rsidP="00DE7167">
      <w:pPr>
        <w:tabs>
          <w:tab w:val="left" w:pos="709"/>
        </w:tabs>
        <w:spacing w:after="0" w:line="240" w:lineRule="auto"/>
        <w:jc w:val="both"/>
        <w:rPr>
          <w:rFonts w:ascii="Arial" w:hAnsi="Arial" w:cs="Arial"/>
          <w:lang w:val="es-ES"/>
        </w:rPr>
      </w:pPr>
    </w:p>
    <w:p w14:paraId="2F934855" w14:textId="77777777" w:rsidR="00DE7167" w:rsidRPr="00ED4383" w:rsidRDefault="00DE7167" w:rsidP="00DE7167">
      <w:pPr>
        <w:pStyle w:val="Prrafodelista"/>
        <w:spacing w:after="0" w:line="240" w:lineRule="auto"/>
        <w:jc w:val="both"/>
        <w:rPr>
          <w:rFonts w:ascii="Times New Roman" w:eastAsia="Times New Roman" w:hAnsi="Times New Roman" w:cs="Times New Roman"/>
          <w:i/>
          <w:sz w:val="24"/>
          <w:szCs w:val="24"/>
          <w:lang w:val="es-ES_tradnl" w:eastAsia="es-ES_tradnl"/>
        </w:rPr>
      </w:pPr>
      <w:r w:rsidRPr="00ED4383">
        <w:rPr>
          <w:rFonts w:ascii="Times New Roman" w:eastAsia="Times New Roman" w:hAnsi="Times New Roman" w:cs="Times New Roman"/>
          <w:i/>
          <w:sz w:val="24"/>
          <w:szCs w:val="24"/>
          <w:lang w:val="es-ES_tradnl" w:eastAsia="es-ES_tradnl"/>
        </w:rPr>
        <w:t xml:space="preserve">“el Estado Boliviano y sus autoridades han incurrido en actos y omisiones que generan un incumplimiento y que además </w:t>
      </w:r>
      <w:r w:rsidRPr="00ED4383">
        <w:rPr>
          <w:rFonts w:ascii="Times New Roman" w:eastAsia="Times New Roman" w:hAnsi="Times New Roman" w:cs="Times New Roman"/>
          <w:b/>
          <w:bCs/>
          <w:i/>
          <w:sz w:val="24"/>
          <w:szCs w:val="24"/>
          <w:lang w:val="es-ES_tradnl" w:eastAsia="es-ES_tradnl"/>
        </w:rPr>
        <w:t>vulneran y amenazan con lesionar nuestros derechos e intereses colectivos</w:t>
      </w:r>
      <w:r w:rsidRPr="00ED4383">
        <w:rPr>
          <w:rFonts w:ascii="Times New Roman" w:eastAsia="Times New Roman" w:hAnsi="Times New Roman" w:cs="Times New Roman"/>
          <w:i/>
          <w:sz w:val="24"/>
          <w:szCs w:val="24"/>
          <w:lang w:val="es-ES_tradnl" w:eastAsia="es-ES_tradnl"/>
        </w:rPr>
        <w:t xml:space="preserve"> a un medio ambiente saludable, seguridad, vida y otros; tengo a bien reiterar la pretensión destinada a la activación de la “acción de incumplimiento”.</w:t>
      </w:r>
    </w:p>
    <w:p w14:paraId="404AA7DD" w14:textId="77777777" w:rsidR="00DE7167" w:rsidRPr="00ED4383" w:rsidRDefault="00DE7167" w:rsidP="00DE7167">
      <w:pPr>
        <w:rPr>
          <w:i/>
          <w:lang w:val="es-ES"/>
        </w:rPr>
      </w:pPr>
    </w:p>
    <w:p w14:paraId="0B16B1F7" w14:textId="7E8C4B90" w:rsidR="00DE7167" w:rsidRDefault="00DE7167" w:rsidP="00DE7167">
      <w:pPr>
        <w:pStyle w:val="Prrafodelista"/>
        <w:tabs>
          <w:tab w:val="left" w:pos="709"/>
        </w:tabs>
        <w:spacing w:after="0" w:line="240" w:lineRule="auto"/>
        <w:ind w:left="0"/>
        <w:jc w:val="both"/>
        <w:rPr>
          <w:rFonts w:ascii="Arial" w:hAnsi="Arial" w:cs="Arial"/>
        </w:rPr>
      </w:pPr>
      <w:r>
        <w:rPr>
          <w:rFonts w:ascii="Arial" w:hAnsi="Arial" w:cs="Arial"/>
        </w:rPr>
        <w:tab/>
      </w:r>
      <w:r w:rsidRPr="00ED4383">
        <w:rPr>
          <w:rFonts w:ascii="Arial" w:hAnsi="Arial" w:cs="Arial"/>
        </w:rPr>
        <w:t>De lo anteriormente señalado se evidencia que el Reclamante busca cautelar a través de una suerte de representación de la población de los Países Miembros en su conjunto los derecho antes mencionados, constituyendo la misma una defensa de un interés difuso</w:t>
      </w:r>
      <w:r>
        <w:rPr>
          <w:rFonts w:ascii="Arial" w:hAnsi="Arial" w:cs="Arial"/>
        </w:rPr>
        <w:t xml:space="preserve"> y</w:t>
      </w:r>
      <w:r w:rsidRPr="00ED4383">
        <w:rPr>
          <w:rFonts w:ascii="Arial" w:hAnsi="Arial" w:cs="Arial"/>
        </w:rPr>
        <w:t xml:space="preserve"> general, el cual no cumple con lo previsto </w:t>
      </w:r>
      <w:r w:rsidRPr="00ED4383">
        <w:rPr>
          <w:rFonts w:ascii="Arial" w:hAnsi="Arial" w:cs="Arial"/>
        </w:rPr>
        <w:t>en el</w:t>
      </w:r>
      <w:r w:rsidRPr="00ED4383">
        <w:rPr>
          <w:rFonts w:ascii="Arial" w:hAnsi="Arial" w:cs="Arial"/>
        </w:rPr>
        <w:t xml:space="preserve"> artículo 14 de la Decisión 623.</w:t>
      </w:r>
    </w:p>
    <w:p w14:paraId="00B5FAB2" w14:textId="77777777" w:rsidR="00DE7167" w:rsidRPr="00ED4383" w:rsidRDefault="00DE7167" w:rsidP="00DE7167">
      <w:pPr>
        <w:pStyle w:val="Prrafodelista"/>
        <w:tabs>
          <w:tab w:val="left" w:pos="1560"/>
        </w:tabs>
        <w:spacing w:after="0" w:line="240" w:lineRule="auto"/>
        <w:ind w:left="0"/>
        <w:jc w:val="both"/>
        <w:rPr>
          <w:rFonts w:ascii="Arial" w:hAnsi="Arial" w:cs="Arial"/>
        </w:rPr>
      </w:pPr>
    </w:p>
    <w:p w14:paraId="605F2759" w14:textId="673BD0AA" w:rsidR="00DE7167" w:rsidRPr="00ED4383" w:rsidRDefault="00DE7167" w:rsidP="00DE7167">
      <w:pPr>
        <w:pStyle w:val="Prrafodelista"/>
        <w:tabs>
          <w:tab w:val="left" w:pos="709"/>
        </w:tabs>
        <w:spacing w:after="0" w:line="240" w:lineRule="auto"/>
        <w:ind w:left="0"/>
        <w:jc w:val="both"/>
        <w:rPr>
          <w:rFonts w:ascii="Arial" w:hAnsi="Arial" w:cs="Arial"/>
        </w:rPr>
      </w:pPr>
      <w:r>
        <w:rPr>
          <w:rFonts w:ascii="Arial" w:hAnsi="Arial" w:cs="Arial"/>
          <w:color w:val="000000" w:themeColor="text1"/>
        </w:rPr>
        <w:tab/>
      </w:r>
      <w:r w:rsidRPr="00ED4383">
        <w:rPr>
          <w:rFonts w:ascii="Arial" w:hAnsi="Arial" w:cs="Arial"/>
          <w:color w:val="000000" w:themeColor="text1"/>
        </w:rPr>
        <w:t>En este sentido, toda vez que ni en el escrito de reclamación, ni en el de subsanación presentado por el Reclamante ante la SGCAN se observa información que demuestre la afectación de un derecho actual, inmediato y directo del solicitante en su órbita de acción o situación jurídica, el reclamo no ha cumplido con lo establecido en el artículo 14 de la Decisión 623.</w:t>
      </w:r>
    </w:p>
    <w:p w14:paraId="3D757360" w14:textId="77777777" w:rsidR="00DE7167" w:rsidRPr="00ED4383" w:rsidRDefault="00DE7167" w:rsidP="00DE7167">
      <w:pPr>
        <w:pStyle w:val="Prrafodelista"/>
        <w:rPr>
          <w:rFonts w:ascii="Arial" w:hAnsi="Arial" w:cs="Arial"/>
        </w:rPr>
      </w:pPr>
    </w:p>
    <w:p w14:paraId="5DD7FA59" w14:textId="4ED0E35B" w:rsidR="00DE7167" w:rsidRPr="00ED4383" w:rsidRDefault="00DE7167" w:rsidP="00DE7167">
      <w:pPr>
        <w:pStyle w:val="Prrafodelista"/>
        <w:tabs>
          <w:tab w:val="left" w:pos="709"/>
        </w:tabs>
        <w:spacing w:after="0" w:line="240" w:lineRule="auto"/>
        <w:ind w:left="0"/>
        <w:jc w:val="both"/>
        <w:rPr>
          <w:rFonts w:ascii="Arial" w:hAnsi="Arial" w:cs="Arial"/>
        </w:rPr>
      </w:pPr>
      <w:r>
        <w:rPr>
          <w:rFonts w:ascii="Arial" w:hAnsi="Arial" w:cs="Arial"/>
        </w:rPr>
        <w:tab/>
      </w:r>
      <w:r w:rsidRPr="00ED4383">
        <w:rPr>
          <w:rFonts w:ascii="Arial" w:hAnsi="Arial" w:cs="Arial"/>
        </w:rPr>
        <w:t xml:space="preserve">Siendo ello así, resulta innecesario continuar con el análisis del cumplimiento de las demás observaciones planteadas por la SGCAN mediante comunicación </w:t>
      </w:r>
      <w:r w:rsidRPr="00ED4383">
        <w:rPr>
          <w:rFonts w:ascii="Arial" w:hAnsi="Arial" w:cs="Arial"/>
          <w:color w:val="000000" w:themeColor="text1"/>
        </w:rPr>
        <w:t xml:space="preserve">SG/E/SJ/156/2024. </w:t>
      </w:r>
    </w:p>
    <w:p w14:paraId="41AC0551" w14:textId="77777777" w:rsidR="00DE7167" w:rsidRPr="00ED4383" w:rsidRDefault="00DE7167" w:rsidP="00DE7167">
      <w:pPr>
        <w:pStyle w:val="Prrafodelista"/>
        <w:rPr>
          <w:rFonts w:ascii="Arial" w:hAnsi="Arial" w:cs="Arial"/>
        </w:rPr>
      </w:pPr>
    </w:p>
    <w:p w14:paraId="7F54DE39" w14:textId="3039012F" w:rsidR="00DE7167" w:rsidRPr="00ED4383" w:rsidRDefault="00DE7167" w:rsidP="00DE7167">
      <w:pPr>
        <w:pStyle w:val="Prrafodelista"/>
        <w:spacing w:after="0" w:line="240" w:lineRule="auto"/>
        <w:ind w:left="0"/>
        <w:jc w:val="both"/>
        <w:rPr>
          <w:rFonts w:ascii="Arial" w:hAnsi="Arial" w:cs="Arial"/>
          <w:color w:val="000000" w:themeColor="text1"/>
        </w:rPr>
      </w:pPr>
      <w:r>
        <w:rPr>
          <w:rFonts w:ascii="Arial" w:hAnsi="Arial" w:cs="Arial"/>
          <w:color w:val="000000" w:themeColor="text1"/>
        </w:rPr>
        <w:tab/>
      </w:r>
      <w:r w:rsidRPr="00ED4383">
        <w:rPr>
          <w:rFonts w:ascii="Arial" w:hAnsi="Arial" w:cs="Arial"/>
          <w:color w:val="000000" w:themeColor="text1"/>
        </w:rPr>
        <w:t>Por lo antes expuesto, la SGCAN concluye que al no haberse acreditado por parte del Reclamante la afectación de un derecho actual, inmediato y directo en su órbita de acción o situación jurídica, el reclamo no ha cumplido con lo establecido en el artículo 14 de la Decisión 623, por lo que debe ser declarado inadmisible.</w:t>
      </w:r>
      <w:r w:rsidRPr="002F29FE">
        <w:rPr>
          <w:rFonts w:ascii="Arial" w:hAnsi="Arial" w:cs="Arial"/>
          <w:color w:val="000000" w:themeColor="text1"/>
        </w:rPr>
        <w:t xml:space="preserve"> </w:t>
      </w:r>
      <w:r>
        <w:rPr>
          <w:rFonts w:ascii="Arial" w:hAnsi="Arial" w:cs="Arial"/>
          <w:color w:val="000000" w:themeColor="text1"/>
        </w:rPr>
        <w:t>Ello, sin perjuicio de que el Reclamante pueda volver a presentarlo, de considerarlo conveniente, cumpliendo con lo establecido en el artículo antes mencionado.</w:t>
      </w:r>
      <w:r w:rsidRPr="00ED4383">
        <w:rPr>
          <w:rFonts w:ascii="Arial" w:hAnsi="Arial" w:cs="Arial"/>
          <w:color w:val="000000" w:themeColor="text1"/>
        </w:rPr>
        <w:t xml:space="preserve"> </w:t>
      </w:r>
    </w:p>
    <w:p w14:paraId="75DE1CD3" w14:textId="77777777" w:rsidR="00DE7167" w:rsidRPr="00ED4383" w:rsidRDefault="00DE7167" w:rsidP="00DE7167">
      <w:pPr>
        <w:pStyle w:val="Prrafodelista"/>
        <w:spacing w:after="0" w:line="240" w:lineRule="auto"/>
        <w:ind w:left="0"/>
        <w:jc w:val="both"/>
        <w:rPr>
          <w:rFonts w:ascii="Arial" w:hAnsi="Arial" w:cs="Arial"/>
          <w:color w:val="000000" w:themeColor="text1"/>
        </w:rPr>
      </w:pPr>
    </w:p>
    <w:p w14:paraId="1112AEA9" w14:textId="6504CF0C" w:rsidR="00097617" w:rsidRPr="007474A6" w:rsidRDefault="00DE7167" w:rsidP="00DE7167">
      <w:pPr>
        <w:pStyle w:val="Prrafodelista"/>
        <w:spacing w:after="0" w:line="240" w:lineRule="auto"/>
        <w:ind w:left="0" w:firstLine="708"/>
        <w:jc w:val="both"/>
        <w:rPr>
          <w:rFonts w:ascii="Arial" w:hAnsi="Arial" w:cs="Arial"/>
          <w:color w:val="000000" w:themeColor="text1"/>
        </w:rPr>
      </w:pPr>
      <w:r w:rsidRPr="00ED4383">
        <w:rPr>
          <w:rFonts w:ascii="Arial" w:hAnsi="Arial" w:cs="Arial"/>
          <w:color w:val="000000" w:themeColor="text1"/>
        </w:rPr>
        <w:t>En consecuencia, la Secretaría General de la Comunidad Andina;</w:t>
      </w:r>
    </w:p>
    <w:p w14:paraId="64F7E3AC" w14:textId="77777777" w:rsidR="00894AAD" w:rsidRPr="007474A6" w:rsidRDefault="00894AAD" w:rsidP="00894AAD">
      <w:pPr>
        <w:pStyle w:val="Prrafodelista"/>
        <w:spacing w:after="0" w:line="240" w:lineRule="auto"/>
        <w:ind w:left="0"/>
        <w:jc w:val="both"/>
        <w:rPr>
          <w:rFonts w:ascii="Arial" w:eastAsia="Times New Roman" w:hAnsi="Arial" w:cs="Arial"/>
          <w:b/>
          <w:bCs/>
          <w:color w:val="000000" w:themeColor="text1"/>
          <w:lang w:eastAsia="es-PE"/>
        </w:rPr>
      </w:pPr>
    </w:p>
    <w:p w14:paraId="5306F20D" w14:textId="77777777" w:rsidR="0022679C" w:rsidRDefault="0022679C" w:rsidP="0022679C">
      <w:pPr>
        <w:shd w:val="clear" w:color="auto" w:fill="FFFFFF"/>
        <w:spacing w:after="240"/>
        <w:contextualSpacing/>
        <w:jc w:val="center"/>
        <w:textAlignment w:val="baseline"/>
        <w:rPr>
          <w:rFonts w:ascii="Arial" w:eastAsia="Times New Roman" w:hAnsi="Arial" w:cs="Arial"/>
          <w:b/>
          <w:bCs/>
          <w:color w:val="000000" w:themeColor="text1"/>
          <w:lang w:eastAsia="es-PE"/>
        </w:rPr>
      </w:pPr>
    </w:p>
    <w:p w14:paraId="02B5AAF4" w14:textId="2EBAE599" w:rsidR="001E72F0" w:rsidRPr="007474A6" w:rsidRDefault="001E72F0" w:rsidP="0022679C">
      <w:pPr>
        <w:shd w:val="clear" w:color="auto" w:fill="FFFFFF"/>
        <w:spacing w:after="240"/>
        <w:contextualSpacing/>
        <w:jc w:val="center"/>
        <w:textAlignment w:val="baseline"/>
        <w:rPr>
          <w:rFonts w:ascii="Arial" w:eastAsia="Times New Roman" w:hAnsi="Arial" w:cs="Arial"/>
          <w:b/>
          <w:bCs/>
          <w:color w:val="000000" w:themeColor="text1"/>
          <w:lang w:eastAsia="es-PE"/>
        </w:rPr>
      </w:pPr>
      <w:r w:rsidRPr="007474A6">
        <w:rPr>
          <w:rFonts w:ascii="Arial" w:eastAsia="Times New Roman" w:hAnsi="Arial" w:cs="Arial"/>
          <w:b/>
          <w:bCs/>
          <w:color w:val="000000" w:themeColor="text1"/>
          <w:lang w:eastAsia="es-PE"/>
        </w:rPr>
        <w:lastRenderedPageBreak/>
        <w:t>RESUELVE:</w:t>
      </w:r>
    </w:p>
    <w:p w14:paraId="51385FE5" w14:textId="77777777" w:rsidR="00F3598D" w:rsidRPr="007474A6" w:rsidRDefault="00F3598D" w:rsidP="001E72F0">
      <w:pPr>
        <w:shd w:val="clear" w:color="auto" w:fill="FFFFFF"/>
        <w:spacing w:after="240"/>
        <w:contextualSpacing/>
        <w:jc w:val="both"/>
        <w:textAlignment w:val="baseline"/>
        <w:rPr>
          <w:rFonts w:ascii="Arial" w:eastAsia="Times New Roman" w:hAnsi="Arial" w:cs="Arial"/>
          <w:b/>
          <w:bCs/>
          <w:color w:val="000000" w:themeColor="text1"/>
          <w:lang w:eastAsia="es-PE"/>
        </w:rPr>
      </w:pPr>
    </w:p>
    <w:p w14:paraId="04B6DD52" w14:textId="77777777" w:rsidR="00DE7167" w:rsidRPr="00ED4383" w:rsidRDefault="00DE7167" w:rsidP="00DE7167">
      <w:pPr>
        <w:shd w:val="clear" w:color="auto" w:fill="FFFFFF"/>
        <w:spacing w:after="240"/>
        <w:ind w:firstLine="708"/>
        <w:contextualSpacing/>
        <w:jc w:val="both"/>
        <w:textAlignment w:val="baseline"/>
        <w:rPr>
          <w:rFonts w:ascii="Arial" w:eastAsia="Times New Roman" w:hAnsi="Arial" w:cs="Arial"/>
          <w:color w:val="000000" w:themeColor="text1"/>
          <w:lang w:eastAsia="es-PE"/>
        </w:rPr>
      </w:pPr>
      <w:r w:rsidRPr="00ED4383">
        <w:rPr>
          <w:rFonts w:ascii="Arial" w:eastAsia="Times New Roman" w:hAnsi="Arial" w:cs="Arial"/>
          <w:b/>
          <w:bCs/>
          <w:color w:val="000000" w:themeColor="text1"/>
          <w:lang w:eastAsia="es-PE"/>
        </w:rPr>
        <w:t>Artículo Único.-</w:t>
      </w:r>
      <w:r w:rsidRPr="00ED4383">
        <w:rPr>
          <w:rFonts w:ascii="Arial" w:eastAsia="Times New Roman" w:hAnsi="Arial" w:cs="Arial"/>
          <w:color w:val="000000" w:themeColor="text1"/>
          <w:lang w:eastAsia="es-PE"/>
        </w:rPr>
        <w:t xml:space="preserve"> Declarar inadmisible el reclamo presentado por el señor Jaime Wilfredo Cuellar </w:t>
      </w:r>
      <w:proofErr w:type="spellStart"/>
      <w:r w:rsidRPr="00ED4383">
        <w:rPr>
          <w:rFonts w:ascii="Arial" w:eastAsia="Times New Roman" w:hAnsi="Arial" w:cs="Arial"/>
          <w:color w:val="000000" w:themeColor="text1"/>
          <w:lang w:eastAsia="es-PE"/>
        </w:rPr>
        <w:t>Imaña</w:t>
      </w:r>
      <w:proofErr w:type="spellEnd"/>
      <w:r w:rsidRPr="00ED4383">
        <w:rPr>
          <w:rFonts w:ascii="Arial" w:eastAsia="Times New Roman" w:hAnsi="Arial" w:cs="Arial"/>
          <w:color w:val="000000" w:themeColor="text1"/>
          <w:lang w:eastAsia="es-PE"/>
        </w:rPr>
        <w:t xml:space="preserve"> y disponer el archivo correspondiente.</w:t>
      </w:r>
    </w:p>
    <w:p w14:paraId="76555027" w14:textId="77777777" w:rsidR="00DE7167" w:rsidRPr="00ED4383" w:rsidRDefault="00DE7167" w:rsidP="00DE7167">
      <w:pPr>
        <w:shd w:val="clear" w:color="auto" w:fill="FFFFFF"/>
        <w:spacing w:after="240"/>
        <w:contextualSpacing/>
        <w:jc w:val="both"/>
        <w:textAlignment w:val="baseline"/>
        <w:rPr>
          <w:rFonts w:ascii="Arial" w:eastAsia="Times New Roman" w:hAnsi="Arial" w:cs="Arial"/>
          <w:color w:val="000000" w:themeColor="text1"/>
          <w:lang w:eastAsia="es-PE"/>
        </w:rPr>
      </w:pPr>
      <w:r w:rsidRPr="00ED4383">
        <w:rPr>
          <w:rFonts w:ascii="Arial" w:eastAsia="Times New Roman" w:hAnsi="Arial" w:cs="Arial"/>
          <w:color w:val="000000" w:themeColor="text1"/>
          <w:lang w:eastAsia="es-PE"/>
        </w:rPr>
        <w:t xml:space="preserve">  </w:t>
      </w:r>
    </w:p>
    <w:p w14:paraId="41F0DF4E" w14:textId="77777777" w:rsidR="00DE7167" w:rsidRPr="00ED4383" w:rsidRDefault="00DE7167" w:rsidP="00DE7167">
      <w:pPr>
        <w:shd w:val="clear" w:color="auto" w:fill="FFFFFF"/>
        <w:spacing w:after="240"/>
        <w:ind w:firstLine="708"/>
        <w:contextualSpacing/>
        <w:jc w:val="both"/>
        <w:textAlignment w:val="baseline"/>
        <w:rPr>
          <w:rFonts w:ascii="Arial" w:eastAsia="Times New Roman" w:hAnsi="Arial" w:cs="Arial"/>
          <w:color w:val="000000" w:themeColor="text1"/>
          <w:lang w:eastAsia="es-PE"/>
        </w:rPr>
      </w:pPr>
      <w:r w:rsidRPr="00ED4383">
        <w:rPr>
          <w:rFonts w:ascii="Arial" w:eastAsia="Times New Roman" w:hAnsi="Arial" w:cs="Arial"/>
          <w:color w:val="000000" w:themeColor="text1"/>
          <w:lang w:eastAsia="es-PE"/>
        </w:rPr>
        <w:t>Comuníquese al Reclamante la presente Resolución, la cual entrará en vigor a partir de la fecha de su publicación en la Gaceta Oficial del Acuerdo de Cartagena.</w:t>
      </w:r>
    </w:p>
    <w:p w14:paraId="50B385FB" w14:textId="77777777" w:rsidR="00DE7167" w:rsidRPr="00ED4383" w:rsidRDefault="00DE7167" w:rsidP="00DE7167">
      <w:pPr>
        <w:shd w:val="clear" w:color="auto" w:fill="FFFFFF"/>
        <w:spacing w:after="240"/>
        <w:contextualSpacing/>
        <w:jc w:val="both"/>
        <w:textAlignment w:val="baseline"/>
        <w:rPr>
          <w:rFonts w:ascii="Arial" w:eastAsia="Times New Roman" w:hAnsi="Arial" w:cs="Arial"/>
          <w:color w:val="000000" w:themeColor="text1"/>
          <w:lang w:eastAsia="es-PE"/>
        </w:rPr>
      </w:pPr>
    </w:p>
    <w:p w14:paraId="1227D570" w14:textId="77777777" w:rsidR="00DE7167" w:rsidRPr="00ED4383" w:rsidRDefault="00DE7167" w:rsidP="00DE7167">
      <w:pPr>
        <w:shd w:val="clear" w:color="auto" w:fill="FFFFFF"/>
        <w:spacing w:after="240"/>
        <w:ind w:firstLine="708"/>
        <w:contextualSpacing/>
        <w:jc w:val="both"/>
        <w:textAlignment w:val="baseline"/>
        <w:rPr>
          <w:rFonts w:ascii="Arial" w:eastAsia="Times New Roman" w:hAnsi="Arial" w:cs="Arial"/>
          <w:color w:val="000000" w:themeColor="text1"/>
          <w:lang w:eastAsia="es-PE"/>
        </w:rPr>
      </w:pPr>
      <w:r w:rsidRPr="00ED4383">
        <w:rPr>
          <w:rFonts w:ascii="Arial" w:eastAsia="Times New Roman" w:hAnsi="Arial" w:cs="Arial"/>
          <w:color w:val="000000" w:themeColor="text1"/>
          <w:lang w:eastAsia="es-PE"/>
        </w:rPr>
        <w:t>Dada en la ciudad de Lima, Perú, al cuarto día del mes de marzo del año dos mil veinticuatro.</w:t>
      </w:r>
    </w:p>
    <w:p w14:paraId="1D33E8B4" w14:textId="77777777" w:rsidR="00DE7167" w:rsidRPr="00ED4383" w:rsidRDefault="00DE7167" w:rsidP="00DE7167">
      <w:pPr>
        <w:shd w:val="clear" w:color="auto" w:fill="FFFFFF"/>
        <w:spacing w:after="240"/>
        <w:contextualSpacing/>
        <w:jc w:val="both"/>
        <w:textAlignment w:val="baseline"/>
        <w:rPr>
          <w:rFonts w:ascii="Arial" w:eastAsia="Times New Roman" w:hAnsi="Arial" w:cs="Arial"/>
          <w:color w:val="000000" w:themeColor="text1"/>
          <w:lang w:eastAsia="es-PE"/>
        </w:rPr>
      </w:pPr>
    </w:p>
    <w:p w14:paraId="7D1A62DE" w14:textId="6B731203" w:rsidR="001E72F0" w:rsidRPr="00AF6654" w:rsidRDefault="00DE7167" w:rsidP="00DE7167">
      <w:pPr>
        <w:shd w:val="clear" w:color="auto" w:fill="FFFFFF"/>
        <w:spacing w:after="240"/>
        <w:contextualSpacing/>
        <w:jc w:val="both"/>
        <w:textAlignment w:val="baseline"/>
        <w:rPr>
          <w:rFonts w:ascii="Arial" w:eastAsia="Times New Roman" w:hAnsi="Arial" w:cs="Arial"/>
          <w:color w:val="000000" w:themeColor="text1"/>
          <w:lang w:eastAsia="es-PE"/>
        </w:rPr>
      </w:pPr>
      <w:r w:rsidRPr="00ED4383">
        <w:rPr>
          <w:rFonts w:ascii="Arial" w:eastAsia="Times New Roman" w:hAnsi="Arial" w:cs="Arial"/>
          <w:color w:val="000000" w:themeColor="text1"/>
          <w:lang w:eastAsia="es-PE"/>
        </w:rPr>
        <w:t>Notifíquese y publíquese</w:t>
      </w:r>
      <w:r w:rsidR="00DD3D08">
        <w:rPr>
          <w:rFonts w:ascii="Arial" w:eastAsia="Times New Roman" w:hAnsi="Arial" w:cs="Arial"/>
          <w:color w:val="000000" w:themeColor="text1"/>
          <w:lang w:eastAsia="es-PE"/>
        </w:rPr>
        <w:t>.</w:t>
      </w:r>
    </w:p>
    <w:p w14:paraId="784FD7F4" w14:textId="77777777" w:rsidR="001E72F0" w:rsidRPr="007474A6" w:rsidRDefault="001E72F0" w:rsidP="001E72F0">
      <w:pPr>
        <w:shd w:val="clear" w:color="auto" w:fill="FFFFFF"/>
        <w:spacing w:after="240"/>
        <w:contextualSpacing/>
        <w:jc w:val="both"/>
        <w:textAlignment w:val="baseline"/>
        <w:rPr>
          <w:rFonts w:ascii="Arial" w:eastAsia="Times New Roman" w:hAnsi="Arial" w:cs="Arial"/>
          <w:color w:val="000000" w:themeColor="text1"/>
          <w:lang w:eastAsia="es-PE"/>
        </w:rPr>
      </w:pPr>
    </w:p>
    <w:p w14:paraId="79CF72C2" w14:textId="77777777" w:rsidR="00D6288F" w:rsidRPr="007474A6" w:rsidRDefault="00D6288F" w:rsidP="001E72F0">
      <w:pPr>
        <w:shd w:val="clear" w:color="auto" w:fill="FFFFFF"/>
        <w:spacing w:after="240"/>
        <w:contextualSpacing/>
        <w:jc w:val="both"/>
        <w:textAlignment w:val="baseline"/>
        <w:rPr>
          <w:rFonts w:ascii="Arial" w:eastAsia="Times New Roman" w:hAnsi="Arial" w:cs="Arial"/>
          <w:color w:val="000000" w:themeColor="text1"/>
          <w:lang w:eastAsia="es-PE"/>
        </w:rPr>
      </w:pPr>
    </w:p>
    <w:p w14:paraId="2A1CAED7" w14:textId="77777777" w:rsidR="001E72F0" w:rsidRPr="007474A6" w:rsidRDefault="001E72F0" w:rsidP="001E72F0">
      <w:pPr>
        <w:shd w:val="clear" w:color="auto" w:fill="FFFFFF"/>
        <w:spacing w:after="240"/>
        <w:contextualSpacing/>
        <w:jc w:val="both"/>
        <w:textAlignment w:val="baseline"/>
        <w:rPr>
          <w:rFonts w:ascii="Arial" w:eastAsia="Times New Roman" w:hAnsi="Arial" w:cs="Arial"/>
          <w:color w:val="000000" w:themeColor="text1"/>
          <w:lang w:eastAsia="es-PE"/>
        </w:rPr>
      </w:pPr>
    </w:p>
    <w:p w14:paraId="296C4A0B" w14:textId="77777777" w:rsidR="001E72F0" w:rsidRPr="007474A6" w:rsidRDefault="001E72F0" w:rsidP="001E72F0">
      <w:pPr>
        <w:shd w:val="clear" w:color="auto" w:fill="FFFFFF"/>
        <w:spacing w:after="240"/>
        <w:contextualSpacing/>
        <w:jc w:val="both"/>
        <w:textAlignment w:val="baseline"/>
        <w:rPr>
          <w:rFonts w:ascii="Arial" w:eastAsia="Times New Roman" w:hAnsi="Arial" w:cs="Arial"/>
          <w:color w:val="000000" w:themeColor="text1"/>
          <w:lang w:eastAsia="es-PE"/>
        </w:rPr>
      </w:pPr>
    </w:p>
    <w:p w14:paraId="3A615CF7" w14:textId="77777777" w:rsidR="001E72F0" w:rsidRPr="007474A6" w:rsidRDefault="001E72F0" w:rsidP="001E72F0">
      <w:pPr>
        <w:shd w:val="clear" w:color="auto" w:fill="FFFFFF"/>
        <w:spacing w:after="240"/>
        <w:contextualSpacing/>
        <w:jc w:val="both"/>
        <w:textAlignment w:val="baseline"/>
        <w:rPr>
          <w:rFonts w:ascii="Arial" w:eastAsia="Times New Roman" w:hAnsi="Arial" w:cs="Arial"/>
          <w:color w:val="000000" w:themeColor="text1"/>
          <w:lang w:eastAsia="es-PE"/>
        </w:rPr>
      </w:pPr>
    </w:p>
    <w:p w14:paraId="443848D2" w14:textId="77777777" w:rsidR="001E72F0" w:rsidRPr="00B66E19" w:rsidRDefault="001E72F0" w:rsidP="002F2035">
      <w:pPr>
        <w:shd w:val="clear" w:color="auto" w:fill="FFFFFF"/>
        <w:spacing w:after="240"/>
        <w:contextualSpacing/>
        <w:jc w:val="center"/>
        <w:textAlignment w:val="baseline"/>
        <w:rPr>
          <w:rFonts w:ascii="Arial" w:eastAsia="Times New Roman" w:hAnsi="Arial" w:cs="Arial"/>
          <w:color w:val="000000" w:themeColor="text1"/>
          <w:lang w:eastAsia="es-PE"/>
        </w:rPr>
      </w:pPr>
      <w:r w:rsidRPr="00B66E19">
        <w:rPr>
          <w:rFonts w:ascii="Arial" w:eastAsia="Times New Roman" w:hAnsi="Arial" w:cs="Arial"/>
          <w:color w:val="000000" w:themeColor="text1"/>
          <w:lang w:eastAsia="es-PE"/>
        </w:rPr>
        <w:t>Gonzalo Gutiérrez Reinel</w:t>
      </w:r>
    </w:p>
    <w:p w14:paraId="1FF4EF35" w14:textId="27B0F391" w:rsidR="00CC08FB" w:rsidRPr="00907E70" w:rsidRDefault="00CC08FB" w:rsidP="002F2035">
      <w:pPr>
        <w:shd w:val="clear" w:color="auto" w:fill="FFFFFF"/>
        <w:spacing w:after="240"/>
        <w:contextualSpacing/>
        <w:jc w:val="center"/>
        <w:textAlignment w:val="baseline"/>
        <w:rPr>
          <w:rFonts w:ascii="Arial" w:eastAsia="Times New Roman" w:hAnsi="Arial" w:cs="Arial"/>
          <w:color w:val="000000" w:themeColor="text1"/>
          <w:lang w:eastAsia="es-PE"/>
        </w:rPr>
      </w:pPr>
      <w:r w:rsidRPr="00907E70">
        <w:rPr>
          <w:rFonts w:ascii="Arial" w:eastAsia="Times New Roman" w:hAnsi="Arial" w:cs="Arial"/>
          <w:color w:val="000000" w:themeColor="text1"/>
          <w:lang w:eastAsia="es-PE"/>
        </w:rPr>
        <w:t>Embajador</w:t>
      </w:r>
    </w:p>
    <w:p w14:paraId="3E4E7901" w14:textId="77777777" w:rsidR="001E72F0" w:rsidRPr="00907E70" w:rsidRDefault="001E72F0" w:rsidP="002F2035">
      <w:pPr>
        <w:shd w:val="clear" w:color="auto" w:fill="FFFFFF"/>
        <w:spacing w:after="240"/>
        <w:contextualSpacing/>
        <w:jc w:val="center"/>
        <w:textAlignment w:val="baseline"/>
        <w:rPr>
          <w:rFonts w:ascii="Arial" w:eastAsia="Times New Roman" w:hAnsi="Arial" w:cs="Arial"/>
          <w:color w:val="000000" w:themeColor="text1"/>
          <w:lang w:eastAsia="es-PE"/>
        </w:rPr>
      </w:pPr>
      <w:r w:rsidRPr="00907E70">
        <w:rPr>
          <w:rFonts w:ascii="Arial" w:eastAsia="Times New Roman" w:hAnsi="Arial" w:cs="Arial"/>
          <w:color w:val="000000" w:themeColor="text1"/>
          <w:lang w:eastAsia="es-PE"/>
        </w:rPr>
        <w:t>Secretario General</w:t>
      </w:r>
    </w:p>
    <w:p w14:paraId="2BB7D1FC" w14:textId="77777777" w:rsidR="001E72F0" w:rsidRPr="007474A6" w:rsidRDefault="001E72F0" w:rsidP="002F2035">
      <w:pPr>
        <w:shd w:val="clear" w:color="auto" w:fill="FFFFFF"/>
        <w:spacing w:after="240"/>
        <w:contextualSpacing/>
        <w:jc w:val="center"/>
        <w:textAlignment w:val="baseline"/>
        <w:rPr>
          <w:rFonts w:ascii="Arial" w:eastAsia="Times New Roman" w:hAnsi="Arial" w:cs="Arial"/>
          <w:b/>
          <w:bCs/>
          <w:color w:val="000000" w:themeColor="text1"/>
          <w:lang w:eastAsia="es-PE"/>
        </w:rPr>
      </w:pPr>
    </w:p>
    <w:p w14:paraId="7433CEC0" w14:textId="77777777" w:rsidR="001E72F0" w:rsidRDefault="001E72F0" w:rsidP="00DF7CB2">
      <w:pPr>
        <w:shd w:val="clear" w:color="auto" w:fill="FFFFFF"/>
        <w:spacing w:after="240"/>
        <w:contextualSpacing/>
        <w:jc w:val="both"/>
        <w:textAlignment w:val="baseline"/>
        <w:rPr>
          <w:rFonts w:ascii="Times New Roman" w:eastAsia="Times New Roman" w:hAnsi="Times New Roman" w:cs="Times New Roman"/>
          <w:color w:val="000000" w:themeColor="text1"/>
          <w:sz w:val="24"/>
          <w:szCs w:val="24"/>
          <w:lang w:eastAsia="es-PE"/>
        </w:rPr>
      </w:pPr>
    </w:p>
    <w:sectPr w:rsidR="001E72F0" w:rsidSect="00FE7D75">
      <w:headerReference w:type="default" r:id="rId9"/>
      <w:footerReference w:type="default" r:id="rId10"/>
      <w:pgSz w:w="11907" w:h="16840" w:code="9"/>
      <w:pgMar w:top="1418" w:right="1418" w:bottom="1134" w:left="1701"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648FB" w14:textId="77777777" w:rsidR="00FE7D75" w:rsidRDefault="00FE7D75" w:rsidP="00B22C35">
      <w:pPr>
        <w:spacing w:after="0" w:line="240" w:lineRule="auto"/>
      </w:pPr>
      <w:r>
        <w:separator/>
      </w:r>
    </w:p>
  </w:endnote>
  <w:endnote w:type="continuationSeparator" w:id="0">
    <w:p w14:paraId="61118956" w14:textId="77777777" w:rsidR="00FE7D75" w:rsidRDefault="00FE7D75" w:rsidP="00B22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265998"/>
      <w:docPartObj>
        <w:docPartGallery w:val="Page Numbers (Bottom of Page)"/>
        <w:docPartUnique/>
      </w:docPartObj>
    </w:sdtPr>
    <w:sdtContent>
      <w:p w14:paraId="4B0B1B50" w14:textId="09D7846A" w:rsidR="004F6657" w:rsidRDefault="004F6657">
        <w:pPr>
          <w:pStyle w:val="Piedepgina"/>
          <w:jc w:val="right"/>
        </w:pPr>
        <w:r>
          <w:fldChar w:fldCharType="begin"/>
        </w:r>
        <w:r>
          <w:instrText>PAGE   \* MERGEFORMAT</w:instrText>
        </w:r>
        <w:r>
          <w:fldChar w:fldCharType="separate"/>
        </w:r>
        <w:r>
          <w:rPr>
            <w:lang w:val="es-ES"/>
          </w:rPr>
          <w:t>2</w:t>
        </w:r>
        <w:r>
          <w:fldChar w:fldCharType="end"/>
        </w:r>
      </w:p>
    </w:sdtContent>
  </w:sdt>
  <w:p w14:paraId="73504105" w14:textId="3B9B2C9B" w:rsidR="00F40398" w:rsidRPr="00034330" w:rsidRDefault="00F40398" w:rsidP="00E56C29">
    <w:pPr>
      <w:pStyle w:val="Piedepgin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EA8DB" w14:textId="77777777" w:rsidR="00FE7D75" w:rsidRDefault="00FE7D75" w:rsidP="00B22C35">
      <w:pPr>
        <w:spacing w:after="0" w:line="240" w:lineRule="auto"/>
      </w:pPr>
      <w:r>
        <w:separator/>
      </w:r>
    </w:p>
  </w:footnote>
  <w:footnote w:type="continuationSeparator" w:id="0">
    <w:p w14:paraId="3C918F9F" w14:textId="77777777" w:rsidR="00FE7D75" w:rsidRDefault="00FE7D75" w:rsidP="00B22C35">
      <w:pPr>
        <w:spacing w:after="0" w:line="240" w:lineRule="auto"/>
      </w:pPr>
      <w:r>
        <w:continuationSeparator/>
      </w:r>
    </w:p>
  </w:footnote>
  <w:footnote w:id="1">
    <w:p w14:paraId="0585CA88" w14:textId="77777777" w:rsidR="00DE7167" w:rsidRPr="000901E0" w:rsidRDefault="00DE7167" w:rsidP="00DE7167">
      <w:pPr>
        <w:pStyle w:val="Textonotapie"/>
        <w:rPr>
          <w:rFonts w:ascii="Arial" w:hAnsi="Arial" w:cs="Arial"/>
          <w:sz w:val="16"/>
          <w:szCs w:val="16"/>
        </w:rPr>
      </w:pPr>
      <w:r w:rsidRPr="000901E0">
        <w:rPr>
          <w:rStyle w:val="Refdenotaalpie"/>
          <w:rFonts w:ascii="Arial" w:hAnsi="Arial" w:cs="Arial"/>
          <w:sz w:val="16"/>
          <w:szCs w:val="16"/>
        </w:rPr>
        <w:footnoteRef/>
      </w:r>
      <w:r w:rsidRPr="000901E0">
        <w:rPr>
          <w:rFonts w:ascii="Arial" w:hAnsi="Arial" w:cs="Arial"/>
          <w:sz w:val="16"/>
          <w:szCs w:val="16"/>
        </w:rPr>
        <w:t xml:space="preserve"> Escrito de Reclamo presentado el 29 de enero de 2024.</w:t>
      </w:r>
    </w:p>
  </w:footnote>
  <w:footnote w:id="2">
    <w:p w14:paraId="78B7718F" w14:textId="77777777" w:rsidR="00DE7167" w:rsidRPr="000901E0" w:rsidRDefault="00DE7167" w:rsidP="00DE7167">
      <w:pPr>
        <w:pStyle w:val="Textonotapie"/>
        <w:rPr>
          <w:rFonts w:ascii="Arial" w:hAnsi="Arial" w:cs="Arial"/>
          <w:sz w:val="16"/>
          <w:szCs w:val="16"/>
          <w:lang w:val="es-PE"/>
        </w:rPr>
      </w:pPr>
      <w:r w:rsidRPr="000901E0">
        <w:rPr>
          <w:rStyle w:val="Refdenotaalpie"/>
          <w:rFonts w:ascii="Arial" w:hAnsi="Arial" w:cs="Arial"/>
          <w:sz w:val="16"/>
          <w:szCs w:val="16"/>
        </w:rPr>
        <w:footnoteRef/>
      </w:r>
      <w:r>
        <w:rPr>
          <w:rFonts w:ascii="Arial" w:hAnsi="Arial" w:cs="Arial"/>
          <w:sz w:val="16"/>
          <w:szCs w:val="16"/>
          <w:lang w:val="es-PE"/>
        </w:rPr>
        <w:t xml:space="preserve"> </w:t>
      </w:r>
      <w:r w:rsidRPr="000901E0">
        <w:rPr>
          <w:rFonts w:ascii="Arial" w:hAnsi="Arial" w:cs="Arial"/>
          <w:sz w:val="16"/>
          <w:szCs w:val="16"/>
          <w:lang w:val="es-PE"/>
        </w:rPr>
        <w:t>Anexos del escrito de Reclamo presentado el 29 de enero de 2024: 156 fojas</w:t>
      </w:r>
      <w:r>
        <w:rPr>
          <w:rFonts w:ascii="Arial" w:hAnsi="Arial" w:cs="Arial"/>
          <w:sz w:val="16"/>
          <w:szCs w:val="16"/>
          <w:lang w:val="es-PE"/>
        </w:rPr>
        <w:t>.</w:t>
      </w:r>
    </w:p>
    <w:p w14:paraId="308C76F5" w14:textId="77777777" w:rsidR="00DE7167" w:rsidRPr="000901E0" w:rsidRDefault="00DE7167" w:rsidP="00DE7167">
      <w:pPr>
        <w:pStyle w:val="Textonotapie"/>
        <w:rPr>
          <w:rFonts w:ascii="Arial" w:hAnsi="Arial" w:cs="Arial"/>
          <w:sz w:val="16"/>
          <w:szCs w:val="16"/>
          <w:lang w:val="es-PE"/>
        </w:rPr>
      </w:pPr>
      <w:r w:rsidRPr="000901E0">
        <w:rPr>
          <w:rFonts w:ascii="Arial" w:hAnsi="Arial" w:cs="Arial"/>
          <w:sz w:val="16"/>
          <w:szCs w:val="16"/>
          <w:lang w:val="es-PE"/>
        </w:rPr>
        <w:t xml:space="preserve"> </w:t>
      </w:r>
    </w:p>
    <w:p w14:paraId="17BC6029" w14:textId="77777777" w:rsidR="00DE7167" w:rsidRDefault="00DE7167" w:rsidP="00DE7167">
      <w:pPr>
        <w:pStyle w:val="Textonotapie"/>
        <w:rPr>
          <w:lang w:val="es-PE"/>
        </w:rPr>
      </w:pPr>
    </w:p>
    <w:p w14:paraId="30C1BF7D" w14:textId="77777777" w:rsidR="00DE7167" w:rsidRPr="00EF523C" w:rsidRDefault="00DE7167" w:rsidP="00DE7167">
      <w:pPr>
        <w:pStyle w:val="Textonotapie"/>
        <w:rPr>
          <w:lang w:val="es-PE"/>
        </w:rPr>
      </w:pPr>
      <w:r>
        <w:rPr>
          <w:lang w:val="es-PE"/>
        </w:rPr>
        <w:t xml:space="preserve"> </w:t>
      </w:r>
    </w:p>
  </w:footnote>
  <w:footnote w:id="3">
    <w:p w14:paraId="13DBF9E7" w14:textId="77777777" w:rsidR="00DE7167" w:rsidRPr="00E169E7" w:rsidRDefault="00DE7167" w:rsidP="00DE7167">
      <w:pPr>
        <w:pStyle w:val="Textonotapie"/>
        <w:rPr>
          <w:rFonts w:ascii="Arial" w:hAnsi="Arial" w:cs="Arial"/>
          <w:sz w:val="16"/>
          <w:szCs w:val="16"/>
          <w:lang w:val="es-PE"/>
        </w:rPr>
      </w:pPr>
      <w:r w:rsidRPr="00E169E7">
        <w:rPr>
          <w:rStyle w:val="Refdenotaalpie"/>
          <w:rFonts w:ascii="Arial" w:hAnsi="Arial" w:cs="Arial"/>
          <w:sz w:val="16"/>
          <w:szCs w:val="16"/>
        </w:rPr>
        <w:footnoteRef/>
      </w:r>
      <w:r w:rsidRPr="00E169E7">
        <w:rPr>
          <w:rFonts w:ascii="Arial" w:hAnsi="Arial" w:cs="Arial"/>
          <w:sz w:val="16"/>
          <w:szCs w:val="16"/>
          <w:lang w:val="es-PE"/>
        </w:rPr>
        <w:t xml:space="preserve"> Escrito de reclamo presentado el 29 de enero de 2024.</w:t>
      </w:r>
    </w:p>
  </w:footnote>
  <w:footnote w:id="4">
    <w:p w14:paraId="790EBE13" w14:textId="77777777" w:rsidR="00DE7167" w:rsidRDefault="00DE7167" w:rsidP="00DE7167">
      <w:pPr>
        <w:pStyle w:val="Textonotapie"/>
      </w:pPr>
      <w:r>
        <w:rPr>
          <w:rStyle w:val="Refdenotaalpie"/>
        </w:rPr>
        <w:footnoteRef/>
      </w:r>
      <w:r>
        <w:t xml:space="preserve"> </w:t>
      </w:r>
      <w:r w:rsidRPr="00E169E7">
        <w:rPr>
          <w:rFonts w:ascii="Arial" w:hAnsi="Arial" w:cs="Arial"/>
          <w:sz w:val="16"/>
          <w:szCs w:val="16"/>
          <w:lang w:val="es-PE"/>
        </w:rPr>
        <w:t>Escrito de reclamo presentado el 29 de enero de 2024</w:t>
      </w:r>
      <w:r>
        <w:rPr>
          <w:rFonts w:ascii="Arial" w:hAnsi="Arial" w:cs="Arial"/>
          <w:sz w:val="16"/>
          <w:szCs w:val="16"/>
          <w:lang w:val="es-PE"/>
        </w:rPr>
        <w:t>, p.6 y 7.</w:t>
      </w:r>
    </w:p>
  </w:footnote>
  <w:footnote w:id="5">
    <w:p w14:paraId="459ED0B8" w14:textId="77777777" w:rsidR="00DE7167" w:rsidRDefault="00DE7167" w:rsidP="00DE7167">
      <w:pPr>
        <w:pStyle w:val="Textonotapie"/>
      </w:pPr>
      <w:r>
        <w:rPr>
          <w:rStyle w:val="Refdenotaalpie"/>
        </w:rPr>
        <w:footnoteRef/>
      </w:r>
      <w:r>
        <w:t xml:space="preserve"> </w:t>
      </w:r>
      <w:r w:rsidRPr="00E169E7">
        <w:rPr>
          <w:rFonts w:ascii="Arial" w:hAnsi="Arial" w:cs="Arial"/>
          <w:sz w:val="16"/>
          <w:szCs w:val="16"/>
          <w:lang w:val="es-PE"/>
        </w:rPr>
        <w:t>Escrito de reclamo presentado el 29 de enero de 2024</w:t>
      </w:r>
      <w:r>
        <w:rPr>
          <w:rFonts w:ascii="Arial" w:hAnsi="Arial" w:cs="Arial"/>
          <w:sz w:val="16"/>
          <w:szCs w:val="16"/>
          <w:lang w:val="es-PE"/>
        </w:rPr>
        <w:t>, p.8 a 31.</w:t>
      </w:r>
    </w:p>
  </w:footnote>
  <w:footnote w:id="6">
    <w:p w14:paraId="78B9F962" w14:textId="77777777" w:rsidR="00DE7167" w:rsidRPr="00E169E7" w:rsidRDefault="00DE7167" w:rsidP="00DE7167">
      <w:pPr>
        <w:pStyle w:val="Textonotapie"/>
        <w:rPr>
          <w:rFonts w:ascii="Arial" w:hAnsi="Arial" w:cs="Arial"/>
          <w:sz w:val="16"/>
          <w:szCs w:val="16"/>
          <w:lang w:val="es-PE"/>
        </w:rPr>
      </w:pPr>
      <w:r w:rsidRPr="00E169E7">
        <w:rPr>
          <w:rStyle w:val="Refdenotaalpie"/>
          <w:rFonts w:ascii="Arial" w:hAnsi="Arial" w:cs="Arial"/>
          <w:sz w:val="16"/>
          <w:szCs w:val="16"/>
          <w:vertAlign w:val="baseline"/>
        </w:rPr>
        <w:footnoteRef/>
      </w:r>
      <w:r w:rsidRPr="00E169E7">
        <w:rPr>
          <w:rFonts w:ascii="Arial" w:hAnsi="Arial" w:cs="Arial"/>
          <w:sz w:val="16"/>
          <w:szCs w:val="16"/>
          <w:lang w:val="es-PE"/>
        </w:rPr>
        <w:t xml:space="preserve"> Anexos al escrito de Reclamo presentado el 29 de enero de 2024</w:t>
      </w:r>
    </w:p>
  </w:footnote>
  <w:footnote w:id="7">
    <w:p w14:paraId="0487FE11" w14:textId="77777777" w:rsidR="00DE7167" w:rsidRPr="00E169E7" w:rsidRDefault="00DE7167" w:rsidP="00DE7167">
      <w:pPr>
        <w:pStyle w:val="Textonotapie"/>
        <w:rPr>
          <w:rFonts w:ascii="Arial" w:hAnsi="Arial" w:cs="Arial"/>
          <w:sz w:val="16"/>
          <w:szCs w:val="16"/>
          <w:lang w:val="es-PE"/>
        </w:rPr>
      </w:pPr>
      <w:r w:rsidRPr="00E169E7">
        <w:rPr>
          <w:rStyle w:val="Refdenotaalpie"/>
          <w:rFonts w:ascii="Arial" w:hAnsi="Arial" w:cs="Arial"/>
          <w:sz w:val="16"/>
          <w:szCs w:val="16"/>
        </w:rPr>
        <w:footnoteRef/>
      </w:r>
      <w:r w:rsidRPr="00E169E7">
        <w:rPr>
          <w:rFonts w:ascii="Arial" w:hAnsi="Arial" w:cs="Arial"/>
          <w:sz w:val="16"/>
          <w:szCs w:val="16"/>
          <w:lang w:val="es-PE"/>
        </w:rPr>
        <w:t xml:space="preserve"> Escrito de subsanación presentado el 26 de febrero de 2024.</w:t>
      </w:r>
    </w:p>
  </w:footnote>
  <w:footnote w:id="8">
    <w:p w14:paraId="702A8B91" w14:textId="77777777" w:rsidR="00DE7167" w:rsidRPr="00E169E7" w:rsidRDefault="00DE7167" w:rsidP="00DE7167">
      <w:pPr>
        <w:pStyle w:val="Textonotapie"/>
        <w:rPr>
          <w:rFonts w:ascii="Arial" w:hAnsi="Arial" w:cs="Arial"/>
          <w:sz w:val="16"/>
          <w:szCs w:val="16"/>
        </w:rPr>
      </w:pPr>
      <w:r w:rsidRPr="00E169E7">
        <w:rPr>
          <w:rStyle w:val="Refdenotaalpie"/>
          <w:rFonts w:ascii="Arial" w:hAnsi="Arial" w:cs="Arial"/>
          <w:sz w:val="16"/>
          <w:szCs w:val="16"/>
        </w:rPr>
        <w:footnoteRef/>
      </w:r>
      <w:r w:rsidRPr="00E169E7">
        <w:rPr>
          <w:rFonts w:ascii="Arial" w:hAnsi="Arial" w:cs="Arial"/>
          <w:sz w:val="16"/>
          <w:szCs w:val="16"/>
        </w:rPr>
        <w:t xml:space="preserve"> Proceso 01-AI-2022, Gaceta Oficial del Acuerdo de Cartagena Número 4457 de 04 de mayo de 2022.</w:t>
      </w:r>
    </w:p>
  </w:footnote>
  <w:footnote w:id="9">
    <w:p w14:paraId="2B393F20" w14:textId="77777777" w:rsidR="00DE7167" w:rsidRPr="00981140" w:rsidRDefault="00DE7167" w:rsidP="00DE7167">
      <w:pPr>
        <w:pStyle w:val="Textonotapie"/>
        <w:jc w:val="both"/>
        <w:rPr>
          <w:sz w:val="16"/>
          <w:szCs w:val="16"/>
        </w:rPr>
      </w:pPr>
      <w:r>
        <w:rPr>
          <w:rStyle w:val="Refdenotaalpie"/>
        </w:rPr>
        <w:footnoteRef/>
      </w:r>
      <w:r>
        <w:t xml:space="preserve"> </w:t>
      </w:r>
      <w:r w:rsidRPr="002F1C5B">
        <w:rPr>
          <w:rFonts w:ascii="Arial" w:hAnsi="Arial" w:cs="Arial"/>
          <w:sz w:val="16"/>
          <w:szCs w:val="16"/>
        </w:rPr>
        <w:t>Comunicación SG/E/SJ/156/</w:t>
      </w:r>
      <w:r w:rsidRPr="00981140">
        <w:rPr>
          <w:rFonts w:ascii="Arial" w:hAnsi="Arial" w:cs="Arial"/>
          <w:sz w:val="16"/>
          <w:szCs w:val="16"/>
        </w:rPr>
        <w:t>2024 de fecha 05 de febrero de 2024 que contiene el análisis de admisibilidad de la Secretaría General</w:t>
      </w:r>
      <w:r w:rsidRPr="00981140">
        <w:rPr>
          <w:rFonts w:ascii="Arial" w:hAnsi="Arial" w:cs="Arial"/>
          <w:color w:val="000000" w:themeColor="text1"/>
          <w:sz w:val="16"/>
          <w:szCs w:val="16"/>
        </w:rPr>
        <w:t>.</w:t>
      </w:r>
    </w:p>
  </w:footnote>
  <w:footnote w:id="10">
    <w:p w14:paraId="4E37756F" w14:textId="77777777" w:rsidR="00DE7167" w:rsidRPr="003A53A3" w:rsidRDefault="00DE7167" w:rsidP="00DE7167">
      <w:pPr>
        <w:pStyle w:val="Textonotapie"/>
        <w:rPr>
          <w:rFonts w:ascii="Arial" w:hAnsi="Arial" w:cs="Arial"/>
          <w:sz w:val="16"/>
          <w:szCs w:val="16"/>
        </w:rPr>
      </w:pPr>
      <w:r w:rsidRPr="003A53A3">
        <w:rPr>
          <w:rStyle w:val="Refdenotaalpie"/>
          <w:rFonts w:ascii="Arial" w:eastAsiaTheme="minorHAnsi" w:hAnsi="Arial" w:cs="Arial"/>
          <w:sz w:val="16"/>
          <w:szCs w:val="16"/>
          <w:lang w:val="es-PE" w:eastAsia="en-US"/>
        </w:rPr>
        <w:footnoteRef/>
      </w:r>
      <w:r w:rsidRPr="003A53A3">
        <w:rPr>
          <w:rFonts w:ascii="Arial" w:hAnsi="Arial" w:cs="Arial"/>
          <w:sz w:val="16"/>
          <w:szCs w:val="16"/>
        </w:rPr>
        <w:t xml:space="preserve"> Escrito de subsanación presentado el 26 de febrero de 2024, p. 26 – 27.</w:t>
      </w:r>
    </w:p>
  </w:footnote>
  <w:footnote w:id="11">
    <w:p w14:paraId="40A0EFC0" w14:textId="77777777" w:rsidR="00DE7167" w:rsidRDefault="00DE7167" w:rsidP="00DE7167">
      <w:pPr>
        <w:pStyle w:val="Textonotapie"/>
      </w:pPr>
      <w:r>
        <w:rPr>
          <w:rStyle w:val="Refdenotaalpie"/>
        </w:rPr>
        <w:footnoteRef/>
      </w:r>
      <w:r>
        <w:t xml:space="preserve"> Cabe señalar que el Reclamante presentó ante la SGCAN  27 de febrero de 2024 (fuera del plazo previsto en el artículo 15 de la Decisión 623), </w:t>
      </w:r>
      <w:proofErr w:type="gramStart"/>
      <w:r>
        <w:t>un  escrito</w:t>
      </w:r>
      <w:proofErr w:type="gramEnd"/>
      <w:r>
        <w:t xml:space="preserve"> adicional. </w:t>
      </w:r>
    </w:p>
  </w:footnote>
  <w:footnote w:id="12">
    <w:p w14:paraId="791A7D13" w14:textId="77777777" w:rsidR="00DE7167" w:rsidRPr="003A53A3" w:rsidRDefault="00DE7167" w:rsidP="00DE7167">
      <w:pPr>
        <w:pStyle w:val="Prrafodelista"/>
        <w:spacing w:after="0" w:line="240" w:lineRule="auto"/>
        <w:ind w:left="0"/>
        <w:jc w:val="both"/>
        <w:rPr>
          <w:rFonts w:ascii="Arial" w:eastAsia="Times New Roman" w:hAnsi="Arial" w:cs="Arial"/>
          <w:i/>
          <w:iCs/>
          <w:sz w:val="16"/>
          <w:szCs w:val="16"/>
          <w:lang w:val="es-ES" w:eastAsia="es-ES"/>
        </w:rPr>
      </w:pPr>
      <w:r w:rsidRPr="003A53A3">
        <w:rPr>
          <w:rStyle w:val="Refdenotaalpie"/>
          <w:rFonts w:ascii="Arial" w:hAnsi="Arial" w:cs="Arial"/>
          <w:sz w:val="16"/>
          <w:szCs w:val="16"/>
        </w:rPr>
        <w:footnoteRef/>
      </w:r>
      <w:r w:rsidRPr="003A53A3">
        <w:rPr>
          <w:rFonts w:ascii="Arial" w:hAnsi="Arial" w:cs="Arial"/>
          <w:sz w:val="16"/>
          <w:szCs w:val="16"/>
        </w:rPr>
        <w:t xml:space="preserve"> </w:t>
      </w:r>
      <w:r>
        <w:rPr>
          <w:rFonts w:ascii="Arial" w:hAnsi="Arial" w:cs="Arial"/>
          <w:sz w:val="16"/>
          <w:szCs w:val="16"/>
        </w:rPr>
        <w:t xml:space="preserve">El </w:t>
      </w:r>
      <w:r>
        <w:rPr>
          <w:rFonts w:ascii="Arial" w:eastAsia="Times New Roman" w:hAnsi="Arial" w:cs="Arial"/>
          <w:sz w:val="16"/>
          <w:szCs w:val="16"/>
          <w:lang w:val="es-ES" w:eastAsia="es-ES"/>
        </w:rPr>
        <w:t>a</w:t>
      </w:r>
      <w:r w:rsidRPr="003A53A3">
        <w:rPr>
          <w:rFonts w:ascii="Arial" w:eastAsia="Times New Roman" w:hAnsi="Arial" w:cs="Arial"/>
          <w:sz w:val="16"/>
          <w:szCs w:val="16"/>
          <w:lang w:val="es-ES" w:eastAsia="es-ES"/>
        </w:rPr>
        <w:t>rtículo 108</w:t>
      </w:r>
      <w:r>
        <w:rPr>
          <w:rFonts w:ascii="Arial" w:eastAsia="Times New Roman" w:hAnsi="Arial" w:cs="Arial"/>
          <w:sz w:val="16"/>
          <w:szCs w:val="16"/>
          <w:lang w:val="es-ES" w:eastAsia="es-ES"/>
        </w:rPr>
        <w:t xml:space="preserve"> del ETJCA dispone que </w:t>
      </w:r>
      <w:r w:rsidRPr="003A53A3">
        <w:rPr>
          <w:rFonts w:ascii="Arial" w:eastAsia="Times New Roman" w:hAnsi="Arial" w:cs="Arial"/>
          <w:i/>
          <w:iCs/>
          <w:sz w:val="16"/>
          <w:szCs w:val="16"/>
          <w:lang w:val="es-ES" w:eastAsia="es-ES"/>
        </w:rPr>
        <w:t>“Son titulares de la acción de incumplimiento: la Secretaría General, los Países Miembros y las personas naturales o jurídicas, con arreglo a las disposiciones de los artículos 23, 24 y 25 del Tratado y al Reglamento de Procedimientos Administrativos de la Secretaría General.”</w:t>
      </w:r>
    </w:p>
  </w:footnote>
  <w:footnote w:id="13">
    <w:p w14:paraId="083D4A6D" w14:textId="77777777" w:rsidR="00DE7167" w:rsidRPr="00E169E7" w:rsidRDefault="00DE7167" w:rsidP="00DE7167">
      <w:pPr>
        <w:pStyle w:val="Textonotapie"/>
        <w:rPr>
          <w:rFonts w:ascii="Arial" w:hAnsi="Arial" w:cs="Arial"/>
          <w:sz w:val="16"/>
          <w:szCs w:val="16"/>
          <w:lang w:val="es-EC"/>
        </w:rPr>
      </w:pPr>
      <w:r w:rsidRPr="00E169E7">
        <w:rPr>
          <w:rStyle w:val="Refdenotaalpie"/>
          <w:rFonts w:ascii="Arial" w:hAnsi="Arial" w:cs="Arial"/>
          <w:sz w:val="16"/>
          <w:szCs w:val="16"/>
          <w:vertAlign w:val="baseline"/>
        </w:rPr>
        <w:footnoteRef/>
      </w:r>
      <w:r w:rsidRPr="00E169E7">
        <w:rPr>
          <w:rFonts w:ascii="Arial" w:hAnsi="Arial" w:cs="Arial"/>
          <w:sz w:val="16"/>
          <w:szCs w:val="16"/>
        </w:rPr>
        <w:t xml:space="preserve"> </w:t>
      </w:r>
      <w:r w:rsidRPr="00E169E7">
        <w:rPr>
          <w:rFonts w:ascii="Arial" w:hAnsi="Arial" w:cs="Arial"/>
          <w:sz w:val="16"/>
          <w:szCs w:val="16"/>
          <w:lang w:val="es-EC"/>
        </w:rPr>
        <w:t xml:space="preserve">Sentencia Proceso </w:t>
      </w:r>
      <w:r w:rsidRPr="00E169E7">
        <w:rPr>
          <w:rFonts w:ascii="Arial" w:hAnsi="Arial" w:cs="Arial"/>
          <w:color w:val="000000" w:themeColor="text1"/>
          <w:sz w:val="16"/>
          <w:szCs w:val="16"/>
        </w:rPr>
        <w:t>01-AI-2015, Gaceta Oficial del Acuerdo de Cartagena Número 2100 de 25 de septiembre de 2017.</w:t>
      </w:r>
    </w:p>
  </w:footnote>
  <w:footnote w:id="14">
    <w:p w14:paraId="325CE947" w14:textId="77777777" w:rsidR="00DE7167" w:rsidRPr="00D74C5A" w:rsidRDefault="00DE7167" w:rsidP="00DE7167">
      <w:pPr>
        <w:pStyle w:val="Textonotapie"/>
        <w:rPr>
          <w:rFonts w:ascii="Arial" w:hAnsi="Arial" w:cs="Arial"/>
          <w:sz w:val="16"/>
          <w:szCs w:val="16"/>
          <w:lang w:val="es-EC"/>
        </w:rPr>
      </w:pPr>
      <w:r w:rsidRPr="00D74C5A">
        <w:rPr>
          <w:rStyle w:val="Refdenotaalpie"/>
          <w:rFonts w:ascii="Arial" w:hAnsi="Arial" w:cs="Arial"/>
        </w:rPr>
        <w:footnoteRef/>
      </w:r>
      <w:r w:rsidRPr="00D74C5A">
        <w:rPr>
          <w:rFonts w:ascii="Arial" w:hAnsi="Arial" w:cs="Arial"/>
        </w:rPr>
        <w:t xml:space="preserve"> </w:t>
      </w:r>
      <w:r w:rsidRPr="00D74C5A">
        <w:rPr>
          <w:rFonts w:ascii="Arial" w:hAnsi="Arial" w:cs="Arial"/>
          <w:sz w:val="16"/>
          <w:szCs w:val="16"/>
          <w:lang w:val="es-EC"/>
        </w:rPr>
        <w:t>Sentencia Proceso 03-AI-2017, Gaceta Oficial del Acuerdo de Cartagena Número 3143 de 24 de noviembre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1480" w14:textId="49A855A8" w:rsidR="000D1076" w:rsidRDefault="000D1076">
    <w:pPr>
      <w:pStyle w:val="Encabezado"/>
    </w:pP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11AF0"/>
    <w:multiLevelType w:val="hybridMultilevel"/>
    <w:tmpl w:val="78F6DD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23A7F53"/>
    <w:multiLevelType w:val="hybridMultilevel"/>
    <w:tmpl w:val="ABC403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5162CC1"/>
    <w:multiLevelType w:val="hybridMultilevel"/>
    <w:tmpl w:val="7D5A81CE"/>
    <w:lvl w:ilvl="0" w:tplc="C602E08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CCD28D8"/>
    <w:multiLevelType w:val="multilevel"/>
    <w:tmpl w:val="54385E5C"/>
    <w:lvl w:ilvl="0">
      <w:start w:val="4"/>
      <w:numFmt w:val="decimal"/>
      <w:lvlText w:val="%1"/>
      <w:lvlJc w:val="left"/>
      <w:pPr>
        <w:ind w:left="1109" w:hanging="432"/>
      </w:pPr>
      <w:rPr>
        <w:rFonts w:hint="default"/>
        <w:lang w:val="es-ES" w:eastAsia="en-US" w:bidi="ar-SA"/>
      </w:rPr>
    </w:lvl>
    <w:lvl w:ilvl="1">
      <w:start w:val="1"/>
      <w:numFmt w:val="decimal"/>
      <w:lvlText w:val="%1.%2."/>
      <w:lvlJc w:val="left"/>
      <w:pPr>
        <w:ind w:left="1109" w:hanging="432"/>
      </w:pPr>
      <w:rPr>
        <w:rFonts w:ascii="Times New Roman" w:eastAsia="Times New Roman" w:hAnsi="Times New Roman" w:cs="Times New Roman" w:hint="default"/>
        <w:i/>
        <w:iCs/>
        <w:w w:val="100"/>
        <w:sz w:val="23"/>
        <w:szCs w:val="23"/>
        <w:lang w:val="es-ES" w:eastAsia="en-US" w:bidi="ar-SA"/>
      </w:rPr>
    </w:lvl>
    <w:lvl w:ilvl="2">
      <w:numFmt w:val="bullet"/>
      <w:lvlText w:val="•"/>
      <w:lvlJc w:val="left"/>
      <w:pPr>
        <w:ind w:left="2853" w:hanging="432"/>
      </w:pPr>
      <w:rPr>
        <w:rFonts w:hint="default"/>
        <w:lang w:val="es-ES" w:eastAsia="en-US" w:bidi="ar-SA"/>
      </w:rPr>
    </w:lvl>
    <w:lvl w:ilvl="3">
      <w:numFmt w:val="bullet"/>
      <w:lvlText w:val="•"/>
      <w:lvlJc w:val="left"/>
      <w:pPr>
        <w:ind w:left="3729" w:hanging="432"/>
      </w:pPr>
      <w:rPr>
        <w:rFonts w:hint="default"/>
        <w:lang w:val="es-ES" w:eastAsia="en-US" w:bidi="ar-SA"/>
      </w:rPr>
    </w:lvl>
    <w:lvl w:ilvl="4">
      <w:numFmt w:val="bullet"/>
      <w:lvlText w:val="•"/>
      <w:lvlJc w:val="left"/>
      <w:pPr>
        <w:ind w:left="4606" w:hanging="432"/>
      </w:pPr>
      <w:rPr>
        <w:rFonts w:hint="default"/>
        <w:lang w:val="es-ES" w:eastAsia="en-US" w:bidi="ar-SA"/>
      </w:rPr>
    </w:lvl>
    <w:lvl w:ilvl="5">
      <w:numFmt w:val="bullet"/>
      <w:lvlText w:val="•"/>
      <w:lvlJc w:val="left"/>
      <w:pPr>
        <w:ind w:left="5483" w:hanging="432"/>
      </w:pPr>
      <w:rPr>
        <w:rFonts w:hint="default"/>
        <w:lang w:val="es-ES" w:eastAsia="en-US" w:bidi="ar-SA"/>
      </w:rPr>
    </w:lvl>
    <w:lvl w:ilvl="6">
      <w:numFmt w:val="bullet"/>
      <w:lvlText w:val="•"/>
      <w:lvlJc w:val="left"/>
      <w:pPr>
        <w:ind w:left="6359" w:hanging="432"/>
      </w:pPr>
      <w:rPr>
        <w:rFonts w:hint="default"/>
        <w:lang w:val="es-ES" w:eastAsia="en-US" w:bidi="ar-SA"/>
      </w:rPr>
    </w:lvl>
    <w:lvl w:ilvl="7">
      <w:numFmt w:val="bullet"/>
      <w:lvlText w:val="•"/>
      <w:lvlJc w:val="left"/>
      <w:pPr>
        <w:ind w:left="7236" w:hanging="432"/>
      </w:pPr>
      <w:rPr>
        <w:rFonts w:hint="default"/>
        <w:lang w:val="es-ES" w:eastAsia="en-US" w:bidi="ar-SA"/>
      </w:rPr>
    </w:lvl>
    <w:lvl w:ilvl="8">
      <w:numFmt w:val="bullet"/>
      <w:lvlText w:val="•"/>
      <w:lvlJc w:val="left"/>
      <w:pPr>
        <w:ind w:left="8113" w:hanging="432"/>
      </w:pPr>
      <w:rPr>
        <w:rFonts w:hint="default"/>
        <w:lang w:val="es-ES" w:eastAsia="en-US" w:bidi="ar-SA"/>
      </w:rPr>
    </w:lvl>
  </w:abstractNum>
  <w:abstractNum w:abstractNumId="4" w15:restartNumberingAfterBreak="0">
    <w:nsid w:val="25D2306A"/>
    <w:multiLevelType w:val="hybridMultilevel"/>
    <w:tmpl w:val="3BBE5A46"/>
    <w:lvl w:ilvl="0" w:tplc="F66C5722">
      <w:start w:val="5"/>
      <w:numFmt w:val="lowerLetter"/>
      <w:lvlText w:val="%1)"/>
      <w:lvlJc w:val="left"/>
      <w:pPr>
        <w:ind w:left="1078" w:hanging="370"/>
      </w:pPr>
      <w:rPr>
        <w:rFonts w:hint="default"/>
        <w:b/>
        <w: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9056C50"/>
    <w:multiLevelType w:val="hybridMultilevel"/>
    <w:tmpl w:val="1B68E634"/>
    <w:lvl w:ilvl="0" w:tplc="201ADA80">
      <w:start w:val="1"/>
      <w:numFmt w:val="lowerLetter"/>
      <w:lvlText w:val="%1)"/>
      <w:lvlJc w:val="left"/>
      <w:pPr>
        <w:ind w:left="1078" w:hanging="370"/>
      </w:pPr>
      <w:rPr>
        <w:rFonts w:hint="default"/>
        <w:b/>
        <w:i/>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 w15:restartNumberingAfterBreak="0">
    <w:nsid w:val="29C65B30"/>
    <w:multiLevelType w:val="hybridMultilevel"/>
    <w:tmpl w:val="FA30BBC2"/>
    <w:lvl w:ilvl="0" w:tplc="E8D26634">
      <w:start w:val="1"/>
      <w:numFmt w:val="decimal"/>
      <w:lvlText w:val="[%1]"/>
      <w:lvlJc w:val="left"/>
      <w:pPr>
        <w:ind w:left="720" w:hanging="360"/>
      </w:pPr>
      <w:rPr>
        <w:rFonts w:hint="default"/>
        <w:b w:val="0"/>
        <w:i w:val="0"/>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2DD1249"/>
    <w:multiLevelType w:val="hybridMultilevel"/>
    <w:tmpl w:val="601CA310"/>
    <w:lvl w:ilvl="0" w:tplc="280A0009">
      <w:start w:val="1"/>
      <w:numFmt w:val="bullet"/>
      <w:lvlText w:val=""/>
      <w:lvlJc w:val="left"/>
      <w:pPr>
        <w:ind w:left="1628" w:hanging="360"/>
      </w:pPr>
      <w:rPr>
        <w:rFonts w:ascii="Wingdings" w:hAnsi="Wingdings" w:hint="default"/>
      </w:rPr>
    </w:lvl>
    <w:lvl w:ilvl="1" w:tplc="280A0003" w:tentative="1">
      <w:start w:val="1"/>
      <w:numFmt w:val="bullet"/>
      <w:lvlText w:val="o"/>
      <w:lvlJc w:val="left"/>
      <w:pPr>
        <w:ind w:left="2348" w:hanging="360"/>
      </w:pPr>
      <w:rPr>
        <w:rFonts w:ascii="Courier New" w:hAnsi="Courier New" w:cs="Courier New" w:hint="default"/>
      </w:rPr>
    </w:lvl>
    <w:lvl w:ilvl="2" w:tplc="280A0005" w:tentative="1">
      <w:start w:val="1"/>
      <w:numFmt w:val="bullet"/>
      <w:lvlText w:val=""/>
      <w:lvlJc w:val="left"/>
      <w:pPr>
        <w:ind w:left="3068" w:hanging="360"/>
      </w:pPr>
      <w:rPr>
        <w:rFonts w:ascii="Wingdings" w:hAnsi="Wingdings" w:hint="default"/>
      </w:rPr>
    </w:lvl>
    <w:lvl w:ilvl="3" w:tplc="280A0001" w:tentative="1">
      <w:start w:val="1"/>
      <w:numFmt w:val="bullet"/>
      <w:lvlText w:val=""/>
      <w:lvlJc w:val="left"/>
      <w:pPr>
        <w:ind w:left="3788" w:hanging="360"/>
      </w:pPr>
      <w:rPr>
        <w:rFonts w:ascii="Symbol" w:hAnsi="Symbol" w:hint="default"/>
      </w:rPr>
    </w:lvl>
    <w:lvl w:ilvl="4" w:tplc="280A0003" w:tentative="1">
      <w:start w:val="1"/>
      <w:numFmt w:val="bullet"/>
      <w:lvlText w:val="o"/>
      <w:lvlJc w:val="left"/>
      <w:pPr>
        <w:ind w:left="4508" w:hanging="360"/>
      </w:pPr>
      <w:rPr>
        <w:rFonts w:ascii="Courier New" w:hAnsi="Courier New" w:cs="Courier New" w:hint="default"/>
      </w:rPr>
    </w:lvl>
    <w:lvl w:ilvl="5" w:tplc="280A0005" w:tentative="1">
      <w:start w:val="1"/>
      <w:numFmt w:val="bullet"/>
      <w:lvlText w:val=""/>
      <w:lvlJc w:val="left"/>
      <w:pPr>
        <w:ind w:left="5228" w:hanging="360"/>
      </w:pPr>
      <w:rPr>
        <w:rFonts w:ascii="Wingdings" w:hAnsi="Wingdings" w:hint="default"/>
      </w:rPr>
    </w:lvl>
    <w:lvl w:ilvl="6" w:tplc="280A0001" w:tentative="1">
      <w:start w:val="1"/>
      <w:numFmt w:val="bullet"/>
      <w:lvlText w:val=""/>
      <w:lvlJc w:val="left"/>
      <w:pPr>
        <w:ind w:left="5948" w:hanging="360"/>
      </w:pPr>
      <w:rPr>
        <w:rFonts w:ascii="Symbol" w:hAnsi="Symbol" w:hint="default"/>
      </w:rPr>
    </w:lvl>
    <w:lvl w:ilvl="7" w:tplc="280A0003" w:tentative="1">
      <w:start w:val="1"/>
      <w:numFmt w:val="bullet"/>
      <w:lvlText w:val="o"/>
      <w:lvlJc w:val="left"/>
      <w:pPr>
        <w:ind w:left="6668" w:hanging="360"/>
      </w:pPr>
      <w:rPr>
        <w:rFonts w:ascii="Courier New" w:hAnsi="Courier New" w:cs="Courier New" w:hint="default"/>
      </w:rPr>
    </w:lvl>
    <w:lvl w:ilvl="8" w:tplc="280A0005" w:tentative="1">
      <w:start w:val="1"/>
      <w:numFmt w:val="bullet"/>
      <w:lvlText w:val=""/>
      <w:lvlJc w:val="left"/>
      <w:pPr>
        <w:ind w:left="7388" w:hanging="360"/>
      </w:pPr>
      <w:rPr>
        <w:rFonts w:ascii="Wingdings" w:hAnsi="Wingdings" w:hint="default"/>
      </w:rPr>
    </w:lvl>
  </w:abstractNum>
  <w:abstractNum w:abstractNumId="8" w15:restartNumberingAfterBreak="0">
    <w:nsid w:val="37074A05"/>
    <w:multiLevelType w:val="hybridMultilevel"/>
    <w:tmpl w:val="AC3E369C"/>
    <w:lvl w:ilvl="0" w:tplc="8AFA0F16">
      <w:numFmt w:val="bullet"/>
      <w:lvlText w:val=""/>
      <w:lvlJc w:val="left"/>
      <w:pPr>
        <w:ind w:left="1037" w:hanging="360"/>
      </w:pPr>
      <w:rPr>
        <w:rFonts w:ascii="Symbol" w:eastAsia="Symbol" w:hAnsi="Symbol" w:cs="Symbol" w:hint="default"/>
        <w:w w:val="100"/>
        <w:sz w:val="23"/>
        <w:szCs w:val="23"/>
        <w:lang w:val="es-ES" w:eastAsia="en-US" w:bidi="ar-SA"/>
      </w:rPr>
    </w:lvl>
    <w:lvl w:ilvl="1" w:tplc="27E2952E">
      <w:numFmt w:val="bullet"/>
      <w:lvlText w:val="•"/>
      <w:lvlJc w:val="left"/>
      <w:pPr>
        <w:ind w:left="1922" w:hanging="360"/>
      </w:pPr>
      <w:rPr>
        <w:rFonts w:hint="default"/>
        <w:lang w:val="es-ES" w:eastAsia="en-US" w:bidi="ar-SA"/>
      </w:rPr>
    </w:lvl>
    <w:lvl w:ilvl="2" w:tplc="7DA6A9DA">
      <w:numFmt w:val="bullet"/>
      <w:lvlText w:val="•"/>
      <w:lvlJc w:val="left"/>
      <w:pPr>
        <w:ind w:left="2805" w:hanging="360"/>
      </w:pPr>
      <w:rPr>
        <w:rFonts w:hint="default"/>
        <w:lang w:val="es-ES" w:eastAsia="en-US" w:bidi="ar-SA"/>
      </w:rPr>
    </w:lvl>
    <w:lvl w:ilvl="3" w:tplc="AB9855FA">
      <w:numFmt w:val="bullet"/>
      <w:lvlText w:val="•"/>
      <w:lvlJc w:val="left"/>
      <w:pPr>
        <w:ind w:left="3687" w:hanging="360"/>
      </w:pPr>
      <w:rPr>
        <w:rFonts w:hint="default"/>
        <w:lang w:val="es-ES" w:eastAsia="en-US" w:bidi="ar-SA"/>
      </w:rPr>
    </w:lvl>
    <w:lvl w:ilvl="4" w:tplc="AF54D3E6">
      <w:numFmt w:val="bullet"/>
      <w:lvlText w:val="•"/>
      <w:lvlJc w:val="left"/>
      <w:pPr>
        <w:ind w:left="4570" w:hanging="360"/>
      </w:pPr>
      <w:rPr>
        <w:rFonts w:hint="default"/>
        <w:lang w:val="es-ES" w:eastAsia="en-US" w:bidi="ar-SA"/>
      </w:rPr>
    </w:lvl>
    <w:lvl w:ilvl="5" w:tplc="DC228EE8">
      <w:numFmt w:val="bullet"/>
      <w:lvlText w:val="•"/>
      <w:lvlJc w:val="left"/>
      <w:pPr>
        <w:ind w:left="5453" w:hanging="360"/>
      </w:pPr>
      <w:rPr>
        <w:rFonts w:hint="default"/>
        <w:lang w:val="es-ES" w:eastAsia="en-US" w:bidi="ar-SA"/>
      </w:rPr>
    </w:lvl>
    <w:lvl w:ilvl="6" w:tplc="E502363E">
      <w:numFmt w:val="bullet"/>
      <w:lvlText w:val="•"/>
      <w:lvlJc w:val="left"/>
      <w:pPr>
        <w:ind w:left="6335" w:hanging="360"/>
      </w:pPr>
      <w:rPr>
        <w:rFonts w:hint="default"/>
        <w:lang w:val="es-ES" w:eastAsia="en-US" w:bidi="ar-SA"/>
      </w:rPr>
    </w:lvl>
    <w:lvl w:ilvl="7" w:tplc="7A84807E">
      <w:numFmt w:val="bullet"/>
      <w:lvlText w:val="•"/>
      <w:lvlJc w:val="left"/>
      <w:pPr>
        <w:ind w:left="7218" w:hanging="360"/>
      </w:pPr>
      <w:rPr>
        <w:rFonts w:hint="default"/>
        <w:lang w:val="es-ES" w:eastAsia="en-US" w:bidi="ar-SA"/>
      </w:rPr>
    </w:lvl>
    <w:lvl w:ilvl="8" w:tplc="00B0CC6E">
      <w:numFmt w:val="bullet"/>
      <w:lvlText w:val="•"/>
      <w:lvlJc w:val="left"/>
      <w:pPr>
        <w:ind w:left="8101" w:hanging="360"/>
      </w:pPr>
      <w:rPr>
        <w:rFonts w:hint="default"/>
        <w:lang w:val="es-ES" w:eastAsia="en-US" w:bidi="ar-SA"/>
      </w:rPr>
    </w:lvl>
  </w:abstractNum>
  <w:abstractNum w:abstractNumId="9" w15:restartNumberingAfterBreak="0">
    <w:nsid w:val="3D2752F8"/>
    <w:multiLevelType w:val="hybridMultilevel"/>
    <w:tmpl w:val="F4B8CC40"/>
    <w:lvl w:ilvl="0" w:tplc="545835D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A986947"/>
    <w:multiLevelType w:val="hybridMultilevel"/>
    <w:tmpl w:val="17A2E05E"/>
    <w:lvl w:ilvl="0" w:tplc="375E7DD2">
      <w:numFmt w:val="bullet"/>
      <w:lvlText w:val="•"/>
      <w:lvlJc w:val="left"/>
      <w:pPr>
        <w:ind w:left="960" w:hanging="130"/>
      </w:pPr>
      <w:rPr>
        <w:rFonts w:ascii="Times New Roman" w:eastAsia="Times New Roman" w:hAnsi="Times New Roman" w:cs="Times New Roman" w:hint="default"/>
        <w:i/>
        <w:iCs/>
        <w:w w:val="100"/>
        <w:sz w:val="23"/>
        <w:szCs w:val="23"/>
        <w:lang w:val="es-ES" w:eastAsia="en-US" w:bidi="ar-SA"/>
      </w:rPr>
    </w:lvl>
    <w:lvl w:ilvl="1" w:tplc="5798D8DA">
      <w:numFmt w:val="bullet"/>
      <w:lvlText w:val="•"/>
      <w:lvlJc w:val="left"/>
      <w:pPr>
        <w:ind w:left="1850" w:hanging="130"/>
      </w:pPr>
      <w:rPr>
        <w:rFonts w:hint="default"/>
        <w:lang w:val="es-ES" w:eastAsia="en-US" w:bidi="ar-SA"/>
      </w:rPr>
    </w:lvl>
    <w:lvl w:ilvl="2" w:tplc="BD8897B4">
      <w:numFmt w:val="bullet"/>
      <w:lvlText w:val="•"/>
      <w:lvlJc w:val="left"/>
      <w:pPr>
        <w:ind w:left="2741" w:hanging="130"/>
      </w:pPr>
      <w:rPr>
        <w:rFonts w:hint="default"/>
        <w:lang w:val="es-ES" w:eastAsia="en-US" w:bidi="ar-SA"/>
      </w:rPr>
    </w:lvl>
    <w:lvl w:ilvl="3" w:tplc="6AEC449E">
      <w:numFmt w:val="bullet"/>
      <w:lvlText w:val="•"/>
      <w:lvlJc w:val="left"/>
      <w:pPr>
        <w:ind w:left="3631" w:hanging="130"/>
      </w:pPr>
      <w:rPr>
        <w:rFonts w:hint="default"/>
        <w:lang w:val="es-ES" w:eastAsia="en-US" w:bidi="ar-SA"/>
      </w:rPr>
    </w:lvl>
    <w:lvl w:ilvl="4" w:tplc="F57E64B4">
      <w:numFmt w:val="bullet"/>
      <w:lvlText w:val="•"/>
      <w:lvlJc w:val="left"/>
      <w:pPr>
        <w:ind w:left="4522" w:hanging="130"/>
      </w:pPr>
      <w:rPr>
        <w:rFonts w:hint="default"/>
        <w:lang w:val="es-ES" w:eastAsia="en-US" w:bidi="ar-SA"/>
      </w:rPr>
    </w:lvl>
    <w:lvl w:ilvl="5" w:tplc="C3589688">
      <w:numFmt w:val="bullet"/>
      <w:lvlText w:val="•"/>
      <w:lvlJc w:val="left"/>
      <w:pPr>
        <w:ind w:left="5413" w:hanging="130"/>
      </w:pPr>
      <w:rPr>
        <w:rFonts w:hint="default"/>
        <w:lang w:val="es-ES" w:eastAsia="en-US" w:bidi="ar-SA"/>
      </w:rPr>
    </w:lvl>
    <w:lvl w:ilvl="6" w:tplc="65561C68">
      <w:numFmt w:val="bullet"/>
      <w:lvlText w:val="•"/>
      <w:lvlJc w:val="left"/>
      <w:pPr>
        <w:ind w:left="6303" w:hanging="130"/>
      </w:pPr>
      <w:rPr>
        <w:rFonts w:hint="default"/>
        <w:lang w:val="es-ES" w:eastAsia="en-US" w:bidi="ar-SA"/>
      </w:rPr>
    </w:lvl>
    <w:lvl w:ilvl="7" w:tplc="0EA40F54">
      <w:numFmt w:val="bullet"/>
      <w:lvlText w:val="•"/>
      <w:lvlJc w:val="left"/>
      <w:pPr>
        <w:ind w:left="7194" w:hanging="130"/>
      </w:pPr>
      <w:rPr>
        <w:rFonts w:hint="default"/>
        <w:lang w:val="es-ES" w:eastAsia="en-US" w:bidi="ar-SA"/>
      </w:rPr>
    </w:lvl>
    <w:lvl w:ilvl="8" w:tplc="503C6BAE">
      <w:numFmt w:val="bullet"/>
      <w:lvlText w:val="•"/>
      <w:lvlJc w:val="left"/>
      <w:pPr>
        <w:ind w:left="8085" w:hanging="130"/>
      </w:pPr>
      <w:rPr>
        <w:rFonts w:hint="default"/>
        <w:lang w:val="es-ES" w:eastAsia="en-US" w:bidi="ar-SA"/>
      </w:rPr>
    </w:lvl>
  </w:abstractNum>
  <w:abstractNum w:abstractNumId="11" w15:restartNumberingAfterBreak="0">
    <w:nsid w:val="4AC0643A"/>
    <w:multiLevelType w:val="hybridMultilevel"/>
    <w:tmpl w:val="A29CA52C"/>
    <w:lvl w:ilvl="0" w:tplc="7BC00594">
      <w:start w:val="3"/>
      <w:numFmt w:val="lowerLetter"/>
      <w:lvlText w:val="%1)"/>
      <w:lvlJc w:val="left"/>
      <w:pPr>
        <w:ind w:left="1078" w:hanging="370"/>
      </w:pPr>
      <w:rPr>
        <w:rFonts w:hint="default"/>
        <w:b/>
        <w: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CAC183F"/>
    <w:multiLevelType w:val="hybridMultilevel"/>
    <w:tmpl w:val="D06418C8"/>
    <w:lvl w:ilvl="0" w:tplc="EEF25018">
      <w:numFmt w:val="bullet"/>
      <w:lvlText w:val="—"/>
      <w:lvlJc w:val="left"/>
      <w:pPr>
        <w:ind w:left="677" w:hanging="235"/>
      </w:pPr>
      <w:rPr>
        <w:rFonts w:ascii="Times New Roman" w:eastAsia="Times New Roman" w:hAnsi="Times New Roman" w:cs="Times New Roman" w:hint="default"/>
        <w:i/>
        <w:iCs/>
        <w:w w:val="99"/>
        <w:sz w:val="20"/>
        <w:szCs w:val="20"/>
        <w:lang w:val="es-ES" w:eastAsia="en-US" w:bidi="ar-SA"/>
      </w:rPr>
    </w:lvl>
    <w:lvl w:ilvl="1" w:tplc="03E836DA">
      <w:numFmt w:val="bullet"/>
      <w:lvlText w:val=""/>
      <w:lvlJc w:val="left"/>
      <w:pPr>
        <w:ind w:left="1397" w:hanging="360"/>
      </w:pPr>
      <w:rPr>
        <w:rFonts w:ascii="Symbol" w:eastAsia="Symbol" w:hAnsi="Symbol" w:cs="Symbol" w:hint="default"/>
        <w:w w:val="100"/>
        <w:sz w:val="23"/>
        <w:szCs w:val="23"/>
        <w:lang w:val="es-ES" w:eastAsia="en-US" w:bidi="ar-SA"/>
      </w:rPr>
    </w:lvl>
    <w:lvl w:ilvl="2" w:tplc="C9B8293E">
      <w:numFmt w:val="bullet"/>
      <w:lvlText w:val="•"/>
      <w:lvlJc w:val="left"/>
      <w:pPr>
        <w:ind w:left="2340" w:hanging="360"/>
      </w:pPr>
      <w:rPr>
        <w:rFonts w:hint="default"/>
        <w:lang w:val="es-ES" w:eastAsia="en-US" w:bidi="ar-SA"/>
      </w:rPr>
    </w:lvl>
    <w:lvl w:ilvl="3" w:tplc="B784DBF6">
      <w:numFmt w:val="bullet"/>
      <w:lvlText w:val="•"/>
      <w:lvlJc w:val="left"/>
      <w:pPr>
        <w:ind w:left="3281" w:hanging="360"/>
      </w:pPr>
      <w:rPr>
        <w:rFonts w:hint="default"/>
        <w:lang w:val="es-ES" w:eastAsia="en-US" w:bidi="ar-SA"/>
      </w:rPr>
    </w:lvl>
    <w:lvl w:ilvl="4" w:tplc="1F823D28">
      <w:numFmt w:val="bullet"/>
      <w:lvlText w:val="•"/>
      <w:lvlJc w:val="left"/>
      <w:pPr>
        <w:ind w:left="4222" w:hanging="360"/>
      </w:pPr>
      <w:rPr>
        <w:rFonts w:hint="default"/>
        <w:lang w:val="es-ES" w:eastAsia="en-US" w:bidi="ar-SA"/>
      </w:rPr>
    </w:lvl>
    <w:lvl w:ilvl="5" w:tplc="74382808">
      <w:numFmt w:val="bullet"/>
      <w:lvlText w:val="•"/>
      <w:lvlJc w:val="left"/>
      <w:pPr>
        <w:ind w:left="5162" w:hanging="360"/>
      </w:pPr>
      <w:rPr>
        <w:rFonts w:hint="default"/>
        <w:lang w:val="es-ES" w:eastAsia="en-US" w:bidi="ar-SA"/>
      </w:rPr>
    </w:lvl>
    <w:lvl w:ilvl="6" w:tplc="3E80276E">
      <w:numFmt w:val="bullet"/>
      <w:lvlText w:val="•"/>
      <w:lvlJc w:val="left"/>
      <w:pPr>
        <w:ind w:left="6103" w:hanging="360"/>
      </w:pPr>
      <w:rPr>
        <w:rFonts w:hint="default"/>
        <w:lang w:val="es-ES" w:eastAsia="en-US" w:bidi="ar-SA"/>
      </w:rPr>
    </w:lvl>
    <w:lvl w:ilvl="7" w:tplc="0144F96A">
      <w:numFmt w:val="bullet"/>
      <w:lvlText w:val="•"/>
      <w:lvlJc w:val="left"/>
      <w:pPr>
        <w:ind w:left="7044" w:hanging="360"/>
      </w:pPr>
      <w:rPr>
        <w:rFonts w:hint="default"/>
        <w:lang w:val="es-ES" w:eastAsia="en-US" w:bidi="ar-SA"/>
      </w:rPr>
    </w:lvl>
    <w:lvl w:ilvl="8" w:tplc="EEFE4D8A">
      <w:numFmt w:val="bullet"/>
      <w:lvlText w:val="•"/>
      <w:lvlJc w:val="left"/>
      <w:pPr>
        <w:ind w:left="7984" w:hanging="360"/>
      </w:pPr>
      <w:rPr>
        <w:rFonts w:hint="default"/>
        <w:lang w:val="es-ES" w:eastAsia="en-US" w:bidi="ar-SA"/>
      </w:rPr>
    </w:lvl>
  </w:abstractNum>
  <w:abstractNum w:abstractNumId="13" w15:restartNumberingAfterBreak="0">
    <w:nsid w:val="5B72700D"/>
    <w:multiLevelType w:val="hybridMultilevel"/>
    <w:tmpl w:val="9864A022"/>
    <w:lvl w:ilvl="0" w:tplc="ACB2DD36">
      <w:start w:val="1"/>
      <w:numFmt w:val="decimal"/>
      <w:lvlText w:val="[%1]"/>
      <w:lvlJc w:val="left"/>
      <w:rPr>
        <w:rFonts w:ascii="Arial" w:hAnsi="Arial" w:cs="Arial" w:hint="default"/>
        <w:b w:val="0"/>
        <w:i w:val="0"/>
        <w:color w:val="auto"/>
        <w:sz w:val="14"/>
        <w:szCs w:val="14"/>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C46368E"/>
    <w:multiLevelType w:val="hybridMultilevel"/>
    <w:tmpl w:val="67828654"/>
    <w:lvl w:ilvl="0" w:tplc="F5A09F88">
      <w:start w:val="1"/>
      <w:numFmt w:val="decimal"/>
      <w:lvlText w:val="[%1]"/>
      <w:lvlJc w:val="left"/>
      <w:pPr>
        <w:ind w:left="720" w:hanging="360"/>
      </w:pPr>
      <w:rPr>
        <w:rFonts w:hint="default"/>
        <w:i w:val="0"/>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2FD160B"/>
    <w:multiLevelType w:val="hybridMultilevel"/>
    <w:tmpl w:val="958A6C6C"/>
    <w:lvl w:ilvl="0" w:tplc="1FEC2748">
      <w:start w:val="1"/>
      <w:numFmt w:val="decimal"/>
      <w:lvlText w:val="[%1]"/>
      <w:lvlJc w:val="left"/>
      <w:pPr>
        <w:ind w:left="360" w:hanging="360"/>
      </w:pPr>
      <w:rPr>
        <w:rFonts w:hint="default"/>
        <w:b w:val="0"/>
        <w:i w:val="0"/>
        <w:color w:val="auto"/>
        <w:sz w:val="14"/>
        <w:szCs w:val="14"/>
      </w:rPr>
    </w:lvl>
    <w:lvl w:ilvl="1" w:tplc="173237A2">
      <w:numFmt w:val="bullet"/>
      <w:lvlText w:val="-"/>
      <w:lvlJc w:val="left"/>
      <w:pPr>
        <w:ind w:left="1440" w:hanging="360"/>
      </w:pPr>
      <w:rPr>
        <w:rFonts w:ascii="Times New Roman" w:eastAsia="Times New Roman" w:hAnsi="Times New Roman" w:cs="Times New Roman" w:hint="default"/>
        <w:b w:val="0"/>
      </w:r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65B5098"/>
    <w:multiLevelType w:val="hybridMultilevel"/>
    <w:tmpl w:val="356E0BA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78761F63"/>
    <w:multiLevelType w:val="hybridMultilevel"/>
    <w:tmpl w:val="A8CC0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C5D5CA8"/>
    <w:multiLevelType w:val="hybridMultilevel"/>
    <w:tmpl w:val="2A7C5546"/>
    <w:lvl w:ilvl="0" w:tplc="90D83590">
      <w:start w:val="1"/>
      <w:numFmt w:val="lowerRoman"/>
      <w:lvlText w:val="%1)"/>
      <w:lvlJc w:val="left"/>
      <w:pPr>
        <w:ind w:left="1080" w:hanging="720"/>
      </w:pPr>
      <w:rPr>
        <w:rFonts w:ascii="Times New Roman" w:hAnsi="Times New Roman" w:hint="default"/>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FE01B2C"/>
    <w:multiLevelType w:val="hybridMultilevel"/>
    <w:tmpl w:val="3F5E46AC"/>
    <w:lvl w:ilvl="0" w:tplc="802CB452">
      <w:start w:val="1"/>
      <w:numFmt w:val="lowerLetter"/>
      <w:lvlText w:val="%1)"/>
      <w:lvlJc w:val="left"/>
      <w:pPr>
        <w:ind w:left="704" w:hanging="4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num w:numId="1" w16cid:durableId="593364115">
    <w:abstractNumId w:val="0"/>
  </w:num>
  <w:num w:numId="2" w16cid:durableId="519705904">
    <w:abstractNumId w:val="14"/>
  </w:num>
  <w:num w:numId="3" w16cid:durableId="777339224">
    <w:abstractNumId w:val="9"/>
  </w:num>
  <w:num w:numId="4" w16cid:durableId="1635795030">
    <w:abstractNumId w:val="1"/>
  </w:num>
  <w:num w:numId="5" w16cid:durableId="136579542">
    <w:abstractNumId w:val="18"/>
  </w:num>
  <w:num w:numId="6" w16cid:durableId="682903478">
    <w:abstractNumId w:val="6"/>
  </w:num>
  <w:num w:numId="7" w16cid:durableId="1790735942">
    <w:abstractNumId w:val="7"/>
  </w:num>
  <w:num w:numId="8" w16cid:durableId="1127352538">
    <w:abstractNumId w:val="19"/>
  </w:num>
  <w:num w:numId="9" w16cid:durableId="238639105">
    <w:abstractNumId w:val="10"/>
  </w:num>
  <w:num w:numId="10" w16cid:durableId="2032801082">
    <w:abstractNumId w:val="3"/>
  </w:num>
  <w:num w:numId="11" w16cid:durableId="393772244">
    <w:abstractNumId w:val="8"/>
  </w:num>
  <w:num w:numId="12" w16cid:durableId="39061221">
    <w:abstractNumId w:val="12"/>
  </w:num>
  <w:num w:numId="13" w16cid:durableId="735785605">
    <w:abstractNumId w:val="16"/>
  </w:num>
  <w:num w:numId="14" w16cid:durableId="1344668997">
    <w:abstractNumId w:val="17"/>
  </w:num>
  <w:num w:numId="15" w16cid:durableId="171603904">
    <w:abstractNumId w:val="2"/>
  </w:num>
  <w:num w:numId="16" w16cid:durableId="1031229156">
    <w:abstractNumId w:val="13"/>
  </w:num>
  <w:num w:numId="17" w16cid:durableId="387530225">
    <w:abstractNumId w:val="5"/>
  </w:num>
  <w:num w:numId="18" w16cid:durableId="573513648">
    <w:abstractNumId w:val="11"/>
  </w:num>
  <w:num w:numId="19" w16cid:durableId="588541693">
    <w:abstractNumId w:val="4"/>
  </w:num>
  <w:num w:numId="20" w16cid:durableId="658873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C35"/>
    <w:rsid w:val="000020ED"/>
    <w:rsid w:val="00010901"/>
    <w:rsid w:val="00011BA6"/>
    <w:rsid w:val="00012F6C"/>
    <w:rsid w:val="00013B9E"/>
    <w:rsid w:val="0001561B"/>
    <w:rsid w:val="00016728"/>
    <w:rsid w:val="000173D8"/>
    <w:rsid w:val="000177E5"/>
    <w:rsid w:val="00021008"/>
    <w:rsid w:val="00021DD1"/>
    <w:rsid w:val="0002372A"/>
    <w:rsid w:val="00024001"/>
    <w:rsid w:val="00032222"/>
    <w:rsid w:val="00032BD3"/>
    <w:rsid w:val="00036FD5"/>
    <w:rsid w:val="0004017A"/>
    <w:rsid w:val="0004166D"/>
    <w:rsid w:val="00044EE4"/>
    <w:rsid w:val="00046C17"/>
    <w:rsid w:val="00047BF2"/>
    <w:rsid w:val="00050B11"/>
    <w:rsid w:val="00051D91"/>
    <w:rsid w:val="00052E37"/>
    <w:rsid w:val="000554BE"/>
    <w:rsid w:val="0005609D"/>
    <w:rsid w:val="000609D6"/>
    <w:rsid w:val="000620EF"/>
    <w:rsid w:val="00063DCD"/>
    <w:rsid w:val="00063FA1"/>
    <w:rsid w:val="00064159"/>
    <w:rsid w:val="000644FC"/>
    <w:rsid w:val="00065769"/>
    <w:rsid w:val="00065D88"/>
    <w:rsid w:val="000660AF"/>
    <w:rsid w:val="00067C8C"/>
    <w:rsid w:val="000725B1"/>
    <w:rsid w:val="00075457"/>
    <w:rsid w:val="000754C5"/>
    <w:rsid w:val="000772AF"/>
    <w:rsid w:val="00077526"/>
    <w:rsid w:val="00081880"/>
    <w:rsid w:val="000818F9"/>
    <w:rsid w:val="00082AA5"/>
    <w:rsid w:val="00082BD9"/>
    <w:rsid w:val="00082E40"/>
    <w:rsid w:val="00084517"/>
    <w:rsid w:val="0008719D"/>
    <w:rsid w:val="000872AE"/>
    <w:rsid w:val="000904DC"/>
    <w:rsid w:val="0009153B"/>
    <w:rsid w:val="00091DFF"/>
    <w:rsid w:val="0009357C"/>
    <w:rsid w:val="000936DB"/>
    <w:rsid w:val="00093854"/>
    <w:rsid w:val="0009419C"/>
    <w:rsid w:val="00095277"/>
    <w:rsid w:val="00095E16"/>
    <w:rsid w:val="00096AEA"/>
    <w:rsid w:val="00097617"/>
    <w:rsid w:val="000A075D"/>
    <w:rsid w:val="000A28AA"/>
    <w:rsid w:val="000A63D1"/>
    <w:rsid w:val="000A6B6F"/>
    <w:rsid w:val="000A71DC"/>
    <w:rsid w:val="000B0F7E"/>
    <w:rsid w:val="000B2A92"/>
    <w:rsid w:val="000B3A05"/>
    <w:rsid w:val="000B4063"/>
    <w:rsid w:val="000B56F6"/>
    <w:rsid w:val="000B7130"/>
    <w:rsid w:val="000B7CFB"/>
    <w:rsid w:val="000C1EE1"/>
    <w:rsid w:val="000C2B76"/>
    <w:rsid w:val="000C46AE"/>
    <w:rsid w:val="000C55B6"/>
    <w:rsid w:val="000C64F9"/>
    <w:rsid w:val="000D0581"/>
    <w:rsid w:val="000D0B19"/>
    <w:rsid w:val="000D0ECC"/>
    <w:rsid w:val="000D1035"/>
    <w:rsid w:val="000D1076"/>
    <w:rsid w:val="000D24A3"/>
    <w:rsid w:val="000D27B0"/>
    <w:rsid w:val="000D6D02"/>
    <w:rsid w:val="000D6FF1"/>
    <w:rsid w:val="000D7EC4"/>
    <w:rsid w:val="000E0AAB"/>
    <w:rsid w:val="000E0EB7"/>
    <w:rsid w:val="000E100F"/>
    <w:rsid w:val="000E57A2"/>
    <w:rsid w:val="000E6340"/>
    <w:rsid w:val="000E69F8"/>
    <w:rsid w:val="000E772D"/>
    <w:rsid w:val="000F02E9"/>
    <w:rsid w:val="000F42ED"/>
    <w:rsid w:val="00100770"/>
    <w:rsid w:val="001014EE"/>
    <w:rsid w:val="00101C6B"/>
    <w:rsid w:val="00101EBA"/>
    <w:rsid w:val="00110EF6"/>
    <w:rsid w:val="0011417E"/>
    <w:rsid w:val="00114819"/>
    <w:rsid w:val="00115B44"/>
    <w:rsid w:val="00117398"/>
    <w:rsid w:val="001202A8"/>
    <w:rsid w:val="00120A82"/>
    <w:rsid w:val="00120ECF"/>
    <w:rsid w:val="001210E2"/>
    <w:rsid w:val="001224F9"/>
    <w:rsid w:val="001226D1"/>
    <w:rsid w:val="00123242"/>
    <w:rsid w:val="00123549"/>
    <w:rsid w:val="00123AC5"/>
    <w:rsid w:val="00123B31"/>
    <w:rsid w:val="00123D27"/>
    <w:rsid w:val="00125162"/>
    <w:rsid w:val="0012562E"/>
    <w:rsid w:val="00127693"/>
    <w:rsid w:val="001310CF"/>
    <w:rsid w:val="00133F92"/>
    <w:rsid w:val="00134B2E"/>
    <w:rsid w:val="00134BF0"/>
    <w:rsid w:val="00135357"/>
    <w:rsid w:val="0013536B"/>
    <w:rsid w:val="00137370"/>
    <w:rsid w:val="00137E4F"/>
    <w:rsid w:val="00142460"/>
    <w:rsid w:val="00142F61"/>
    <w:rsid w:val="00143D79"/>
    <w:rsid w:val="001447CE"/>
    <w:rsid w:val="0014613C"/>
    <w:rsid w:val="001530BB"/>
    <w:rsid w:val="001538E4"/>
    <w:rsid w:val="00153BE2"/>
    <w:rsid w:val="00153E8B"/>
    <w:rsid w:val="00153F55"/>
    <w:rsid w:val="00154507"/>
    <w:rsid w:val="001551A1"/>
    <w:rsid w:val="00155BBF"/>
    <w:rsid w:val="00155D4B"/>
    <w:rsid w:val="0015711D"/>
    <w:rsid w:val="001575EE"/>
    <w:rsid w:val="00161EFF"/>
    <w:rsid w:val="001648F8"/>
    <w:rsid w:val="0016670B"/>
    <w:rsid w:val="00170237"/>
    <w:rsid w:val="001749C2"/>
    <w:rsid w:val="00177986"/>
    <w:rsid w:val="00177DDE"/>
    <w:rsid w:val="00181DD8"/>
    <w:rsid w:val="001846EF"/>
    <w:rsid w:val="00185BED"/>
    <w:rsid w:val="00186CB2"/>
    <w:rsid w:val="00186D1E"/>
    <w:rsid w:val="00186E59"/>
    <w:rsid w:val="00187560"/>
    <w:rsid w:val="00187750"/>
    <w:rsid w:val="00191E6E"/>
    <w:rsid w:val="0019295D"/>
    <w:rsid w:val="0019759A"/>
    <w:rsid w:val="001A030A"/>
    <w:rsid w:val="001A20F3"/>
    <w:rsid w:val="001A3C84"/>
    <w:rsid w:val="001A4C4D"/>
    <w:rsid w:val="001A71DF"/>
    <w:rsid w:val="001A720B"/>
    <w:rsid w:val="001B182B"/>
    <w:rsid w:val="001B2B09"/>
    <w:rsid w:val="001B3CD5"/>
    <w:rsid w:val="001B4104"/>
    <w:rsid w:val="001B4F0D"/>
    <w:rsid w:val="001B5330"/>
    <w:rsid w:val="001C02FE"/>
    <w:rsid w:val="001C2B27"/>
    <w:rsid w:val="001C2F04"/>
    <w:rsid w:val="001C3784"/>
    <w:rsid w:val="001C4BAB"/>
    <w:rsid w:val="001C4C19"/>
    <w:rsid w:val="001C6F0D"/>
    <w:rsid w:val="001D0346"/>
    <w:rsid w:val="001D2AFE"/>
    <w:rsid w:val="001D2E75"/>
    <w:rsid w:val="001E145E"/>
    <w:rsid w:val="001E393B"/>
    <w:rsid w:val="001E50E9"/>
    <w:rsid w:val="001E61A5"/>
    <w:rsid w:val="001E64AC"/>
    <w:rsid w:val="001E6BD7"/>
    <w:rsid w:val="001E72F0"/>
    <w:rsid w:val="001F1957"/>
    <w:rsid w:val="001F313F"/>
    <w:rsid w:val="001F3D69"/>
    <w:rsid w:val="001F40F4"/>
    <w:rsid w:val="001F7107"/>
    <w:rsid w:val="0020004B"/>
    <w:rsid w:val="0020010F"/>
    <w:rsid w:val="00201041"/>
    <w:rsid w:val="002032C3"/>
    <w:rsid w:val="00203590"/>
    <w:rsid w:val="0021008A"/>
    <w:rsid w:val="00210801"/>
    <w:rsid w:val="00214A6C"/>
    <w:rsid w:val="00215146"/>
    <w:rsid w:val="0021714D"/>
    <w:rsid w:val="0021725D"/>
    <w:rsid w:val="002178F5"/>
    <w:rsid w:val="00222277"/>
    <w:rsid w:val="00224521"/>
    <w:rsid w:val="00225384"/>
    <w:rsid w:val="0022679C"/>
    <w:rsid w:val="00226C55"/>
    <w:rsid w:val="00231C54"/>
    <w:rsid w:val="00232BCA"/>
    <w:rsid w:val="00232EE1"/>
    <w:rsid w:val="00234723"/>
    <w:rsid w:val="00235DAC"/>
    <w:rsid w:val="00243E4A"/>
    <w:rsid w:val="00252A4E"/>
    <w:rsid w:val="00252C29"/>
    <w:rsid w:val="00255123"/>
    <w:rsid w:val="002559C4"/>
    <w:rsid w:val="00257360"/>
    <w:rsid w:val="00257551"/>
    <w:rsid w:val="00260AAD"/>
    <w:rsid w:val="00264E30"/>
    <w:rsid w:val="00265AC7"/>
    <w:rsid w:val="00266BFD"/>
    <w:rsid w:val="0026750E"/>
    <w:rsid w:val="00270916"/>
    <w:rsid w:val="00270C35"/>
    <w:rsid w:val="00273053"/>
    <w:rsid w:val="00273855"/>
    <w:rsid w:val="00275EB2"/>
    <w:rsid w:val="00280481"/>
    <w:rsid w:val="00281BFE"/>
    <w:rsid w:val="00283615"/>
    <w:rsid w:val="00284BDC"/>
    <w:rsid w:val="00285492"/>
    <w:rsid w:val="00286387"/>
    <w:rsid w:val="002865B2"/>
    <w:rsid w:val="00287E01"/>
    <w:rsid w:val="00291E47"/>
    <w:rsid w:val="00293AFD"/>
    <w:rsid w:val="00296DA3"/>
    <w:rsid w:val="002A00C8"/>
    <w:rsid w:val="002A0174"/>
    <w:rsid w:val="002A4934"/>
    <w:rsid w:val="002B08CB"/>
    <w:rsid w:val="002B187C"/>
    <w:rsid w:val="002B38A0"/>
    <w:rsid w:val="002B574B"/>
    <w:rsid w:val="002B5D07"/>
    <w:rsid w:val="002B6127"/>
    <w:rsid w:val="002B7727"/>
    <w:rsid w:val="002C1199"/>
    <w:rsid w:val="002C12E6"/>
    <w:rsid w:val="002C4654"/>
    <w:rsid w:val="002C4A75"/>
    <w:rsid w:val="002C6A3B"/>
    <w:rsid w:val="002C7A14"/>
    <w:rsid w:val="002C7E15"/>
    <w:rsid w:val="002D3EF2"/>
    <w:rsid w:val="002D42E5"/>
    <w:rsid w:val="002D5E70"/>
    <w:rsid w:val="002D72C6"/>
    <w:rsid w:val="002E09B4"/>
    <w:rsid w:val="002E1C9C"/>
    <w:rsid w:val="002F2035"/>
    <w:rsid w:val="002F4FC1"/>
    <w:rsid w:val="002F57E9"/>
    <w:rsid w:val="002F7448"/>
    <w:rsid w:val="002F7C57"/>
    <w:rsid w:val="00302869"/>
    <w:rsid w:val="00304010"/>
    <w:rsid w:val="00304953"/>
    <w:rsid w:val="00306844"/>
    <w:rsid w:val="00307A1B"/>
    <w:rsid w:val="00311C84"/>
    <w:rsid w:val="00312BDC"/>
    <w:rsid w:val="0031539C"/>
    <w:rsid w:val="0031747C"/>
    <w:rsid w:val="00317831"/>
    <w:rsid w:val="00317E5F"/>
    <w:rsid w:val="0032017D"/>
    <w:rsid w:val="00321B93"/>
    <w:rsid w:val="00324CAA"/>
    <w:rsid w:val="0032506C"/>
    <w:rsid w:val="00325C64"/>
    <w:rsid w:val="00326DCD"/>
    <w:rsid w:val="003275A3"/>
    <w:rsid w:val="0033115C"/>
    <w:rsid w:val="00333DA6"/>
    <w:rsid w:val="00334C08"/>
    <w:rsid w:val="0033505A"/>
    <w:rsid w:val="00340500"/>
    <w:rsid w:val="0034138D"/>
    <w:rsid w:val="00342318"/>
    <w:rsid w:val="00345997"/>
    <w:rsid w:val="00347C65"/>
    <w:rsid w:val="00347E6C"/>
    <w:rsid w:val="00354F85"/>
    <w:rsid w:val="00355039"/>
    <w:rsid w:val="0035701D"/>
    <w:rsid w:val="0036287F"/>
    <w:rsid w:val="00364320"/>
    <w:rsid w:val="00364686"/>
    <w:rsid w:val="00364A58"/>
    <w:rsid w:val="003658F5"/>
    <w:rsid w:val="00366ACD"/>
    <w:rsid w:val="00367226"/>
    <w:rsid w:val="0036794B"/>
    <w:rsid w:val="0037120C"/>
    <w:rsid w:val="00374F5C"/>
    <w:rsid w:val="00375B1B"/>
    <w:rsid w:val="00376CA6"/>
    <w:rsid w:val="00376D3A"/>
    <w:rsid w:val="003808ED"/>
    <w:rsid w:val="00380AAD"/>
    <w:rsid w:val="003821B7"/>
    <w:rsid w:val="00382905"/>
    <w:rsid w:val="00386365"/>
    <w:rsid w:val="0039063F"/>
    <w:rsid w:val="00391476"/>
    <w:rsid w:val="00392864"/>
    <w:rsid w:val="00395904"/>
    <w:rsid w:val="00396B96"/>
    <w:rsid w:val="003979F7"/>
    <w:rsid w:val="003A0267"/>
    <w:rsid w:val="003A1D0D"/>
    <w:rsid w:val="003A3A03"/>
    <w:rsid w:val="003A4970"/>
    <w:rsid w:val="003B1684"/>
    <w:rsid w:val="003B1790"/>
    <w:rsid w:val="003B1E0B"/>
    <w:rsid w:val="003B41CA"/>
    <w:rsid w:val="003B5C24"/>
    <w:rsid w:val="003B61A1"/>
    <w:rsid w:val="003B62A4"/>
    <w:rsid w:val="003B747F"/>
    <w:rsid w:val="003C4728"/>
    <w:rsid w:val="003C476A"/>
    <w:rsid w:val="003C75ED"/>
    <w:rsid w:val="003C794B"/>
    <w:rsid w:val="003D03E1"/>
    <w:rsid w:val="003D4622"/>
    <w:rsid w:val="003D4B01"/>
    <w:rsid w:val="003D6515"/>
    <w:rsid w:val="003E0958"/>
    <w:rsid w:val="003E101A"/>
    <w:rsid w:val="003E2107"/>
    <w:rsid w:val="003E2535"/>
    <w:rsid w:val="003E5BD6"/>
    <w:rsid w:val="003E5EE2"/>
    <w:rsid w:val="003F0336"/>
    <w:rsid w:val="003F0616"/>
    <w:rsid w:val="003F0AE3"/>
    <w:rsid w:val="003F3A15"/>
    <w:rsid w:val="003F6FA2"/>
    <w:rsid w:val="003F738A"/>
    <w:rsid w:val="00400EB4"/>
    <w:rsid w:val="00401916"/>
    <w:rsid w:val="00402692"/>
    <w:rsid w:val="004038EA"/>
    <w:rsid w:val="00403DEB"/>
    <w:rsid w:val="004072DB"/>
    <w:rsid w:val="0041252C"/>
    <w:rsid w:val="00413384"/>
    <w:rsid w:val="00413AB6"/>
    <w:rsid w:val="00414654"/>
    <w:rsid w:val="00414D07"/>
    <w:rsid w:val="00417E36"/>
    <w:rsid w:val="00423920"/>
    <w:rsid w:val="004239C4"/>
    <w:rsid w:val="0042515F"/>
    <w:rsid w:val="00425D3D"/>
    <w:rsid w:val="004304B1"/>
    <w:rsid w:val="00431F67"/>
    <w:rsid w:val="004327CB"/>
    <w:rsid w:val="00432CE8"/>
    <w:rsid w:val="00432D76"/>
    <w:rsid w:val="0043403B"/>
    <w:rsid w:val="00440127"/>
    <w:rsid w:val="00440753"/>
    <w:rsid w:val="0044264A"/>
    <w:rsid w:val="00446811"/>
    <w:rsid w:val="004469DC"/>
    <w:rsid w:val="00446BA3"/>
    <w:rsid w:val="004479AD"/>
    <w:rsid w:val="00450E3F"/>
    <w:rsid w:val="00452BC6"/>
    <w:rsid w:val="00455744"/>
    <w:rsid w:val="004572DE"/>
    <w:rsid w:val="004605E8"/>
    <w:rsid w:val="0046349B"/>
    <w:rsid w:val="004655CF"/>
    <w:rsid w:val="004716A3"/>
    <w:rsid w:val="00473447"/>
    <w:rsid w:val="00473AAC"/>
    <w:rsid w:val="00475A3A"/>
    <w:rsid w:val="004775E8"/>
    <w:rsid w:val="00480AF1"/>
    <w:rsid w:val="00481C05"/>
    <w:rsid w:val="00482992"/>
    <w:rsid w:val="00482E12"/>
    <w:rsid w:val="00483B8A"/>
    <w:rsid w:val="00484CD8"/>
    <w:rsid w:val="00485832"/>
    <w:rsid w:val="004877C2"/>
    <w:rsid w:val="00492D06"/>
    <w:rsid w:val="00493F6C"/>
    <w:rsid w:val="00495246"/>
    <w:rsid w:val="004A085C"/>
    <w:rsid w:val="004A1329"/>
    <w:rsid w:val="004A2683"/>
    <w:rsid w:val="004A455A"/>
    <w:rsid w:val="004A466B"/>
    <w:rsid w:val="004A625F"/>
    <w:rsid w:val="004A6BE5"/>
    <w:rsid w:val="004A6DD5"/>
    <w:rsid w:val="004B1413"/>
    <w:rsid w:val="004B1980"/>
    <w:rsid w:val="004B1D8A"/>
    <w:rsid w:val="004B202A"/>
    <w:rsid w:val="004B2434"/>
    <w:rsid w:val="004B2937"/>
    <w:rsid w:val="004B6787"/>
    <w:rsid w:val="004B764B"/>
    <w:rsid w:val="004C5992"/>
    <w:rsid w:val="004C628E"/>
    <w:rsid w:val="004C7954"/>
    <w:rsid w:val="004D11F1"/>
    <w:rsid w:val="004D1288"/>
    <w:rsid w:val="004E455D"/>
    <w:rsid w:val="004F05C8"/>
    <w:rsid w:val="004F2006"/>
    <w:rsid w:val="004F3107"/>
    <w:rsid w:val="004F36A1"/>
    <w:rsid w:val="004F451C"/>
    <w:rsid w:val="004F6657"/>
    <w:rsid w:val="004F6688"/>
    <w:rsid w:val="00500185"/>
    <w:rsid w:val="00500AFB"/>
    <w:rsid w:val="00500E1B"/>
    <w:rsid w:val="005023EC"/>
    <w:rsid w:val="005023F2"/>
    <w:rsid w:val="005025E7"/>
    <w:rsid w:val="0050355F"/>
    <w:rsid w:val="00507D06"/>
    <w:rsid w:val="00507E81"/>
    <w:rsid w:val="005118C0"/>
    <w:rsid w:val="00511AD5"/>
    <w:rsid w:val="00513950"/>
    <w:rsid w:val="00513A63"/>
    <w:rsid w:val="00514F53"/>
    <w:rsid w:val="00516F17"/>
    <w:rsid w:val="00520E3C"/>
    <w:rsid w:val="00521FA9"/>
    <w:rsid w:val="00530B83"/>
    <w:rsid w:val="00532B35"/>
    <w:rsid w:val="00533047"/>
    <w:rsid w:val="00533F83"/>
    <w:rsid w:val="00533F8D"/>
    <w:rsid w:val="0053460A"/>
    <w:rsid w:val="00534CA9"/>
    <w:rsid w:val="00536B6B"/>
    <w:rsid w:val="00537347"/>
    <w:rsid w:val="00537508"/>
    <w:rsid w:val="00537B30"/>
    <w:rsid w:val="0054161D"/>
    <w:rsid w:val="00543515"/>
    <w:rsid w:val="00547C60"/>
    <w:rsid w:val="005529CE"/>
    <w:rsid w:val="005531B1"/>
    <w:rsid w:val="00553D35"/>
    <w:rsid w:val="00556D93"/>
    <w:rsid w:val="00566A71"/>
    <w:rsid w:val="0056709A"/>
    <w:rsid w:val="00570361"/>
    <w:rsid w:val="00570F9E"/>
    <w:rsid w:val="00571E8E"/>
    <w:rsid w:val="00573FE1"/>
    <w:rsid w:val="005744B4"/>
    <w:rsid w:val="00581B56"/>
    <w:rsid w:val="00582597"/>
    <w:rsid w:val="0058689D"/>
    <w:rsid w:val="0058689F"/>
    <w:rsid w:val="00587BF6"/>
    <w:rsid w:val="00592ABE"/>
    <w:rsid w:val="005A086D"/>
    <w:rsid w:val="005A3C23"/>
    <w:rsid w:val="005A5965"/>
    <w:rsid w:val="005A5FDE"/>
    <w:rsid w:val="005A6CB8"/>
    <w:rsid w:val="005A6E83"/>
    <w:rsid w:val="005B30E2"/>
    <w:rsid w:val="005B3C71"/>
    <w:rsid w:val="005B41DA"/>
    <w:rsid w:val="005B6D42"/>
    <w:rsid w:val="005C3E95"/>
    <w:rsid w:val="005C4A94"/>
    <w:rsid w:val="005C4AF7"/>
    <w:rsid w:val="005C4D20"/>
    <w:rsid w:val="005C5910"/>
    <w:rsid w:val="005C5CF4"/>
    <w:rsid w:val="005C6ECD"/>
    <w:rsid w:val="005D4D0A"/>
    <w:rsid w:val="005D603F"/>
    <w:rsid w:val="005E289B"/>
    <w:rsid w:val="005E3832"/>
    <w:rsid w:val="005E5795"/>
    <w:rsid w:val="005E6F05"/>
    <w:rsid w:val="005E7702"/>
    <w:rsid w:val="005E7F63"/>
    <w:rsid w:val="005F04BD"/>
    <w:rsid w:val="005F1BF0"/>
    <w:rsid w:val="005F2272"/>
    <w:rsid w:val="005F3999"/>
    <w:rsid w:val="005F6844"/>
    <w:rsid w:val="00601F0A"/>
    <w:rsid w:val="00603B34"/>
    <w:rsid w:val="00604F28"/>
    <w:rsid w:val="006068F3"/>
    <w:rsid w:val="00606B7B"/>
    <w:rsid w:val="00606C66"/>
    <w:rsid w:val="00610403"/>
    <w:rsid w:val="006105E3"/>
    <w:rsid w:val="00611ECC"/>
    <w:rsid w:val="006129EC"/>
    <w:rsid w:val="00615588"/>
    <w:rsid w:val="00615F99"/>
    <w:rsid w:val="006169F7"/>
    <w:rsid w:val="00620E2A"/>
    <w:rsid w:val="00620F06"/>
    <w:rsid w:val="006210F4"/>
    <w:rsid w:val="00621796"/>
    <w:rsid w:val="00622548"/>
    <w:rsid w:val="00624187"/>
    <w:rsid w:val="00625C6F"/>
    <w:rsid w:val="0062650E"/>
    <w:rsid w:val="00627C3B"/>
    <w:rsid w:val="00627E94"/>
    <w:rsid w:val="00630698"/>
    <w:rsid w:val="0063088E"/>
    <w:rsid w:val="00634C73"/>
    <w:rsid w:val="00636C78"/>
    <w:rsid w:val="006422EF"/>
    <w:rsid w:val="006425D0"/>
    <w:rsid w:val="006449BA"/>
    <w:rsid w:val="00646669"/>
    <w:rsid w:val="00646909"/>
    <w:rsid w:val="0065147F"/>
    <w:rsid w:val="00652D2C"/>
    <w:rsid w:val="006535E9"/>
    <w:rsid w:val="00654DAB"/>
    <w:rsid w:val="00655254"/>
    <w:rsid w:val="0065655B"/>
    <w:rsid w:val="0066077D"/>
    <w:rsid w:val="00660930"/>
    <w:rsid w:val="006659FE"/>
    <w:rsid w:val="0066606E"/>
    <w:rsid w:val="006725D3"/>
    <w:rsid w:val="00672D85"/>
    <w:rsid w:val="006742D1"/>
    <w:rsid w:val="0067589B"/>
    <w:rsid w:val="00675BA1"/>
    <w:rsid w:val="006772EC"/>
    <w:rsid w:val="00680C2B"/>
    <w:rsid w:val="0068199D"/>
    <w:rsid w:val="00681FDA"/>
    <w:rsid w:val="0068382E"/>
    <w:rsid w:val="00686726"/>
    <w:rsid w:val="006908EE"/>
    <w:rsid w:val="00691579"/>
    <w:rsid w:val="00693A1B"/>
    <w:rsid w:val="00693E83"/>
    <w:rsid w:val="0069548D"/>
    <w:rsid w:val="006957F0"/>
    <w:rsid w:val="00696633"/>
    <w:rsid w:val="006A1461"/>
    <w:rsid w:val="006A1779"/>
    <w:rsid w:val="006A2900"/>
    <w:rsid w:val="006A3F6D"/>
    <w:rsid w:val="006A7368"/>
    <w:rsid w:val="006A7D80"/>
    <w:rsid w:val="006B003E"/>
    <w:rsid w:val="006B1746"/>
    <w:rsid w:val="006B27B6"/>
    <w:rsid w:val="006B4C21"/>
    <w:rsid w:val="006C010B"/>
    <w:rsid w:val="006C0969"/>
    <w:rsid w:val="006C1289"/>
    <w:rsid w:val="006C157A"/>
    <w:rsid w:val="006C1879"/>
    <w:rsid w:val="006C3A52"/>
    <w:rsid w:val="006C443F"/>
    <w:rsid w:val="006C66DF"/>
    <w:rsid w:val="006C6CC9"/>
    <w:rsid w:val="006C7248"/>
    <w:rsid w:val="006C7EF5"/>
    <w:rsid w:val="006D05E4"/>
    <w:rsid w:val="006D0AD8"/>
    <w:rsid w:val="006D213F"/>
    <w:rsid w:val="006D2D89"/>
    <w:rsid w:val="006D5F2B"/>
    <w:rsid w:val="006E054B"/>
    <w:rsid w:val="006E18AD"/>
    <w:rsid w:val="006E22A2"/>
    <w:rsid w:val="006E56F6"/>
    <w:rsid w:val="006E67B4"/>
    <w:rsid w:val="006E71BD"/>
    <w:rsid w:val="006E7F80"/>
    <w:rsid w:val="006F0027"/>
    <w:rsid w:val="006F26FC"/>
    <w:rsid w:val="006F3573"/>
    <w:rsid w:val="006F3603"/>
    <w:rsid w:val="006F4220"/>
    <w:rsid w:val="006F43E8"/>
    <w:rsid w:val="006F71C6"/>
    <w:rsid w:val="00701BA2"/>
    <w:rsid w:val="00702D06"/>
    <w:rsid w:val="007033B0"/>
    <w:rsid w:val="00705C56"/>
    <w:rsid w:val="007103F8"/>
    <w:rsid w:val="00711913"/>
    <w:rsid w:val="00714838"/>
    <w:rsid w:val="00714936"/>
    <w:rsid w:val="00715828"/>
    <w:rsid w:val="00716D87"/>
    <w:rsid w:val="0072196D"/>
    <w:rsid w:val="007225D2"/>
    <w:rsid w:val="00733024"/>
    <w:rsid w:val="0073344D"/>
    <w:rsid w:val="0073385E"/>
    <w:rsid w:val="00733F40"/>
    <w:rsid w:val="0073674B"/>
    <w:rsid w:val="007422A8"/>
    <w:rsid w:val="00744155"/>
    <w:rsid w:val="0074500A"/>
    <w:rsid w:val="007474A6"/>
    <w:rsid w:val="007508B6"/>
    <w:rsid w:val="00750A98"/>
    <w:rsid w:val="00751342"/>
    <w:rsid w:val="00751CE9"/>
    <w:rsid w:val="00751DB1"/>
    <w:rsid w:val="0075285F"/>
    <w:rsid w:val="00753FB3"/>
    <w:rsid w:val="0075504F"/>
    <w:rsid w:val="00761ACD"/>
    <w:rsid w:val="00761EED"/>
    <w:rsid w:val="007650EC"/>
    <w:rsid w:val="00766A4B"/>
    <w:rsid w:val="00767283"/>
    <w:rsid w:val="007700A0"/>
    <w:rsid w:val="007741FB"/>
    <w:rsid w:val="0077491C"/>
    <w:rsid w:val="007764BE"/>
    <w:rsid w:val="00784EDD"/>
    <w:rsid w:val="00786175"/>
    <w:rsid w:val="00786750"/>
    <w:rsid w:val="007867E9"/>
    <w:rsid w:val="00787E3B"/>
    <w:rsid w:val="00790E52"/>
    <w:rsid w:val="00791C5F"/>
    <w:rsid w:val="00791F70"/>
    <w:rsid w:val="00792C38"/>
    <w:rsid w:val="0079318F"/>
    <w:rsid w:val="007964BC"/>
    <w:rsid w:val="007A0A1A"/>
    <w:rsid w:val="007A1FC8"/>
    <w:rsid w:val="007A3CC4"/>
    <w:rsid w:val="007A4C06"/>
    <w:rsid w:val="007A4F6C"/>
    <w:rsid w:val="007A5D67"/>
    <w:rsid w:val="007A624D"/>
    <w:rsid w:val="007A785D"/>
    <w:rsid w:val="007B104E"/>
    <w:rsid w:val="007B3921"/>
    <w:rsid w:val="007B3C3F"/>
    <w:rsid w:val="007B465E"/>
    <w:rsid w:val="007B5B6E"/>
    <w:rsid w:val="007B5E11"/>
    <w:rsid w:val="007C17F3"/>
    <w:rsid w:val="007C38BB"/>
    <w:rsid w:val="007C429B"/>
    <w:rsid w:val="007C475C"/>
    <w:rsid w:val="007C4A12"/>
    <w:rsid w:val="007C4EA0"/>
    <w:rsid w:val="007D0CEB"/>
    <w:rsid w:val="007D21DC"/>
    <w:rsid w:val="007D43FA"/>
    <w:rsid w:val="007D6775"/>
    <w:rsid w:val="007E082E"/>
    <w:rsid w:val="007E13FC"/>
    <w:rsid w:val="007E1B5B"/>
    <w:rsid w:val="007E4144"/>
    <w:rsid w:val="007E4AE2"/>
    <w:rsid w:val="007E77DD"/>
    <w:rsid w:val="007E7B00"/>
    <w:rsid w:val="007F2457"/>
    <w:rsid w:val="007F52B8"/>
    <w:rsid w:val="007F75E7"/>
    <w:rsid w:val="0080044B"/>
    <w:rsid w:val="008012F1"/>
    <w:rsid w:val="00803D81"/>
    <w:rsid w:val="00807F0D"/>
    <w:rsid w:val="00812A9E"/>
    <w:rsid w:val="00812DB8"/>
    <w:rsid w:val="00813A64"/>
    <w:rsid w:val="008147D5"/>
    <w:rsid w:val="00815AE8"/>
    <w:rsid w:val="00820366"/>
    <w:rsid w:val="0082184C"/>
    <w:rsid w:val="00821965"/>
    <w:rsid w:val="00822B84"/>
    <w:rsid w:val="0082543A"/>
    <w:rsid w:val="008263DC"/>
    <w:rsid w:val="00826B98"/>
    <w:rsid w:val="00827AB3"/>
    <w:rsid w:val="008303A0"/>
    <w:rsid w:val="008303FC"/>
    <w:rsid w:val="00830B7D"/>
    <w:rsid w:val="00833F5E"/>
    <w:rsid w:val="00836EE2"/>
    <w:rsid w:val="00840065"/>
    <w:rsid w:val="00842CF5"/>
    <w:rsid w:val="0084532C"/>
    <w:rsid w:val="00847355"/>
    <w:rsid w:val="00852550"/>
    <w:rsid w:val="00853568"/>
    <w:rsid w:val="00853C63"/>
    <w:rsid w:val="00853E50"/>
    <w:rsid w:val="008543CC"/>
    <w:rsid w:val="00854D8F"/>
    <w:rsid w:val="00855602"/>
    <w:rsid w:val="00856ADC"/>
    <w:rsid w:val="00856BC7"/>
    <w:rsid w:val="0086547C"/>
    <w:rsid w:val="008704CB"/>
    <w:rsid w:val="0087478A"/>
    <w:rsid w:val="00875931"/>
    <w:rsid w:val="00875992"/>
    <w:rsid w:val="00875D37"/>
    <w:rsid w:val="00875DC7"/>
    <w:rsid w:val="008768B5"/>
    <w:rsid w:val="008809E2"/>
    <w:rsid w:val="0088356C"/>
    <w:rsid w:val="00890FC2"/>
    <w:rsid w:val="008935EB"/>
    <w:rsid w:val="008938A0"/>
    <w:rsid w:val="00894AAD"/>
    <w:rsid w:val="008951C9"/>
    <w:rsid w:val="00895A85"/>
    <w:rsid w:val="008A06F8"/>
    <w:rsid w:val="008A7D2A"/>
    <w:rsid w:val="008B17AC"/>
    <w:rsid w:val="008B25B4"/>
    <w:rsid w:val="008B59A9"/>
    <w:rsid w:val="008B6E91"/>
    <w:rsid w:val="008B708D"/>
    <w:rsid w:val="008C0EEB"/>
    <w:rsid w:val="008C28BC"/>
    <w:rsid w:val="008C47DB"/>
    <w:rsid w:val="008C70A2"/>
    <w:rsid w:val="008C7323"/>
    <w:rsid w:val="008D513D"/>
    <w:rsid w:val="008D7133"/>
    <w:rsid w:val="008E1C9D"/>
    <w:rsid w:val="008E2ECE"/>
    <w:rsid w:val="008E5F22"/>
    <w:rsid w:val="008E7379"/>
    <w:rsid w:val="008E7E06"/>
    <w:rsid w:val="008F3E35"/>
    <w:rsid w:val="008F4FBE"/>
    <w:rsid w:val="008F5171"/>
    <w:rsid w:val="008F60BA"/>
    <w:rsid w:val="008F6331"/>
    <w:rsid w:val="0090023F"/>
    <w:rsid w:val="00900C71"/>
    <w:rsid w:val="00902CB3"/>
    <w:rsid w:val="00902DB5"/>
    <w:rsid w:val="0090429C"/>
    <w:rsid w:val="009052CB"/>
    <w:rsid w:val="0090614D"/>
    <w:rsid w:val="00907E70"/>
    <w:rsid w:val="009109E5"/>
    <w:rsid w:val="009110D1"/>
    <w:rsid w:val="009128F8"/>
    <w:rsid w:val="00913C0A"/>
    <w:rsid w:val="00915001"/>
    <w:rsid w:val="0091758E"/>
    <w:rsid w:val="00923EDE"/>
    <w:rsid w:val="0092479A"/>
    <w:rsid w:val="00924EF3"/>
    <w:rsid w:val="009254E7"/>
    <w:rsid w:val="00926011"/>
    <w:rsid w:val="00926124"/>
    <w:rsid w:val="009315D4"/>
    <w:rsid w:val="009320D7"/>
    <w:rsid w:val="009346FF"/>
    <w:rsid w:val="00935776"/>
    <w:rsid w:val="0094030D"/>
    <w:rsid w:val="009413D6"/>
    <w:rsid w:val="009415EF"/>
    <w:rsid w:val="00943070"/>
    <w:rsid w:val="009476B3"/>
    <w:rsid w:val="00950F9D"/>
    <w:rsid w:val="009512E3"/>
    <w:rsid w:val="0095367B"/>
    <w:rsid w:val="00955895"/>
    <w:rsid w:val="009626BE"/>
    <w:rsid w:val="009629DB"/>
    <w:rsid w:val="00962BEB"/>
    <w:rsid w:val="00963609"/>
    <w:rsid w:val="009704FD"/>
    <w:rsid w:val="00971217"/>
    <w:rsid w:val="009739F4"/>
    <w:rsid w:val="00976224"/>
    <w:rsid w:val="00977B74"/>
    <w:rsid w:val="00981BA5"/>
    <w:rsid w:val="00982291"/>
    <w:rsid w:val="009866E2"/>
    <w:rsid w:val="00987A27"/>
    <w:rsid w:val="009903A3"/>
    <w:rsid w:val="0099343D"/>
    <w:rsid w:val="00993999"/>
    <w:rsid w:val="00994DBF"/>
    <w:rsid w:val="00996743"/>
    <w:rsid w:val="00997B2B"/>
    <w:rsid w:val="00997BC1"/>
    <w:rsid w:val="009A1401"/>
    <w:rsid w:val="009A3233"/>
    <w:rsid w:val="009A3521"/>
    <w:rsid w:val="009A6B08"/>
    <w:rsid w:val="009A7D15"/>
    <w:rsid w:val="009A7EF6"/>
    <w:rsid w:val="009B0A23"/>
    <w:rsid w:val="009B0BF7"/>
    <w:rsid w:val="009B73DC"/>
    <w:rsid w:val="009B76B4"/>
    <w:rsid w:val="009C01BE"/>
    <w:rsid w:val="009C0918"/>
    <w:rsid w:val="009C0FAF"/>
    <w:rsid w:val="009C59EF"/>
    <w:rsid w:val="009C613D"/>
    <w:rsid w:val="009D145B"/>
    <w:rsid w:val="009D2584"/>
    <w:rsid w:val="009E04B5"/>
    <w:rsid w:val="009E0C43"/>
    <w:rsid w:val="009E5190"/>
    <w:rsid w:val="009E5BAB"/>
    <w:rsid w:val="009E6C30"/>
    <w:rsid w:val="009E7A57"/>
    <w:rsid w:val="009F1BDF"/>
    <w:rsid w:val="009F226C"/>
    <w:rsid w:val="009F2A3F"/>
    <w:rsid w:val="009F36AB"/>
    <w:rsid w:val="009F605D"/>
    <w:rsid w:val="009F6B8E"/>
    <w:rsid w:val="009F6D03"/>
    <w:rsid w:val="009F72F3"/>
    <w:rsid w:val="00A061E5"/>
    <w:rsid w:val="00A07785"/>
    <w:rsid w:val="00A13E23"/>
    <w:rsid w:val="00A1485D"/>
    <w:rsid w:val="00A166B0"/>
    <w:rsid w:val="00A20182"/>
    <w:rsid w:val="00A208BD"/>
    <w:rsid w:val="00A20DD2"/>
    <w:rsid w:val="00A21D87"/>
    <w:rsid w:val="00A273DA"/>
    <w:rsid w:val="00A27D99"/>
    <w:rsid w:val="00A301F1"/>
    <w:rsid w:val="00A30965"/>
    <w:rsid w:val="00A33290"/>
    <w:rsid w:val="00A3396A"/>
    <w:rsid w:val="00A3423A"/>
    <w:rsid w:val="00A353B6"/>
    <w:rsid w:val="00A36B6E"/>
    <w:rsid w:val="00A36F99"/>
    <w:rsid w:val="00A421BE"/>
    <w:rsid w:val="00A43C7F"/>
    <w:rsid w:val="00A44192"/>
    <w:rsid w:val="00A455AE"/>
    <w:rsid w:val="00A45F04"/>
    <w:rsid w:val="00A474E7"/>
    <w:rsid w:val="00A5023F"/>
    <w:rsid w:val="00A51AEE"/>
    <w:rsid w:val="00A54358"/>
    <w:rsid w:val="00A56318"/>
    <w:rsid w:val="00A60960"/>
    <w:rsid w:val="00A60ADC"/>
    <w:rsid w:val="00A62179"/>
    <w:rsid w:val="00A64DFA"/>
    <w:rsid w:val="00A65508"/>
    <w:rsid w:val="00A65B73"/>
    <w:rsid w:val="00A661CA"/>
    <w:rsid w:val="00A72E64"/>
    <w:rsid w:val="00A75E88"/>
    <w:rsid w:val="00A7693A"/>
    <w:rsid w:val="00A77F36"/>
    <w:rsid w:val="00A8252B"/>
    <w:rsid w:val="00A93E79"/>
    <w:rsid w:val="00A94730"/>
    <w:rsid w:val="00A94BCF"/>
    <w:rsid w:val="00A96F56"/>
    <w:rsid w:val="00A973B6"/>
    <w:rsid w:val="00A977D8"/>
    <w:rsid w:val="00AA0520"/>
    <w:rsid w:val="00AA5BCA"/>
    <w:rsid w:val="00AB134E"/>
    <w:rsid w:val="00AB30D3"/>
    <w:rsid w:val="00AB3428"/>
    <w:rsid w:val="00AB474D"/>
    <w:rsid w:val="00AB486D"/>
    <w:rsid w:val="00AB59EF"/>
    <w:rsid w:val="00AB5CA7"/>
    <w:rsid w:val="00AB6314"/>
    <w:rsid w:val="00AB6FC5"/>
    <w:rsid w:val="00AC1076"/>
    <w:rsid w:val="00AC2F89"/>
    <w:rsid w:val="00AC37C1"/>
    <w:rsid w:val="00AC4760"/>
    <w:rsid w:val="00AC56DB"/>
    <w:rsid w:val="00AC59FD"/>
    <w:rsid w:val="00AC74EC"/>
    <w:rsid w:val="00AD0CDC"/>
    <w:rsid w:val="00AD283F"/>
    <w:rsid w:val="00AD2C6B"/>
    <w:rsid w:val="00AD3907"/>
    <w:rsid w:val="00AD5D3C"/>
    <w:rsid w:val="00AE15D4"/>
    <w:rsid w:val="00AE2657"/>
    <w:rsid w:val="00AE2C23"/>
    <w:rsid w:val="00AF0642"/>
    <w:rsid w:val="00AF1FC5"/>
    <w:rsid w:val="00AF2D15"/>
    <w:rsid w:val="00AF3BA1"/>
    <w:rsid w:val="00AF6654"/>
    <w:rsid w:val="00AF68BB"/>
    <w:rsid w:val="00AF6BD1"/>
    <w:rsid w:val="00B00B65"/>
    <w:rsid w:val="00B013A7"/>
    <w:rsid w:val="00B0214F"/>
    <w:rsid w:val="00B11D72"/>
    <w:rsid w:val="00B12A99"/>
    <w:rsid w:val="00B13ACC"/>
    <w:rsid w:val="00B146F2"/>
    <w:rsid w:val="00B14B54"/>
    <w:rsid w:val="00B1528F"/>
    <w:rsid w:val="00B20F1C"/>
    <w:rsid w:val="00B220E3"/>
    <w:rsid w:val="00B22C35"/>
    <w:rsid w:val="00B24BF2"/>
    <w:rsid w:val="00B27F7F"/>
    <w:rsid w:val="00B32979"/>
    <w:rsid w:val="00B32D67"/>
    <w:rsid w:val="00B32DE3"/>
    <w:rsid w:val="00B33566"/>
    <w:rsid w:val="00B432C5"/>
    <w:rsid w:val="00B43CE5"/>
    <w:rsid w:val="00B44BBE"/>
    <w:rsid w:val="00B458B5"/>
    <w:rsid w:val="00B458D1"/>
    <w:rsid w:val="00B45E42"/>
    <w:rsid w:val="00B46121"/>
    <w:rsid w:val="00B463B7"/>
    <w:rsid w:val="00B54AE2"/>
    <w:rsid w:val="00B553B5"/>
    <w:rsid w:val="00B620C1"/>
    <w:rsid w:val="00B62419"/>
    <w:rsid w:val="00B6292F"/>
    <w:rsid w:val="00B63A61"/>
    <w:rsid w:val="00B66E0C"/>
    <w:rsid w:val="00B66E19"/>
    <w:rsid w:val="00B66FCC"/>
    <w:rsid w:val="00B67A7A"/>
    <w:rsid w:val="00B712CB"/>
    <w:rsid w:val="00B74D18"/>
    <w:rsid w:val="00B75023"/>
    <w:rsid w:val="00B75C7F"/>
    <w:rsid w:val="00B75D88"/>
    <w:rsid w:val="00B77EE3"/>
    <w:rsid w:val="00B808D6"/>
    <w:rsid w:val="00B8116D"/>
    <w:rsid w:val="00B846E0"/>
    <w:rsid w:val="00B872CC"/>
    <w:rsid w:val="00B918E1"/>
    <w:rsid w:val="00B933AB"/>
    <w:rsid w:val="00BA23C0"/>
    <w:rsid w:val="00BA4589"/>
    <w:rsid w:val="00BA51EE"/>
    <w:rsid w:val="00BA68D9"/>
    <w:rsid w:val="00BA7DB6"/>
    <w:rsid w:val="00BB0677"/>
    <w:rsid w:val="00BB0FF9"/>
    <w:rsid w:val="00BB293E"/>
    <w:rsid w:val="00BB553A"/>
    <w:rsid w:val="00BB5FDB"/>
    <w:rsid w:val="00BB60E7"/>
    <w:rsid w:val="00BB7F50"/>
    <w:rsid w:val="00BC0773"/>
    <w:rsid w:val="00BC3075"/>
    <w:rsid w:val="00BC3869"/>
    <w:rsid w:val="00BC4022"/>
    <w:rsid w:val="00BC49D2"/>
    <w:rsid w:val="00BC5439"/>
    <w:rsid w:val="00BC596B"/>
    <w:rsid w:val="00BC68E0"/>
    <w:rsid w:val="00BD339B"/>
    <w:rsid w:val="00BD3E3D"/>
    <w:rsid w:val="00BD41E5"/>
    <w:rsid w:val="00BD4F94"/>
    <w:rsid w:val="00BD7085"/>
    <w:rsid w:val="00BE3396"/>
    <w:rsid w:val="00BE3A23"/>
    <w:rsid w:val="00BE559C"/>
    <w:rsid w:val="00BE5922"/>
    <w:rsid w:val="00BF001F"/>
    <w:rsid w:val="00BF0330"/>
    <w:rsid w:val="00BF0818"/>
    <w:rsid w:val="00BF0CC6"/>
    <w:rsid w:val="00BF1283"/>
    <w:rsid w:val="00C00DDC"/>
    <w:rsid w:val="00C038C1"/>
    <w:rsid w:val="00C04F73"/>
    <w:rsid w:val="00C0596C"/>
    <w:rsid w:val="00C1026D"/>
    <w:rsid w:val="00C10AC1"/>
    <w:rsid w:val="00C120DA"/>
    <w:rsid w:val="00C124D1"/>
    <w:rsid w:val="00C1296C"/>
    <w:rsid w:val="00C12EAD"/>
    <w:rsid w:val="00C1339F"/>
    <w:rsid w:val="00C14081"/>
    <w:rsid w:val="00C142FC"/>
    <w:rsid w:val="00C16BFC"/>
    <w:rsid w:val="00C16D9E"/>
    <w:rsid w:val="00C17A0B"/>
    <w:rsid w:val="00C216D6"/>
    <w:rsid w:val="00C22066"/>
    <w:rsid w:val="00C23B2F"/>
    <w:rsid w:val="00C23E0D"/>
    <w:rsid w:val="00C2472B"/>
    <w:rsid w:val="00C25175"/>
    <w:rsid w:val="00C25D76"/>
    <w:rsid w:val="00C26514"/>
    <w:rsid w:val="00C300CC"/>
    <w:rsid w:val="00C301BB"/>
    <w:rsid w:val="00C323AA"/>
    <w:rsid w:val="00C3660F"/>
    <w:rsid w:val="00C41128"/>
    <w:rsid w:val="00C4242E"/>
    <w:rsid w:val="00C427FF"/>
    <w:rsid w:val="00C43BE9"/>
    <w:rsid w:val="00C46510"/>
    <w:rsid w:val="00C556B1"/>
    <w:rsid w:val="00C56348"/>
    <w:rsid w:val="00C60956"/>
    <w:rsid w:val="00C60A1C"/>
    <w:rsid w:val="00C66AF5"/>
    <w:rsid w:val="00C708E0"/>
    <w:rsid w:val="00C73778"/>
    <w:rsid w:val="00C819F1"/>
    <w:rsid w:val="00C858C2"/>
    <w:rsid w:val="00C8777F"/>
    <w:rsid w:val="00C878F2"/>
    <w:rsid w:val="00C90815"/>
    <w:rsid w:val="00C90BBE"/>
    <w:rsid w:val="00C91FBB"/>
    <w:rsid w:val="00C934B0"/>
    <w:rsid w:val="00CA0424"/>
    <w:rsid w:val="00CA07F6"/>
    <w:rsid w:val="00CA1E03"/>
    <w:rsid w:val="00CA34AD"/>
    <w:rsid w:val="00CA50BD"/>
    <w:rsid w:val="00CA50F3"/>
    <w:rsid w:val="00CA6F7C"/>
    <w:rsid w:val="00CB106D"/>
    <w:rsid w:val="00CB1340"/>
    <w:rsid w:val="00CB4B8B"/>
    <w:rsid w:val="00CB6773"/>
    <w:rsid w:val="00CB6C8A"/>
    <w:rsid w:val="00CB71B5"/>
    <w:rsid w:val="00CC08FB"/>
    <w:rsid w:val="00CC275D"/>
    <w:rsid w:val="00CC3217"/>
    <w:rsid w:val="00CC4FB6"/>
    <w:rsid w:val="00CC602C"/>
    <w:rsid w:val="00CC6657"/>
    <w:rsid w:val="00CD14A1"/>
    <w:rsid w:val="00CD22C2"/>
    <w:rsid w:val="00CD34D6"/>
    <w:rsid w:val="00CD4122"/>
    <w:rsid w:val="00CD55E8"/>
    <w:rsid w:val="00CD6D56"/>
    <w:rsid w:val="00CD7B77"/>
    <w:rsid w:val="00CE3765"/>
    <w:rsid w:val="00CE4909"/>
    <w:rsid w:val="00CE60E1"/>
    <w:rsid w:val="00CE64F8"/>
    <w:rsid w:val="00CE7780"/>
    <w:rsid w:val="00CF16E6"/>
    <w:rsid w:val="00CF26DB"/>
    <w:rsid w:val="00CF438F"/>
    <w:rsid w:val="00CF6424"/>
    <w:rsid w:val="00CF7536"/>
    <w:rsid w:val="00CF7D27"/>
    <w:rsid w:val="00D00223"/>
    <w:rsid w:val="00D00F52"/>
    <w:rsid w:val="00D02965"/>
    <w:rsid w:val="00D02EB9"/>
    <w:rsid w:val="00D037CD"/>
    <w:rsid w:val="00D038B1"/>
    <w:rsid w:val="00D0443B"/>
    <w:rsid w:val="00D10A11"/>
    <w:rsid w:val="00D149CE"/>
    <w:rsid w:val="00D16482"/>
    <w:rsid w:val="00D16D6A"/>
    <w:rsid w:val="00D2101F"/>
    <w:rsid w:val="00D21504"/>
    <w:rsid w:val="00D216BE"/>
    <w:rsid w:val="00D22BA4"/>
    <w:rsid w:val="00D2538C"/>
    <w:rsid w:val="00D26645"/>
    <w:rsid w:val="00D3039F"/>
    <w:rsid w:val="00D3072E"/>
    <w:rsid w:val="00D33218"/>
    <w:rsid w:val="00D40D3C"/>
    <w:rsid w:val="00D41B98"/>
    <w:rsid w:val="00D43BCD"/>
    <w:rsid w:val="00D47070"/>
    <w:rsid w:val="00D470DD"/>
    <w:rsid w:val="00D51DEA"/>
    <w:rsid w:val="00D525ED"/>
    <w:rsid w:val="00D52D69"/>
    <w:rsid w:val="00D534CE"/>
    <w:rsid w:val="00D54140"/>
    <w:rsid w:val="00D5523D"/>
    <w:rsid w:val="00D554DC"/>
    <w:rsid w:val="00D576DA"/>
    <w:rsid w:val="00D60716"/>
    <w:rsid w:val="00D616A2"/>
    <w:rsid w:val="00D6280E"/>
    <w:rsid w:val="00D6288F"/>
    <w:rsid w:val="00D6322A"/>
    <w:rsid w:val="00D6438F"/>
    <w:rsid w:val="00D64A3B"/>
    <w:rsid w:val="00D65131"/>
    <w:rsid w:val="00D65291"/>
    <w:rsid w:val="00D71198"/>
    <w:rsid w:val="00D717AC"/>
    <w:rsid w:val="00D73F02"/>
    <w:rsid w:val="00D75579"/>
    <w:rsid w:val="00D76D86"/>
    <w:rsid w:val="00D80101"/>
    <w:rsid w:val="00D812FD"/>
    <w:rsid w:val="00D817D5"/>
    <w:rsid w:val="00D82645"/>
    <w:rsid w:val="00D83703"/>
    <w:rsid w:val="00D843E1"/>
    <w:rsid w:val="00D90636"/>
    <w:rsid w:val="00D918F5"/>
    <w:rsid w:val="00D93C99"/>
    <w:rsid w:val="00D93F97"/>
    <w:rsid w:val="00D941DE"/>
    <w:rsid w:val="00D945CE"/>
    <w:rsid w:val="00D9727F"/>
    <w:rsid w:val="00DA0F9C"/>
    <w:rsid w:val="00DA4070"/>
    <w:rsid w:val="00DA7752"/>
    <w:rsid w:val="00DB0DD6"/>
    <w:rsid w:val="00DB149A"/>
    <w:rsid w:val="00DB3175"/>
    <w:rsid w:val="00DB3AEB"/>
    <w:rsid w:val="00DB40CA"/>
    <w:rsid w:val="00DB433B"/>
    <w:rsid w:val="00DB5641"/>
    <w:rsid w:val="00DC0072"/>
    <w:rsid w:val="00DC08D1"/>
    <w:rsid w:val="00DC08F4"/>
    <w:rsid w:val="00DC12E6"/>
    <w:rsid w:val="00DC383C"/>
    <w:rsid w:val="00DC4BF4"/>
    <w:rsid w:val="00DC5DAD"/>
    <w:rsid w:val="00DD3D08"/>
    <w:rsid w:val="00DD44C9"/>
    <w:rsid w:val="00DD57F7"/>
    <w:rsid w:val="00DD5DC5"/>
    <w:rsid w:val="00DD66E9"/>
    <w:rsid w:val="00DE0DF9"/>
    <w:rsid w:val="00DE1E30"/>
    <w:rsid w:val="00DE4D5E"/>
    <w:rsid w:val="00DE6585"/>
    <w:rsid w:val="00DE7167"/>
    <w:rsid w:val="00DF146D"/>
    <w:rsid w:val="00DF2FA7"/>
    <w:rsid w:val="00DF4CAF"/>
    <w:rsid w:val="00DF7CB2"/>
    <w:rsid w:val="00E00181"/>
    <w:rsid w:val="00E02F30"/>
    <w:rsid w:val="00E0382A"/>
    <w:rsid w:val="00E053F3"/>
    <w:rsid w:val="00E056CD"/>
    <w:rsid w:val="00E057E2"/>
    <w:rsid w:val="00E05C57"/>
    <w:rsid w:val="00E12214"/>
    <w:rsid w:val="00E13A6F"/>
    <w:rsid w:val="00E17A7D"/>
    <w:rsid w:val="00E207A1"/>
    <w:rsid w:val="00E207CC"/>
    <w:rsid w:val="00E21382"/>
    <w:rsid w:val="00E2326C"/>
    <w:rsid w:val="00E23A3F"/>
    <w:rsid w:val="00E23CD5"/>
    <w:rsid w:val="00E24FB5"/>
    <w:rsid w:val="00E262BA"/>
    <w:rsid w:val="00E267C9"/>
    <w:rsid w:val="00E26A95"/>
    <w:rsid w:val="00E306EB"/>
    <w:rsid w:val="00E32D78"/>
    <w:rsid w:val="00E33831"/>
    <w:rsid w:val="00E33FCA"/>
    <w:rsid w:val="00E34E85"/>
    <w:rsid w:val="00E378F4"/>
    <w:rsid w:val="00E44E53"/>
    <w:rsid w:val="00E45E92"/>
    <w:rsid w:val="00E50330"/>
    <w:rsid w:val="00E50B48"/>
    <w:rsid w:val="00E51E56"/>
    <w:rsid w:val="00E5290B"/>
    <w:rsid w:val="00E53432"/>
    <w:rsid w:val="00E54A9C"/>
    <w:rsid w:val="00E57FED"/>
    <w:rsid w:val="00E6079B"/>
    <w:rsid w:val="00E614DA"/>
    <w:rsid w:val="00E65B17"/>
    <w:rsid w:val="00E65E58"/>
    <w:rsid w:val="00E66610"/>
    <w:rsid w:val="00E669E8"/>
    <w:rsid w:val="00E66F8B"/>
    <w:rsid w:val="00E745D5"/>
    <w:rsid w:val="00E74A57"/>
    <w:rsid w:val="00E7533C"/>
    <w:rsid w:val="00E75CA7"/>
    <w:rsid w:val="00E760E0"/>
    <w:rsid w:val="00E76A00"/>
    <w:rsid w:val="00E77EF5"/>
    <w:rsid w:val="00E82018"/>
    <w:rsid w:val="00E83C70"/>
    <w:rsid w:val="00E8529C"/>
    <w:rsid w:val="00E86F1B"/>
    <w:rsid w:val="00E86F23"/>
    <w:rsid w:val="00E905C8"/>
    <w:rsid w:val="00E90DD4"/>
    <w:rsid w:val="00E9189F"/>
    <w:rsid w:val="00E92ED0"/>
    <w:rsid w:val="00E9437F"/>
    <w:rsid w:val="00EA2248"/>
    <w:rsid w:val="00EA29B2"/>
    <w:rsid w:val="00EB0757"/>
    <w:rsid w:val="00EB15C6"/>
    <w:rsid w:val="00EB3980"/>
    <w:rsid w:val="00EB5BEA"/>
    <w:rsid w:val="00EC0295"/>
    <w:rsid w:val="00EC1EFE"/>
    <w:rsid w:val="00EC2C71"/>
    <w:rsid w:val="00EC3D4F"/>
    <w:rsid w:val="00EC5A70"/>
    <w:rsid w:val="00EC5C33"/>
    <w:rsid w:val="00ED050B"/>
    <w:rsid w:val="00ED08E0"/>
    <w:rsid w:val="00ED0C8D"/>
    <w:rsid w:val="00ED1200"/>
    <w:rsid w:val="00ED1500"/>
    <w:rsid w:val="00ED19BA"/>
    <w:rsid w:val="00ED1C7A"/>
    <w:rsid w:val="00ED1F9D"/>
    <w:rsid w:val="00ED2DB2"/>
    <w:rsid w:val="00ED2FAB"/>
    <w:rsid w:val="00EE092A"/>
    <w:rsid w:val="00EE4457"/>
    <w:rsid w:val="00EE4496"/>
    <w:rsid w:val="00EE571B"/>
    <w:rsid w:val="00EE5947"/>
    <w:rsid w:val="00EE624D"/>
    <w:rsid w:val="00EE63B3"/>
    <w:rsid w:val="00EE64A4"/>
    <w:rsid w:val="00EE7CA3"/>
    <w:rsid w:val="00EF15C5"/>
    <w:rsid w:val="00EF16EC"/>
    <w:rsid w:val="00EF1FF9"/>
    <w:rsid w:val="00EF2AAB"/>
    <w:rsid w:val="00EF2F01"/>
    <w:rsid w:val="00EF508B"/>
    <w:rsid w:val="00EF7607"/>
    <w:rsid w:val="00EF7C4C"/>
    <w:rsid w:val="00F03286"/>
    <w:rsid w:val="00F05330"/>
    <w:rsid w:val="00F105B2"/>
    <w:rsid w:val="00F105DA"/>
    <w:rsid w:val="00F12FB6"/>
    <w:rsid w:val="00F13E2E"/>
    <w:rsid w:val="00F159AA"/>
    <w:rsid w:val="00F214AE"/>
    <w:rsid w:val="00F22987"/>
    <w:rsid w:val="00F22FD4"/>
    <w:rsid w:val="00F23814"/>
    <w:rsid w:val="00F23C04"/>
    <w:rsid w:val="00F24999"/>
    <w:rsid w:val="00F253E4"/>
    <w:rsid w:val="00F2550B"/>
    <w:rsid w:val="00F2693D"/>
    <w:rsid w:val="00F30D2E"/>
    <w:rsid w:val="00F338E0"/>
    <w:rsid w:val="00F34106"/>
    <w:rsid w:val="00F34638"/>
    <w:rsid w:val="00F34681"/>
    <w:rsid w:val="00F3598D"/>
    <w:rsid w:val="00F35AB0"/>
    <w:rsid w:val="00F35BF5"/>
    <w:rsid w:val="00F36B1E"/>
    <w:rsid w:val="00F40398"/>
    <w:rsid w:val="00F42E0F"/>
    <w:rsid w:val="00F44355"/>
    <w:rsid w:val="00F45909"/>
    <w:rsid w:val="00F47532"/>
    <w:rsid w:val="00F52FE6"/>
    <w:rsid w:val="00F53739"/>
    <w:rsid w:val="00F54A7C"/>
    <w:rsid w:val="00F552E2"/>
    <w:rsid w:val="00F5541A"/>
    <w:rsid w:val="00F55808"/>
    <w:rsid w:val="00F55DDB"/>
    <w:rsid w:val="00F63D2C"/>
    <w:rsid w:val="00F66CED"/>
    <w:rsid w:val="00F6717B"/>
    <w:rsid w:val="00F70364"/>
    <w:rsid w:val="00F72899"/>
    <w:rsid w:val="00F72D42"/>
    <w:rsid w:val="00F73212"/>
    <w:rsid w:val="00F74790"/>
    <w:rsid w:val="00F760F6"/>
    <w:rsid w:val="00F77F00"/>
    <w:rsid w:val="00F81CAD"/>
    <w:rsid w:val="00F839B6"/>
    <w:rsid w:val="00F83BF8"/>
    <w:rsid w:val="00F84F08"/>
    <w:rsid w:val="00F853AD"/>
    <w:rsid w:val="00F9015D"/>
    <w:rsid w:val="00F926E1"/>
    <w:rsid w:val="00F930BD"/>
    <w:rsid w:val="00F944AC"/>
    <w:rsid w:val="00F9644B"/>
    <w:rsid w:val="00FA16C7"/>
    <w:rsid w:val="00FA28DE"/>
    <w:rsid w:val="00FA2DAA"/>
    <w:rsid w:val="00FA7217"/>
    <w:rsid w:val="00FB23D0"/>
    <w:rsid w:val="00FB504D"/>
    <w:rsid w:val="00FC1215"/>
    <w:rsid w:val="00FC50B8"/>
    <w:rsid w:val="00FD1439"/>
    <w:rsid w:val="00FD1DE6"/>
    <w:rsid w:val="00FD2524"/>
    <w:rsid w:val="00FD328C"/>
    <w:rsid w:val="00FD5DDC"/>
    <w:rsid w:val="00FD7B20"/>
    <w:rsid w:val="00FD7C74"/>
    <w:rsid w:val="00FE3337"/>
    <w:rsid w:val="00FE455B"/>
    <w:rsid w:val="00FE557B"/>
    <w:rsid w:val="00FE7AC0"/>
    <w:rsid w:val="00FE7D75"/>
    <w:rsid w:val="00FF08FD"/>
    <w:rsid w:val="00FF23F9"/>
    <w:rsid w:val="00FF50D8"/>
    <w:rsid w:val="00FF569B"/>
    <w:rsid w:val="00FF60EE"/>
    <w:rsid w:val="00FF72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72DF"/>
  <w15:docId w15:val="{D0402D07-61D5-4B5B-BEB2-697AD8A7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next w:val="Normal"/>
    <w:link w:val="Ttulo5Car"/>
    <w:uiPriority w:val="9"/>
    <w:semiHidden/>
    <w:unhideWhenUsed/>
    <w:qFormat/>
    <w:rsid w:val="00231C5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22C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35"/>
  </w:style>
  <w:style w:type="paragraph" w:styleId="Textonotapie">
    <w:name w:val="footnote text"/>
    <w:aliases w:val="fn Car,footnote text Car,Footnotes Car,Footnote ak Car Car,Texto nota pie Car Car,fn Car Car,footnote text Car Car,Footnotes Car Car,Footnote ak Car, Car,Car, Car Car Car, Car Car, Car Car Car Car Car Car,FOOTNOTES,fn,Footnote Text Char2"/>
    <w:basedOn w:val="Normal"/>
    <w:link w:val="TextonotapieCar"/>
    <w:unhideWhenUsed/>
    <w:qFormat/>
    <w:rsid w:val="00B22C3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n Car Car1,footnote text Car Car1,Footnotes Car Car1,Footnote ak Car Car Car,Texto nota pie Car Car Car,fn Car Car Car,footnote text Car Car Car,Footnotes Car Car Car,Footnote ak Car Car1, Car Car1,Car Car, Car Car Car Car,fn Car1"/>
    <w:basedOn w:val="Fuentedeprrafopredeter"/>
    <w:link w:val="Textonotapie"/>
    <w:rsid w:val="00B22C35"/>
    <w:rPr>
      <w:rFonts w:ascii="Times New Roman" w:eastAsia="Times New Roman" w:hAnsi="Times New Roman" w:cs="Times New Roman"/>
      <w:sz w:val="20"/>
      <w:szCs w:val="20"/>
      <w:lang w:val="es-ES" w:eastAsia="es-ES"/>
    </w:rPr>
  </w:style>
  <w:style w:type="character" w:styleId="Refdenotaalpie">
    <w:name w:val="footnote reference"/>
    <w:aliases w:val="Ref,de nota al pie,Error-Fußnotenzeichen5,Error-Fußnotenzeichen6,Error-Fußnotenzeichen3,註腳內容,16 Point,Superscript 6 Point,FC,de nota al pie + (Asian) MS Mincho,11 pt,Footnote Reference1,Ref1,de nota al pie1,Ref.,de,nota,al,pie,註?腳內—e"/>
    <w:basedOn w:val="Fuentedeprrafopredeter"/>
    <w:unhideWhenUsed/>
    <w:qFormat/>
    <w:rsid w:val="00B22C35"/>
    <w:rPr>
      <w:vertAlign w:val="superscript"/>
    </w:rPr>
  </w:style>
  <w:style w:type="paragraph" w:styleId="Prrafodelista">
    <w:name w:val="List Paragraph"/>
    <w:aliases w:val="w Parrafo numerado,Lista vistosa - Énfasis 11,Bullet,titulo 3,HOJA,Bolita,Párrafo de lista4,BOLADEF,Párrafo de lista2,Párrafo de lista3,Párrafo de lista21,BOLA,Nivel 1 OS,Colorful List Accent 1,Colorful List - Accent 11,Bullets,Dot pt"/>
    <w:basedOn w:val="Normal"/>
    <w:link w:val="PrrafodelistaCar"/>
    <w:uiPriority w:val="34"/>
    <w:qFormat/>
    <w:rsid w:val="005E7F63"/>
    <w:pPr>
      <w:ind w:left="720"/>
      <w:contextualSpacing/>
    </w:pPr>
  </w:style>
  <w:style w:type="character" w:styleId="Hipervnculo">
    <w:name w:val="Hyperlink"/>
    <w:basedOn w:val="Fuentedeprrafopredeter"/>
    <w:uiPriority w:val="99"/>
    <w:unhideWhenUsed/>
    <w:rsid w:val="009C0918"/>
    <w:rPr>
      <w:color w:val="0563C1" w:themeColor="hyperlink"/>
      <w:u w:val="single"/>
    </w:rPr>
  </w:style>
  <w:style w:type="paragraph" w:styleId="Sinespaciado">
    <w:name w:val="No Spacing"/>
    <w:link w:val="SinespaciadoCar"/>
    <w:uiPriority w:val="1"/>
    <w:qFormat/>
    <w:rsid w:val="00FD1DE6"/>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9762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6224"/>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6F3603"/>
    <w:rPr>
      <w:color w:val="605E5C"/>
      <w:shd w:val="clear" w:color="auto" w:fill="E1DFDD"/>
    </w:rPr>
  </w:style>
  <w:style w:type="character" w:customStyle="1" w:styleId="SinespaciadoCar">
    <w:name w:val="Sin espaciado Car"/>
    <w:basedOn w:val="Fuentedeprrafopredeter"/>
    <w:link w:val="Sinespaciado"/>
    <w:uiPriority w:val="1"/>
    <w:rsid w:val="002032C3"/>
    <w:rPr>
      <w:rFonts w:ascii="Calibri" w:eastAsia="Calibri" w:hAnsi="Calibri" w:cs="Times New Roman"/>
    </w:rPr>
  </w:style>
  <w:style w:type="character" w:styleId="Mencinsinresolver">
    <w:name w:val="Unresolved Mention"/>
    <w:basedOn w:val="Fuentedeprrafopredeter"/>
    <w:uiPriority w:val="99"/>
    <w:semiHidden/>
    <w:unhideWhenUsed/>
    <w:rsid w:val="008B708D"/>
    <w:rPr>
      <w:color w:val="605E5C"/>
      <w:shd w:val="clear" w:color="auto" w:fill="E1DFDD"/>
    </w:rPr>
  </w:style>
  <w:style w:type="paragraph" w:styleId="Encabezado">
    <w:name w:val="header"/>
    <w:basedOn w:val="Normal"/>
    <w:link w:val="EncabezadoCar"/>
    <w:uiPriority w:val="99"/>
    <w:unhideWhenUsed/>
    <w:rsid w:val="000D10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1076"/>
  </w:style>
  <w:style w:type="paragraph" w:styleId="Textoindependiente">
    <w:name w:val="Body Text"/>
    <w:basedOn w:val="Normal"/>
    <w:link w:val="TextoindependienteCar"/>
    <w:uiPriority w:val="99"/>
    <w:semiHidden/>
    <w:unhideWhenUsed/>
    <w:rsid w:val="00B620C1"/>
    <w:pPr>
      <w:spacing w:after="120"/>
    </w:pPr>
  </w:style>
  <w:style w:type="character" w:customStyle="1" w:styleId="TextoindependienteCar">
    <w:name w:val="Texto independiente Car"/>
    <w:basedOn w:val="Fuentedeprrafopredeter"/>
    <w:link w:val="Textoindependiente"/>
    <w:uiPriority w:val="99"/>
    <w:semiHidden/>
    <w:rsid w:val="00B620C1"/>
  </w:style>
  <w:style w:type="character" w:customStyle="1" w:styleId="Ttulo5Car">
    <w:name w:val="Título 5 Car"/>
    <w:basedOn w:val="Fuentedeprrafopredeter"/>
    <w:link w:val="Ttulo5"/>
    <w:uiPriority w:val="9"/>
    <w:semiHidden/>
    <w:rsid w:val="00231C54"/>
    <w:rPr>
      <w:rFonts w:asciiTheme="majorHAnsi" w:eastAsiaTheme="majorEastAsia" w:hAnsiTheme="majorHAnsi" w:cstheme="majorBidi"/>
      <w:color w:val="2E74B5" w:themeColor="accent1" w:themeShade="BF"/>
    </w:rPr>
  </w:style>
  <w:style w:type="character" w:styleId="Refdecomentario">
    <w:name w:val="annotation reference"/>
    <w:basedOn w:val="Fuentedeprrafopredeter"/>
    <w:uiPriority w:val="99"/>
    <w:semiHidden/>
    <w:unhideWhenUsed/>
    <w:rsid w:val="00EA29B2"/>
    <w:rPr>
      <w:sz w:val="16"/>
      <w:szCs w:val="16"/>
    </w:rPr>
  </w:style>
  <w:style w:type="paragraph" w:styleId="Textocomentario">
    <w:name w:val="annotation text"/>
    <w:basedOn w:val="Normal"/>
    <w:link w:val="TextocomentarioCar"/>
    <w:uiPriority w:val="99"/>
    <w:unhideWhenUsed/>
    <w:rsid w:val="00EA29B2"/>
    <w:pPr>
      <w:spacing w:line="240" w:lineRule="auto"/>
    </w:pPr>
    <w:rPr>
      <w:sz w:val="20"/>
      <w:szCs w:val="20"/>
    </w:rPr>
  </w:style>
  <w:style w:type="character" w:customStyle="1" w:styleId="TextocomentarioCar">
    <w:name w:val="Texto comentario Car"/>
    <w:basedOn w:val="Fuentedeprrafopredeter"/>
    <w:link w:val="Textocomentario"/>
    <w:uiPriority w:val="99"/>
    <w:rsid w:val="00EA29B2"/>
    <w:rPr>
      <w:sz w:val="20"/>
      <w:szCs w:val="20"/>
    </w:rPr>
  </w:style>
  <w:style w:type="paragraph" w:styleId="Asuntodelcomentario">
    <w:name w:val="annotation subject"/>
    <w:basedOn w:val="Textocomentario"/>
    <w:next w:val="Textocomentario"/>
    <w:link w:val="AsuntodelcomentarioCar"/>
    <w:uiPriority w:val="99"/>
    <w:semiHidden/>
    <w:unhideWhenUsed/>
    <w:rsid w:val="00EA29B2"/>
    <w:rPr>
      <w:b/>
      <w:bCs/>
    </w:rPr>
  </w:style>
  <w:style w:type="character" w:customStyle="1" w:styleId="AsuntodelcomentarioCar">
    <w:name w:val="Asunto del comentario Car"/>
    <w:basedOn w:val="TextocomentarioCar"/>
    <w:link w:val="Asuntodelcomentario"/>
    <w:uiPriority w:val="99"/>
    <w:semiHidden/>
    <w:rsid w:val="00EA29B2"/>
    <w:rPr>
      <w:b/>
      <w:bCs/>
      <w:sz w:val="20"/>
      <w:szCs w:val="20"/>
    </w:rPr>
  </w:style>
  <w:style w:type="character" w:customStyle="1" w:styleId="PrrafodelistaCar">
    <w:name w:val="Párrafo de lista Car"/>
    <w:aliases w:val="w Parrafo numerado Car,Lista vistosa - Énfasis 11 Car,Bullet Car,titulo 3 Car,HOJA Car,Bolita Car,Párrafo de lista4 Car,BOLADEF Car,Párrafo de lista2 Car,Párrafo de lista3 Car,Párrafo de lista21 Car,BOLA Car,Nivel 1 OS Car"/>
    <w:link w:val="Prrafodelista"/>
    <w:uiPriority w:val="34"/>
    <w:qFormat/>
    <w:locked/>
    <w:rsid w:val="00D82645"/>
  </w:style>
  <w:style w:type="paragraph" w:styleId="Revisin">
    <w:name w:val="Revision"/>
    <w:hidden/>
    <w:uiPriority w:val="99"/>
    <w:semiHidden/>
    <w:rsid w:val="00514F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2273">
      <w:bodyDiv w:val="1"/>
      <w:marLeft w:val="0"/>
      <w:marRight w:val="0"/>
      <w:marTop w:val="0"/>
      <w:marBottom w:val="0"/>
      <w:divBdr>
        <w:top w:val="none" w:sz="0" w:space="0" w:color="auto"/>
        <w:left w:val="none" w:sz="0" w:space="0" w:color="auto"/>
        <w:bottom w:val="none" w:sz="0" w:space="0" w:color="auto"/>
        <w:right w:val="none" w:sz="0" w:space="0" w:color="auto"/>
      </w:divBdr>
    </w:div>
    <w:div w:id="168978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0597C-C974-4117-AA7E-E4A6A879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3309</Words>
  <Characters>18201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disetica</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Servicio Jurídico</dc:creator>
  <cp:lastModifiedBy>SJ-SGCAN</cp:lastModifiedBy>
  <cp:revision>2</cp:revision>
  <cp:lastPrinted>2024-03-04T14:23:00Z</cp:lastPrinted>
  <dcterms:created xsi:type="dcterms:W3CDTF">2024-03-04T14:24:00Z</dcterms:created>
  <dcterms:modified xsi:type="dcterms:W3CDTF">2024-03-04T14:24:00Z</dcterms:modified>
</cp:coreProperties>
</file>