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84EC" w14:textId="77777777" w:rsidR="002307AF" w:rsidRPr="005914B6" w:rsidRDefault="00E2566D" w:rsidP="007055B9">
      <w:pPr>
        <w:spacing w:after="0" w:line="240" w:lineRule="auto"/>
        <w:jc w:val="center"/>
        <w:rPr>
          <w:rFonts w:ascii="Arial" w:hAnsi="Arial" w:cs="Arial"/>
          <w:lang w:eastAsia="es-PE"/>
        </w:rPr>
      </w:pPr>
      <w:r w:rsidRPr="005914B6">
        <w:rPr>
          <w:rFonts w:cs="Arial"/>
          <w:b/>
          <w:noProof/>
          <w:lang w:eastAsia="es-PE"/>
        </w:rPr>
        <w:drawing>
          <wp:anchor distT="0" distB="0" distL="114300" distR="114300" simplePos="0" relativeHeight="251659264" behindDoc="0" locked="0" layoutInCell="1" allowOverlap="1" wp14:anchorId="71BB864A" wp14:editId="71BB864B">
            <wp:simplePos x="0" y="0"/>
            <wp:positionH relativeFrom="column">
              <wp:posOffset>0</wp:posOffset>
            </wp:positionH>
            <wp:positionV relativeFrom="paragraph">
              <wp:posOffset>156845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71BB84ED" w14:textId="77777777" w:rsidR="002307AF" w:rsidRPr="005914B6" w:rsidRDefault="002307AF" w:rsidP="007055B9">
      <w:pPr>
        <w:spacing w:after="0" w:line="240" w:lineRule="auto"/>
        <w:jc w:val="center"/>
        <w:rPr>
          <w:rFonts w:ascii="Arial" w:hAnsi="Arial" w:cs="Arial"/>
          <w:lang w:eastAsia="es-PE"/>
        </w:rPr>
      </w:pPr>
    </w:p>
    <w:p w14:paraId="71BB84EE" w14:textId="77777777" w:rsidR="002307AF" w:rsidRPr="005914B6" w:rsidRDefault="002307AF" w:rsidP="007055B9">
      <w:pPr>
        <w:spacing w:after="0" w:line="240" w:lineRule="auto"/>
        <w:jc w:val="center"/>
        <w:rPr>
          <w:rFonts w:ascii="Arial" w:hAnsi="Arial" w:cs="Arial"/>
          <w:lang w:eastAsia="es-PE"/>
        </w:rPr>
      </w:pPr>
    </w:p>
    <w:p w14:paraId="71BB84EF" w14:textId="77777777" w:rsidR="002307AF" w:rsidRPr="005914B6" w:rsidRDefault="002307AF" w:rsidP="007055B9">
      <w:pPr>
        <w:spacing w:after="0" w:line="240" w:lineRule="auto"/>
        <w:jc w:val="center"/>
        <w:rPr>
          <w:rFonts w:ascii="Arial" w:hAnsi="Arial" w:cs="Arial"/>
          <w:lang w:eastAsia="es-PE"/>
        </w:rPr>
      </w:pPr>
    </w:p>
    <w:p w14:paraId="71BB84F0" w14:textId="77777777" w:rsidR="002307AF" w:rsidRPr="005914B6" w:rsidRDefault="002307AF" w:rsidP="007055B9">
      <w:pPr>
        <w:spacing w:after="0" w:line="240" w:lineRule="auto"/>
        <w:jc w:val="center"/>
        <w:rPr>
          <w:rFonts w:ascii="Arial" w:hAnsi="Arial" w:cs="Arial"/>
          <w:lang w:eastAsia="es-PE"/>
        </w:rPr>
      </w:pPr>
    </w:p>
    <w:p w14:paraId="71BB84F1" w14:textId="787E0FB8" w:rsidR="00006EF4" w:rsidRPr="005914B6" w:rsidRDefault="00006EF4" w:rsidP="00006EF4">
      <w:pPr>
        <w:spacing w:after="0" w:line="240" w:lineRule="auto"/>
        <w:jc w:val="center"/>
        <w:rPr>
          <w:rFonts w:ascii="Arial" w:eastAsia="Times New Roman" w:hAnsi="Arial" w:cs="Arial"/>
          <w:b/>
          <w:u w:val="single"/>
          <w:lang w:eastAsia="es-ES"/>
        </w:rPr>
      </w:pPr>
      <w:r w:rsidRPr="005914B6">
        <w:rPr>
          <w:rFonts w:ascii="Arial" w:eastAsia="Times New Roman" w:hAnsi="Arial" w:cs="Arial"/>
          <w:b/>
          <w:bCs/>
          <w:iCs/>
          <w:u w:val="single"/>
          <w:lang w:eastAsia="es-ES"/>
        </w:rPr>
        <w:t>RESOLUCIÓN</w:t>
      </w:r>
      <w:r w:rsidR="00FB2D27">
        <w:rPr>
          <w:rFonts w:ascii="Arial" w:eastAsia="Times New Roman" w:hAnsi="Arial" w:cs="Arial"/>
          <w:b/>
          <w:u w:val="single"/>
          <w:lang w:eastAsia="es-ES"/>
        </w:rPr>
        <w:t xml:space="preserve"> N° 2375</w:t>
      </w:r>
    </w:p>
    <w:p w14:paraId="71BB84F2" w14:textId="77777777" w:rsidR="00006EF4" w:rsidRPr="005914B6" w:rsidRDefault="00006EF4" w:rsidP="00006EF4">
      <w:pPr>
        <w:pStyle w:val="Estilo2"/>
        <w:tabs>
          <w:tab w:val="left" w:pos="425"/>
          <w:tab w:val="left" w:pos="9072"/>
        </w:tabs>
        <w:ind w:right="-1"/>
        <w:rPr>
          <w:rFonts w:cs="Arial"/>
          <w:sz w:val="22"/>
          <w:szCs w:val="22"/>
          <w:lang w:val="es-PE"/>
        </w:rPr>
      </w:pPr>
    </w:p>
    <w:p w14:paraId="71BB84F3" w14:textId="36C2FD24" w:rsidR="00006EF4" w:rsidRPr="005914B6" w:rsidRDefault="00006EF4" w:rsidP="00006EF4">
      <w:pPr>
        <w:pStyle w:val="Ttulo4"/>
        <w:tabs>
          <w:tab w:val="clear" w:pos="426"/>
        </w:tabs>
        <w:ind w:left="5103" w:right="-1"/>
        <w:jc w:val="both"/>
        <w:rPr>
          <w:rFonts w:cs="Arial"/>
          <w:sz w:val="22"/>
          <w:szCs w:val="22"/>
          <w:lang w:val="es-PE"/>
        </w:rPr>
      </w:pPr>
      <w:r w:rsidRPr="005914B6">
        <w:rPr>
          <w:rFonts w:cs="Arial"/>
          <w:sz w:val="22"/>
          <w:szCs w:val="22"/>
          <w:lang w:val="es-PE"/>
        </w:rPr>
        <w:t>Plan Operativo Anual (POA) 202</w:t>
      </w:r>
      <w:r w:rsidR="00EF732F" w:rsidRPr="005914B6">
        <w:rPr>
          <w:rFonts w:cs="Arial"/>
          <w:sz w:val="22"/>
          <w:szCs w:val="22"/>
          <w:lang w:val="es-PE"/>
        </w:rPr>
        <w:t>4</w:t>
      </w:r>
      <w:r w:rsidRPr="005914B6">
        <w:rPr>
          <w:rFonts w:cs="Arial"/>
          <w:sz w:val="22"/>
          <w:szCs w:val="22"/>
          <w:lang w:val="es-PE"/>
        </w:rPr>
        <w:t xml:space="preserve"> del Programa Estadístico Comunitario 2018-2022</w:t>
      </w:r>
      <w:r w:rsidR="006C1802" w:rsidRPr="005914B6">
        <w:rPr>
          <w:rFonts w:cs="Arial"/>
          <w:sz w:val="22"/>
          <w:szCs w:val="22"/>
          <w:lang w:val="es-PE"/>
        </w:rPr>
        <w:t xml:space="preserve"> extendido hasta </w:t>
      </w:r>
      <w:r w:rsidR="004A3901" w:rsidRPr="005914B6">
        <w:rPr>
          <w:rFonts w:cs="Arial"/>
          <w:sz w:val="22"/>
          <w:szCs w:val="22"/>
          <w:lang w:val="es-PE"/>
        </w:rPr>
        <w:t xml:space="preserve">el </w:t>
      </w:r>
      <w:r w:rsidR="006C1802" w:rsidRPr="005914B6">
        <w:rPr>
          <w:rFonts w:cs="Arial"/>
          <w:sz w:val="22"/>
          <w:szCs w:val="22"/>
          <w:lang w:val="es-PE"/>
        </w:rPr>
        <w:t>2025</w:t>
      </w:r>
    </w:p>
    <w:p w14:paraId="71BB84F4" w14:textId="77777777" w:rsidR="00006EF4" w:rsidRPr="005914B6" w:rsidRDefault="00006EF4" w:rsidP="00006EF4">
      <w:pPr>
        <w:tabs>
          <w:tab w:val="left" w:pos="426"/>
          <w:tab w:val="left" w:pos="9072"/>
        </w:tabs>
        <w:spacing w:after="0" w:line="240" w:lineRule="auto"/>
        <w:ind w:right="-1"/>
        <w:jc w:val="both"/>
        <w:rPr>
          <w:rFonts w:ascii="Arial" w:hAnsi="Arial" w:cs="Arial"/>
        </w:rPr>
      </w:pPr>
    </w:p>
    <w:p w14:paraId="35BFEE99" w14:textId="77777777" w:rsidR="00835A58" w:rsidRPr="005914B6" w:rsidRDefault="00835A58" w:rsidP="00006EF4">
      <w:pPr>
        <w:tabs>
          <w:tab w:val="left" w:pos="426"/>
          <w:tab w:val="left" w:pos="9072"/>
        </w:tabs>
        <w:spacing w:after="0" w:line="240" w:lineRule="auto"/>
        <w:ind w:right="-1"/>
        <w:jc w:val="both"/>
        <w:rPr>
          <w:rFonts w:ascii="Arial" w:hAnsi="Arial" w:cs="Arial"/>
        </w:rPr>
      </w:pPr>
    </w:p>
    <w:p w14:paraId="71BB84F6" w14:textId="77777777" w:rsidR="00006EF4" w:rsidRPr="005914B6" w:rsidRDefault="00006EF4" w:rsidP="00006EF4">
      <w:pPr>
        <w:tabs>
          <w:tab w:val="left" w:pos="426"/>
          <w:tab w:val="left" w:pos="9072"/>
        </w:tabs>
        <w:spacing w:after="0" w:line="240" w:lineRule="auto"/>
        <w:ind w:right="-1"/>
        <w:jc w:val="both"/>
        <w:rPr>
          <w:rFonts w:ascii="Arial" w:hAnsi="Arial" w:cs="Arial"/>
          <w:b/>
        </w:rPr>
      </w:pPr>
      <w:r w:rsidRPr="005914B6">
        <w:rPr>
          <w:rFonts w:ascii="Arial" w:hAnsi="Arial" w:cs="Arial"/>
        </w:rPr>
        <w:tab/>
      </w:r>
      <w:r w:rsidRPr="005914B6">
        <w:rPr>
          <w:rFonts w:ascii="Arial" w:hAnsi="Arial" w:cs="Arial"/>
          <w:b/>
        </w:rPr>
        <w:t>LA SECRETARÍA GENERAL DE LA COMUNIDAD ANDINA,</w:t>
      </w:r>
    </w:p>
    <w:p w14:paraId="71BB84F7" w14:textId="77777777" w:rsidR="00006EF4" w:rsidRPr="005914B6" w:rsidRDefault="00006EF4" w:rsidP="00006EF4">
      <w:pPr>
        <w:tabs>
          <w:tab w:val="left" w:pos="426"/>
          <w:tab w:val="left" w:pos="9072"/>
        </w:tabs>
        <w:spacing w:after="0" w:line="240" w:lineRule="auto"/>
        <w:ind w:right="-1"/>
        <w:jc w:val="both"/>
        <w:rPr>
          <w:rFonts w:ascii="Arial" w:hAnsi="Arial" w:cs="Arial"/>
        </w:rPr>
      </w:pPr>
    </w:p>
    <w:p w14:paraId="307A9514" w14:textId="77777777" w:rsidR="003C7AFC" w:rsidRPr="005914B6" w:rsidRDefault="003C7AFC" w:rsidP="00006EF4">
      <w:pPr>
        <w:tabs>
          <w:tab w:val="left" w:pos="426"/>
          <w:tab w:val="left" w:pos="9072"/>
        </w:tabs>
        <w:spacing w:after="0" w:line="240" w:lineRule="auto"/>
        <w:ind w:right="-1"/>
        <w:jc w:val="both"/>
        <w:rPr>
          <w:rFonts w:ascii="Arial" w:hAnsi="Arial" w:cs="Arial"/>
        </w:rPr>
      </w:pPr>
    </w:p>
    <w:p w14:paraId="71BB84F8" w14:textId="2C2E9079" w:rsidR="00006EF4" w:rsidRPr="005914B6" w:rsidRDefault="00006EF4" w:rsidP="00006EF4">
      <w:pPr>
        <w:tabs>
          <w:tab w:val="left" w:pos="426"/>
          <w:tab w:val="left" w:pos="9072"/>
        </w:tabs>
        <w:spacing w:after="0" w:line="240" w:lineRule="auto"/>
        <w:ind w:right="-1"/>
        <w:jc w:val="both"/>
        <w:rPr>
          <w:rFonts w:ascii="Arial" w:hAnsi="Arial" w:cs="Arial"/>
        </w:rPr>
      </w:pPr>
      <w:r w:rsidRPr="005914B6">
        <w:rPr>
          <w:rFonts w:ascii="Arial" w:hAnsi="Arial" w:cs="Arial"/>
        </w:rPr>
        <w:tab/>
      </w:r>
      <w:r w:rsidRPr="005914B6">
        <w:rPr>
          <w:rFonts w:ascii="Arial" w:hAnsi="Arial" w:cs="Arial"/>
          <w:b/>
        </w:rPr>
        <w:t>VISTOS:</w:t>
      </w:r>
      <w:r w:rsidR="009D1149">
        <w:rPr>
          <w:rFonts w:ascii="Arial" w:hAnsi="Arial" w:cs="Arial"/>
          <w:b/>
        </w:rPr>
        <w:t xml:space="preserve"> </w:t>
      </w:r>
      <w:r w:rsidRPr="005914B6">
        <w:rPr>
          <w:rFonts w:ascii="Arial" w:hAnsi="Arial" w:cs="Arial"/>
        </w:rPr>
        <w:t>Los artículos 53 y 54 del Acuerdo de Cartagena</w:t>
      </w:r>
      <w:r w:rsidR="00DB2D7C" w:rsidRPr="005914B6">
        <w:rPr>
          <w:rFonts w:ascii="Arial" w:hAnsi="Arial" w:cs="Arial"/>
        </w:rPr>
        <w:t>;</w:t>
      </w:r>
      <w:r w:rsidRPr="005914B6">
        <w:rPr>
          <w:rFonts w:ascii="Arial" w:hAnsi="Arial" w:cs="Arial"/>
        </w:rPr>
        <w:t xml:space="preserve"> las Decisiones 115</w:t>
      </w:r>
      <w:r w:rsidR="00F82521" w:rsidRPr="005914B6">
        <w:rPr>
          <w:rFonts w:ascii="Arial" w:hAnsi="Arial" w:cs="Arial"/>
        </w:rPr>
        <w:t>,</w:t>
      </w:r>
      <w:r w:rsidRPr="005914B6">
        <w:rPr>
          <w:rFonts w:ascii="Arial" w:hAnsi="Arial" w:cs="Arial"/>
        </w:rPr>
        <w:t xml:space="preserve"> 828</w:t>
      </w:r>
      <w:r w:rsidR="00F82521" w:rsidRPr="005914B6">
        <w:rPr>
          <w:rFonts w:ascii="Arial" w:hAnsi="Arial" w:cs="Arial"/>
        </w:rPr>
        <w:t xml:space="preserve"> y 911</w:t>
      </w:r>
      <w:r w:rsidRPr="005914B6">
        <w:rPr>
          <w:rFonts w:ascii="Arial" w:hAnsi="Arial" w:cs="Arial"/>
        </w:rPr>
        <w:t xml:space="preserve"> de la Comisión; </w:t>
      </w:r>
      <w:r w:rsidR="00DB2D7C" w:rsidRPr="005914B6">
        <w:rPr>
          <w:rFonts w:ascii="Arial" w:hAnsi="Arial" w:cs="Arial"/>
        </w:rPr>
        <w:t>y</w:t>
      </w:r>
      <w:r w:rsidR="006D03D3" w:rsidRPr="005914B6">
        <w:rPr>
          <w:rFonts w:ascii="Arial" w:hAnsi="Arial" w:cs="Arial"/>
        </w:rPr>
        <w:t xml:space="preserve"> la Resolución 2344 de la Secretaría General;</w:t>
      </w:r>
    </w:p>
    <w:p w14:paraId="71BB84F9" w14:textId="77777777" w:rsidR="00006EF4" w:rsidRPr="005914B6" w:rsidRDefault="00006EF4" w:rsidP="00006EF4">
      <w:pPr>
        <w:tabs>
          <w:tab w:val="left" w:pos="426"/>
          <w:tab w:val="left" w:pos="9072"/>
        </w:tabs>
        <w:spacing w:after="0" w:line="240" w:lineRule="auto"/>
        <w:ind w:right="-1"/>
        <w:jc w:val="both"/>
        <w:rPr>
          <w:rFonts w:ascii="Arial" w:hAnsi="Arial" w:cs="Arial"/>
        </w:rPr>
      </w:pPr>
    </w:p>
    <w:p w14:paraId="3F33883A" w14:textId="77777777" w:rsidR="00835A58" w:rsidRPr="005914B6" w:rsidRDefault="00835A58" w:rsidP="00006EF4">
      <w:pPr>
        <w:tabs>
          <w:tab w:val="left" w:pos="426"/>
          <w:tab w:val="left" w:pos="9072"/>
        </w:tabs>
        <w:spacing w:after="0" w:line="240" w:lineRule="auto"/>
        <w:ind w:right="-1"/>
        <w:jc w:val="both"/>
        <w:rPr>
          <w:rFonts w:ascii="Arial" w:hAnsi="Arial" w:cs="Arial"/>
        </w:rPr>
      </w:pPr>
    </w:p>
    <w:p w14:paraId="71BB84FA" w14:textId="77777777" w:rsidR="00A276F5" w:rsidRPr="005914B6" w:rsidRDefault="00006EF4" w:rsidP="00006EF4">
      <w:pPr>
        <w:pStyle w:val="Ttulo"/>
        <w:tabs>
          <w:tab w:val="left" w:pos="426"/>
          <w:tab w:val="left" w:pos="9072"/>
        </w:tabs>
        <w:ind w:right="-1"/>
        <w:jc w:val="both"/>
        <w:rPr>
          <w:rFonts w:ascii="Arial" w:hAnsi="Arial" w:cs="Arial"/>
          <w:b/>
          <w:sz w:val="22"/>
          <w:szCs w:val="22"/>
          <w:lang w:val="es-PE"/>
        </w:rPr>
      </w:pPr>
      <w:r w:rsidRPr="005914B6">
        <w:rPr>
          <w:rFonts w:ascii="Arial" w:hAnsi="Arial" w:cs="Arial"/>
          <w:sz w:val="22"/>
          <w:szCs w:val="22"/>
          <w:lang w:val="es-PE"/>
        </w:rPr>
        <w:tab/>
      </w:r>
      <w:r w:rsidRPr="005914B6">
        <w:rPr>
          <w:rFonts w:ascii="Arial" w:hAnsi="Arial" w:cs="Arial"/>
          <w:b/>
          <w:sz w:val="22"/>
          <w:szCs w:val="22"/>
          <w:lang w:val="es-PE"/>
        </w:rPr>
        <w:t xml:space="preserve">CONSIDERANDO: </w:t>
      </w:r>
    </w:p>
    <w:p w14:paraId="71BB84FB" w14:textId="77777777" w:rsidR="00A276F5" w:rsidRPr="005914B6" w:rsidRDefault="00A276F5" w:rsidP="00006EF4">
      <w:pPr>
        <w:pStyle w:val="Ttulo"/>
        <w:tabs>
          <w:tab w:val="left" w:pos="426"/>
          <w:tab w:val="left" w:pos="9072"/>
        </w:tabs>
        <w:ind w:right="-1"/>
        <w:jc w:val="both"/>
        <w:rPr>
          <w:rFonts w:ascii="Arial" w:hAnsi="Arial" w:cs="Arial"/>
          <w:b/>
          <w:sz w:val="22"/>
          <w:szCs w:val="22"/>
          <w:lang w:val="es-PE"/>
        </w:rPr>
      </w:pPr>
    </w:p>
    <w:p w14:paraId="71BB84FC" w14:textId="1D48EB31" w:rsidR="003E5AF6" w:rsidRPr="005914B6" w:rsidRDefault="00006EF4" w:rsidP="00006EF4">
      <w:pPr>
        <w:pStyle w:val="Ttulo"/>
        <w:tabs>
          <w:tab w:val="left" w:pos="426"/>
          <w:tab w:val="left" w:pos="9072"/>
        </w:tabs>
        <w:ind w:right="-1"/>
        <w:jc w:val="both"/>
        <w:rPr>
          <w:rFonts w:ascii="Arial" w:hAnsi="Arial" w:cs="Arial"/>
          <w:sz w:val="22"/>
          <w:szCs w:val="22"/>
          <w:lang w:val="es-PE"/>
        </w:rPr>
      </w:pPr>
      <w:r w:rsidRPr="005914B6">
        <w:rPr>
          <w:rFonts w:ascii="Arial" w:hAnsi="Arial" w:cs="Arial"/>
          <w:sz w:val="22"/>
          <w:szCs w:val="22"/>
          <w:lang w:val="es-PE"/>
        </w:rPr>
        <w:tab/>
      </w:r>
      <w:r w:rsidR="003E5AF6" w:rsidRPr="005914B6">
        <w:rPr>
          <w:rFonts w:ascii="Arial" w:hAnsi="Arial" w:cs="Arial"/>
          <w:sz w:val="22"/>
          <w:szCs w:val="22"/>
          <w:lang w:val="es-PE"/>
        </w:rPr>
        <w:t xml:space="preserve">Que, </w:t>
      </w:r>
      <w:r w:rsidR="00E55AAD" w:rsidRPr="005914B6">
        <w:rPr>
          <w:rFonts w:ascii="Arial" w:hAnsi="Arial" w:cs="Arial"/>
          <w:sz w:val="22"/>
          <w:szCs w:val="22"/>
          <w:lang w:val="es-PE"/>
        </w:rPr>
        <w:t xml:space="preserve">mediante </w:t>
      </w:r>
      <w:r w:rsidR="003E5AF6" w:rsidRPr="005914B6">
        <w:rPr>
          <w:rFonts w:ascii="Arial" w:hAnsi="Arial" w:cs="Arial"/>
          <w:sz w:val="22"/>
          <w:szCs w:val="22"/>
          <w:lang w:val="es-PE"/>
        </w:rPr>
        <w:t>Decisión 115</w:t>
      </w:r>
      <w:r w:rsidR="004A3901" w:rsidRPr="005914B6">
        <w:rPr>
          <w:rFonts w:ascii="Arial" w:hAnsi="Arial" w:cs="Arial"/>
          <w:sz w:val="22"/>
          <w:szCs w:val="22"/>
          <w:lang w:val="es-PE"/>
        </w:rPr>
        <w:t>,</w:t>
      </w:r>
      <w:r w:rsidR="003E5AF6" w:rsidRPr="005914B6">
        <w:rPr>
          <w:rFonts w:ascii="Arial" w:hAnsi="Arial" w:cs="Arial"/>
          <w:sz w:val="22"/>
          <w:szCs w:val="22"/>
          <w:lang w:val="es-PE"/>
        </w:rPr>
        <w:t xml:space="preserve"> </w:t>
      </w:r>
      <w:r w:rsidR="00C16688" w:rsidRPr="005914B6">
        <w:rPr>
          <w:rFonts w:ascii="Arial" w:hAnsi="Arial" w:cs="Arial"/>
          <w:sz w:val="22"/>
          <w:szCs w:val="22"/>
          <w:lang w:val="es-PE"/>
        </w:rPr>
        <w:t xml:space="preserve">la Comisión </w:t>
      </w:r>
      <w:r w:rsidR="003E5AF6" w:rsidRPr="005914B6">
        <w:rPr>
          <w:rFonts w:ascii="Arial" w:hAnsi="Arial" w:cs="Arial"/>
          <w:sz w:val="22"/>
          <w:szCs w:val="22"/>
          <w:lang w:val="es-PE"/>
        </w:rPr>
        <w:t>estableci</w:t>
      </w:r>
      <w:r w:rsidR="00E55AAD" w:rsidRPr="005914B6">
        <w:rPr>
          <w:rFonts w:ascii="Arial" w:hAnsi="Arial" w:cs="Arial"/>
          <w:sz w:val="22"/>
          <w:szCs w:val="22"/>
          <w:lang w:val="es-PE"/>
        </w:rPr>
        <w:t>ó</w:t>
      </w:r>
      <w:r w:rsidR="003E5AF6" w:rsidRPr="005914B6">
        <w:rPr>
          <w:rFonts w:ascii="Arial" w:hAnsi="Arial" w:cs="Arial"/>
          <w:sz w:val="22"/>
          <w:szCs w:val="22"/>
          <w:lang w:val="es-PE"/>
        </w:rPr>
        <w:t xml:space="preserve"> un Sistema Subregional de Información Estadística, que contiene información </w:t>
      </w:r>
      <w:r w:rsidR="008A174E" w:rsidRPr="005914B6">
        <w:rPr>
          <w:rFonts w:ascii="Arial" w:hAnsi="Arial" w:cs="Arial"/>
          <w:sz w:val="22"/>
          <w:szCs w:val="22"/>
          <w:lang w:val="es-PE"/>
        </w:rPr>
        <w:t xml:space="preserve">del </w:t>
      </w:r>
      <w:r w:rsidR="003E5AF6" w:rsidRPr="005914B6">
        <w:rPr>
          <w:rFonts w:ascii="Arial" w:hAnsi="Arial" w:cs="Arial"/>
          <w:sz w:val="22"/>
          <w:szCs w:val="22"/>
          <w:lang w:val="es-PE"/>
        </w:rPr>
        <w:t>sector agropecuario, comercio exterior y manufacturero</w:t>
      </w:r>
      <w:r w:rsidR="008A174E" w:rsidRPr="005914B6">
        <w:rPr>
          <w:rFonts w:ascii="Arial" w:hAnsi="Arial" w:cs="Arial"/>
          <w:sz w:val="22"/>
          <w:szCs w:val="22"/>
          <w:lang w:val="es-PE"/>
        </w:rPr>
        <w:t>;</w:t>
      </w:r>
    </w:p>
    <w:p w14:paraId="71BB84FD" w14:textId="77777777" w:rsidR="003E5AF6" w:rsidRPr="005914B6" w:rsidRDefault="003E5AF6" w:rsidP="00006EF4">
      <w:pPr>
        <w:pStyle w:val="Ttulo"/>
        <w:tabs>
          <w:tab w:val="left" w:pos="426"/>
          <w:tab w:val="left" w:pos="9072"/>
        </w:tabs>
        <w:ind w:right="-1"/>
        <w:jc w:val="both"/>
        <w:rPr>
          <w:rFonts w:ascii="Arial" w:hAnsi="Arial" w:cs="Arial"/>
          <w:sz w:val="22"/>
          <w:szCs w:val="22"/>
          <w:lang w:val="es-PE"/>
        </w:rPr>
      </w:pPr>
    </w:p>
    <w:p w14:paraId="71BB84FE" w14:textId="32C6DE49" w:rsidR="00006EF4" w:rsidRPr="005914B6" w:rsidRDefault="003E5AF6" w:rsidP="00006EF4">
      <w:pPr>
        <w:pStyle w:val="Ttulo"/>
        <w:tabs>
          <w:tab w:val="left" w:pos="426"/>
          <w:tab w:val="left" w:pos="9072"/>
        </w:tabs>
        <w:ind w:right="-1"/>
        <w:jc w:val="both"/>
        <w:rPr>
          <w:rFonts w:ascii="Arial" w:hAnsi="Arial" w:cs="Arial"/>
          <w:sz w:val="22"/>
          <w:szCs w:val="22"/>
          <w:lang w:val="es-PE"/>
        </w:rPr>
      </w:pPr>
      <w:r w:rsidRPr="005914B6">
        <w:rPr>
          <w:rFonts w:ascii="Arial" w:hAnsi="Arial" w:cs="Arial"/>
          <w:sz w:val="22"/>
          <w:szCs w:val="22"/>
          <w:lang w:val="es-PE"/>
        </w:rPr>
        <w:tab/>
      </w:r>
      <w:r w:rsidR="00006EF4" w:rsidRPr="005914B6">
        <w:rPr>
          <w:rFonts w:ascii="Arial" w:hAnsi="Arial" w:cs="Arial"/>
          <w:sz w:val="22"/>
          <w:szCs w:val="22"/>
          <w:lang w:val="es-PE"/>
        </w:rPr>
        <w:t xml:space="preserve">Que, </w:t>
      </w:r>
      <w:r w:rsidR="004A3901" w:rsidRPr="005914B6">
        <w:rPr>
          <w:rFonts w:ascii="Arial" w:hAnsi="Arial" w:cs="Arial"/>
          <w:sz w:val="22"/>
          <w:szCs w:val="22"/>
          <w:lang w:val="es-PE"/>
        </w:rPr>
        <w:t xml:space="preserve">por otra parte, </w:t>
      </w:r>
      <w:r w:rsidR="00006EF4" w:rsidRPr="005914B6">
        <w:rPr>
          <w:rFonts w:ascii="Arial" w:hAnsi="Arial" w:cs="Arial"/>
          <w:sz w:val="22"/>
          <w:szCs w:val="22"/>
          <w:lang w:val="es-PE"/>
        </w:rPr>
        <w:t>mediante Decisión 828</w:t>
      </w:r>
      <w:r w:rsidR="004A3901" w:rsidRPr="005914B6">
        <w:rPr>
          <w:rFonts w:ascii="Arial" w:hAnsi="Arial" w:cs="Arial"/>
          <w:sz w:val="22"/>
          <w:szCs w:val="22"/>
          <w:lang w:val="es-PE"/>
        </w:rPr>
        <w:t>,</w:t>
      </w:r>
      <w:r w:rsidR="00C16688" w:rsidRPr="005914B6">
        <w:rPr>
          <w:rFonts w:ascii="Arial" w:hAnsi="Arial" w:cs="Arial"/>
          <w:sz w:val="22"/>
          <w:szCs w:val="22"/>
          <w:lang w:val="es-PE"/>
        </w:rPr>
        <w:t xml:space="preserve"> la Comisión aprobó</w:t>
      </w:r>
      <w:r w:rsidR="00006EF4" w:rsidRPr="005914B6">
        <w:rPr>
          <w:rFonts w:ascii="Arial" w:hAnsi="Arial" w:cs="Arial"/>
          <w:sz w:val="22"/>
          <w:szCs w:val="22"/>
          <w:lang w:val="es-PE"/>
        </w:rPr>
        <w:t xml:space="preserve"> el Programa Estadístico Comunitario (PEC) correspondiente al periodo 2018-2022</w:t>
      </w:r>
      <w:r w:rsidR="00C16688" w:rsidRPr="005914B6">
        <w:rPr>
          <w:rFonts w:ascii="Arial" w:hAnsi="Arial" w:cs="Arial"/>
          <w:sz w:val="22"/>
          <w:szCs w:val="22"/>
          <w:lang w:val="es-PE"/>
        </w:rPr>
        <w:t>,</w:t>
      </w:r>
      <w:r w:rsidR="00F82521" w:rsidRPr="005914B6">
        <w:rPr>
          <w:rFonts w:ascii="Arial" w:hAnsi="Arial" w:cs="Arial"/>
          <w:sz w:val="22"/>
          <w:szCs w:val="22"/>
          <w:lang w:val="es-PE"/>
        </w:rPr>
        <w:t xml:space="preserve"> y extendió </w:t>
      </w:r>
      <w:r w:rsidR="008F1F1D" w:rsidRPr="005914B6">
        <w:rPr>
          <w:rFonts w:ascii="Arial" w:hAnsi="Arial" w:cs="Arial"/>
          <w:sz w:val="22"/>
          <w:szCs w:val="22"/>
          <w:lang w:val="es-PE"/>
        </w:rPr>
        <w:t xml:space="preserve">la vigencia </w:t>
      </w:r>
      <w:r w:rsidR="00520B1C" w:rsidRPr="005914B6">
        <w:rPr>
          <w:rFonts w:ascii="Arial" w:hAnsi="Arial" w:cs="Arial"/>
          <w:sz w:val="22"/>
          <w:szCs w:val="22"/>
          <w:lang w:val="es-PE"/>
        </w:rPr>
        <w:t>de</w:t>
      </w:r>
      <w:r w:rsidR="000F2A70" w:rsidRPr="005914B6">
        <w:rPr>
          <w:rFonts w:ascii="Arial" w:hAnsi="Arial" w:cs="Arial"/>
          <w:sz w:val="22"/>
          <w:szCs w:val="22"/>
          <w:lang w:val="es-PE"/>
        </w:rPr>
        <w:t>l mismo</w:t>
      </w:r>
      <w:r w:rsidR="008F1F1D" w:rsidRPr="005914B6">
        <w:rPr>
          <w:rFonts w:ascii="Arial" w:hAnsi="Arial" w:cs="Arial"/>
          <w:sz w:val="22"/>
          <w:szCs w:val="22"/>
          <w:lang w:val="es-PE"/>
        </w:rPr>
        <w:t xml:space="preserve"> hasta el año 2025 </w:t>
      </w:r>
      <w:r w:rsidR="00520B1C" w:rsidRPr="005914B6">
        <w:rPr>
          <w:rFonts w:ascii="Arial" w:hAnsi="Arial" w:cs="Arial"/>
          <w:sz w:val="22"/>
          <w:szCs w:val="22"/>
          <w:lang w:val="es-PE"/>
        </w:rPr>
        <w:t>mediante</w:t>
      </w:r>
      <w:r w:rsidR="008F1F1D" w:rsidRPr="005914B6">
        <w:rPr>
          <w:rFonts w:ascii="Arial" w:hAnsi="Arial" w:cs="Arial"/>
          <w:sz w:val="22"/>
          <w:szCs w:val="22"/>
          <w:lang w:val="es-PE"/>
        </w:rPr>
        <w:t xml:space="preserve"> Decisión 911</w:t>
      </w:r>
      <w:r w:rsidR="00006EF4" w:rsidRPr="005914B6">
        <w:rPr>
          <w:rFonts w:ascii="Arial" w:hAnsi="Arial" w:cs="Arial"/>
          <w:sz w:val="22"/>
          <w:szCs w:val="22"/>
          <w:lang w:val="es-PE"/>
        </w:rPr>
        <w:t xml:space="preserve">; </w:t>
      </w:r>
      <w:r w:rsidR="00C16688" w:rsidRPr="005914B6">
        <w:rPr>
          <w:rFonts w:ascii="Arial" w:hAnsi="Arial" w:cs="Arial"/>
          <w:sz w:val="22"/>
          <w:szCs w:val="22"/>
          <w:lang w:val="es-PE"/>
        </w:rPr>
        <w:t xml:space="preserve">ello, </w:t>
      </w:r>
      <w:r w:rsidR="00006EF4" w:rsidRPr="005914B6">
        <w:rPr>
          <w:rFonts w:ascii="Arial" w:hAnsi="Arial" w:cs="Arial"/>
          <w:sz w:val="22"/>
          <w:szCs w:val="22"/>
          <w:lang w:val="es-PE"/>
        </w:rPr>
        <w:t xml:space="preserve">con la finalidad de establecer un marco para el desarrollo, la generación y difusión de las estadísticas andinas requeridas por los Países Miembros y la Secretaría General para evaluar los avances en el proceso de integración; </w:t>
      </w:r>
    </w:p>
    <w:p w14:paraId="71BB84FF" w14:textId="77777777" w:rsidR="00006EF4" w:rsidRPr="005914B6" w:rsidRDefault="00006EF4" w:rsidP="00006EF4">
      <w:pPr>
        <w:pStyle w:val="Ttulo"/>
        <w:tabs>
          <w:tab w:val="left" w:pos="426"/>
          <w:tab w:val="left" w:pos="9072"/>
        </w:tabs>
        <w:ind w:right="-1"/>
        <w:jc w:val="both"/>
        <w:rPr>
          <w:rFonts w:ascii="Arial" w:hAnsi="Arial" w:cs="Arial"/>
          <w:sz w:val="22"/>
          <w:szCs w:val="22"/>
          <w:lang w:val="es-PE"/>
        </w:rPr>
      </w:pPr>
    </w:p>
    <w:p w14:paraId="71BB8502" w14:textId="068F8695" w:rsidR="00006EF4" w:rsidRPr="005914B6" w:rsidRDefault="00006EF4" w:rsidP="00006EF4">
      <w:pPr>
        <w:pStyle w:val="Ttulo"/>
        <w:tabs>
          <w:tab w:val="left" w:pos="426"/>
          <w:tab w:val="left" w:pos="9072"/>
        </w:tabs>
        <w:ind w:right="-1"/>
        <w:jc w:val="both"/>
        <w:rPr>
          <w:rFonts w:ascii="Arial" w:hAnsi="Arial" w:cs="Arial"/>
          <w:bCs/>
          <w:color w:val="000000"/>
          <w:sz w:val="22"/>
          <w:szCs w:val="22"/>
          <w:lang w:val="es-PE"/>
        </w:rPr>
      </w:pPr>
      <w:r w:rsidRPr="005914B6">
        <w:rPr>
          <w:rFonts w:ascii="Arial" w:hAnsi="Arial" w:cs="Arial"/>
          <w:bCs/>
          <w:color w:val="000000"/>
          <w:sz w:val="22"/>
          <w:szCs w:val="22"/>
          <w:lang w:val="es-PE"/>
        </w:rPr>
        <w:tab/>
        <w:t xml:space="preserve">Que, el artículo 3 de la Decisión </w:t>
      </w:r>
      <w:r w:rsidR="004A3901" w:rsidRPr="005914B6">
        <w:rPr>
          <w:rFonts w:ascii="Arial" w:hAnsi="Arial" w:cs="Arial"/>
          <w:bCs/>
          <w:color w:val="000000"/>
          <w:sz w:val="22"/>
          <w:szCs w:val="22"/>
          <w:lang w:val="es-PE"/>
        </w:rPr>
        <w:t>828</w:t>
      </w:r>
      <w:r w:rsidR="000F2A70" w:rsidRPr="005914B6">
        <w:rPr>
          <w:rFonts w:ascii="Arial" w:hAnsi="Arial" w:cs="Arial"/>
          <w:bCs/>
          <w:color w:val="000000"/>
          <w:sz w:val="22"/>
          <w:szCs w:val="22"/>
          <w:lang w:val="es-PE"/>
        </w:rPr>
        <w:t>,</w:t>
      </w:r>
      <w:r w:rsidR="004A3901" w:rsidRPr="005914B6">
        <w:rPr>
          <w:rFonts w:ascii="Arial" w:hAnsi="Arial" w:cs="Arial"/>
          <w:bCs/>
          <w:color w:val="000000"/>
          <w:sz w:val="22"/>
          <w:szCs w:val="22"/>
          <w:lang w:val="es-PE"/>
        </w:rPr>
        <w:t xml:space="preserve"> </w:t>
      </w:r>
      <w:r w:rsidRPr="005914B6">
        <w:rPr>
          <w:rFonts w:ascii="Arial" w:hAnsi="Arial" w:cs="Arial"/>
          <w:bCs/>
          <w:color w:val="000000"/>
          <w:sz w:val="22"/>
          <w:szCs w:val="22"/>
          <w:lang w:val="es-PE"/>
        </w:rPr>
        <w:t>establece que la Secretar</w:t>
      </w:r>
      <w:r w:rsidR="004A3901" w:rsidRPr="005914B6">
        <w:rPr>
          <w:rFonts w:ascii="Arial" w:hAnsi="Arial" w:cs="Arial"/>
          <w:bCs/>
          <w:color w:val="000000"/>
          <w:sz w:val="22"/>
          <w:szCs w:val="22"/>
          <w:lang w:val="es-PE"/>
        </w:rPr>
        <w:t>ía</w:t>
      </w:r>
      <w:r w:rsidRPr="005914B6">
        <w:rPr>
          <w:rFonts w:ascii="Arial" w:hAnsi="Arial" w:cs="Arial"/>
          <w:bCs/>
          <w:color w:val="000000"/>
          <w:sz w:val="22"/>
          <w:szCs w:val="22"/>
          <w:lang w:val="es-PE"/>
        </w:rPr>
        <w:t xml:space="preserve"> General</w:t>
      </w:r>
      <w:r w:rsidR="009D2C8B" w:rsidRPr="005914B6">
        <w:rPr>
          <w:rFonts w:ascii="Arial" w:hAnsi="Arial" w:cs="Arial"/>
          <w:bCs/>
          <w:color w:val="000000"/>
          <w:sz w:val="22"/>
          <w:szCs w:val="22"/>
          <w:lang w:val="es-PE"/>
        </w:rPr>
        <w:t xml:space="preserve"> de la Comunidad Andina</w:t>
      </w:r>
      <w:r w:rsidRPr="005914B6">
        <w:rPr>
          <w:rFonts w:ascii="Arial" w:hAnsi="Arial" w:cs="Arial"/>
          <w:bCs/>
          <w:color w:val="000000"/>
          <w:sz w:val="22"/>
          <w:szCs w:val="22"/>
          <w:lang w:val="es-PE"/>
        </w:rPr>
        <w:t xml:space="preserve">, previa opinión favorable del Comité Andino de Estadística, elaborará y aprobará mediante Resolución los Planes Operativos Anuales </w:t>
      </w:r>
      <w:r w:rsidR="009D2C8B" w:rsidRPr="005914B6">
        <w:rPr>
          <w:rFonts w:ascii="Arial" w:hAnsi="Arial" w:cs="Arial"/>
          <w:bCs/>
          <w:color w:val="000000"/>
          <w:sz w:val="22"/>
          <w:szCs w:val="22"/>
          <w:lang w:val="es-PE"/>
        </w:rPr>
        <w:t>(POA)</w:t>
      </w:r>
      <w:r w:rsidR="004A3901" w:rsidRPr="005914B6">
        <w:rPr>
          <w:rFonts w:ascii="Arial" w:hAnsi="Arial" w:cs="Arial"/>
          <w:bCs/>
          <w:color w:val="000000"/>
          <w:sz w:val="22"/>
          <w:szCs w:val="22"/>
          <w:lang w:val="es-PE"/>
        </w:rPr>
        <w:t>,</w:t>
      </w:r>
      <w:r w:rsidR="009D2C8B" w:rsidRPr="005914B6">
        <w:rPr>
          <w:rFonts w:ascii="Arial" w:hAnsi="Arial" w:cs="Arial"/>
          <w:bCs/>
          <w:color w:val="000000"/>
          <w:sz w:val="22"/>
          <w:szCs w:val="22"/>
          <w:lang w:val="es-PE"/>
        </w:rPr>
        <w:t xml:space="preserve"> </w:t>
      </w:r>
      <w:r w:rsidRPr="005914B6">
        <w:rPr>
          <w:rFonts w:ascii="Arial" w:hAnsi="Arial" w:cs="Arial"/>
          <w:bCs/>
          <w:color w:val="000000"/>
          <w:sz w:val="22"/>
          <w:szCs w:val="22"/>
          <w:lang w:val="es-PE"/>
        </w:rPr>
        <w:t>por medio de los cuales se implementarán las acciones previstas en la referida Decisión;</w:t>
      </w:r>
      <w:r w:rsidR="00784D56" w:rsidRPr="005914B6">
        <w:rPr>
          <w:rFonts w:ascii="Arial" w:hAnsi="Arial" w:cs="Arial"/>
          <w:bCs/>
          <w:color w:val="000000"/>
          <w:sz w:val="22"/>
          <w:szCs w:val="22"/>
          <w:lang w:val="es-PE"/>
        </w:rPr>
        <w:t xml:space="preserve"> y </w:t>
      </w:r>
      <w:r w:rsidR="00A2620D" w:rsidRPr="005914B6">
        <w:rPr>
          <w:rFonts w:ascii="Arial" w:hAnsi="Arial" w:cs="Arial"/>
          <w:bCs/>
          <w:color w:val="000000"/>
          <w:sz w:val="22"/>
          <w:szCs w:val="22"/>
          <w:lang w:val="es-PE"/>
        </w:rPr>
        <w:t>se establecerán</w:t>
      </w:r>
      <w:r w:rsidRPr="005914B6">
        <w:rPr>
          <w:rFonts w:ascii="Arial" w:hAnsi="Arial" w:cs="Arial"/>
          <w:bCs/>
          <w:color w:val="000000"/>
          <w:sz w:val="22"/>
          <w:szCs w:val="22"/>
          <w:lang w:val="es-PE"/>
        </w:rPr>
        <w:t xml:space="preserve"> los objetivos y resultados a alcanzar en cada año de ejecución del </w:t>
      </w:r>
      <w:r w:rsidR="00784D56" w:rsidRPr="005914B6">
        <w:rPr>
          <w:rFonts w:ascii="Arial" w:hAnsi="Arial" w:cs="Arial"/>
          <w:bCs/>
          <w:color w:val="000000"/>
          <w:sz w:val="22"/>
          <w:szCs w:val="22"/>
          <w:lang w:val="es-PE"/>
        </w:rPr>
        <w:t>p</w:t>
      </w:r>
      <w:r w:rsidRPr="005914B6">
        <w:rPr>
          <w:rFonts w:ascii="Arial" w:hAnsi="Arial" w:cs="Arial"/>
          <w:sz w:val="22"/>
          <w:szCs w:val="22"/>
          <w:lang w:val="es-PE"/>
        </w:rPr>
        <w:t>rograma</w:t>
      </w:r>
      <w:r w:rsidR="00784D56" w:rsidRPr="005914B6">
        <w:rPr>
          <w:rFonts w:ascii="Arial" w:hAnsi="Arial" w:cs="Arial"/>
          <w:sz w:val="22"/>
          <w:szCs w:val="22"/>
          <w:lang w:val="es-PE"/>
        </w:rPr>
        <w:t>;</w:t>
      </w:r>
      <w:r w:rsidRPr="005914B6">
        <w:rPr>
          <w:rFonts w:ascii="Arial" w:hAnsi="Arial" w:cs="Arial"/>
          <w:bCs/>
          <w:color w:val="000000"/>
          <w:sz w:val="22"/>
          <w:szCs w:val="22"/>
          <w:lang w:val="es-PE"/>
        </w:rPr>
        <w:t xml:space="preserve"> </w:t>
      </w:r>
    </w:p>
    <w:p w14:paraId="71BB8503" w14:textId="77777777" w:rsidR="00006EF4" w:rsidRPr="005914B6" w:rsidRDefault="00006EF4" w:rsidP="00006EF4">
      <w:pPr>
        <w:pStyle w:val="Ttulo"/>
        <w:tabs>
          <w:tab w:val="left" w:pos="426"/>
          <w:tab w:val="left" w:pos="9072"/>
        </w:tabs>
        <w:ind w:right="-1"/>
        <w:jc w:val="both"/>
        <w:rPr>
          <w:rFonts w:ascii="Arial" w:hAnsi="Arial" w:cs="Arial"/>
          <w:sz w:val="22"/>
          <w:szCs w:val="22"/>
          <w:lang w:val="es-PE"/>
        </w:rPr>
      </w:pPr>
    </w:p>
    <w:p w14:paraId="71BB8504" w14:textId="085E2B66" w:rsidR="00006EF4" w:rsidRPr="005914B6" w:rsidRDefault="00006EF4" w:rsidP="00006EF4">
      <w:pPr>
        <w:pStyle w:val="Ttulo"/>
        <w:tabs>
          <w:tab w:val="left" w:pos="426"/>
          <w:tab w:val="left" w:pos="9072"/>
        </w:tabs>
        <w:ind w:right="-1"/>
        <w:jc w:val="both"/>
        <w:rPr>
          <w:rFonts w:ascii="Arial" w:hAnsi="Arial" w:cs="Arial"/>
          <w:sz w:val="22"/>
          <w:szCs w:val="22"/>
          <w:lang w:val="es-PE"/>
        </w:rPr>
      </w:pPr>
      <w:r w:rsidRPr="005914B6">
        <w:rPr>
          <w:rFonts w:ascii="Arial" w:hAnsi="Arial" w:cs="Arial"/>
          <w:sz w:val="22"/>
          <w:szCs w:val="22"/>
          <w:lang w:val="es-PE"/>
        </w:rPr>
        <w:tab/>
        <w:t xml:space="preserve">Que, el artículo 4 de la </w:t>
      </w:r>
      <w:r w:rsidR="00F86937" w:rsidRPr="005914B6">
        <w:rPr>
          <w:rFonts w:ascii="Arial" w:hAnsi="Arial" w:cs="Arial"/>
          <w:sz w:val="22"/>
          <w:szCs w:val="22"/>
          <w:lang w:val="es-PE"/>
        </w:rPr>
        <w:t>misma norma comunitaria</w:t>
      </w:r>
      <w:r w:rsidRPr="005914B6">
        <w:rPr>
          <w:rFonts w:ascii="Arial" w:hAnsi="Arial" w:cs="Arial"/>
          <w:sz w:val="22"/>
          <w:szCs w:val="22"/>
          <w:lang w:val="es-PE"/>
        </w:rPr>
        <w:t xml:space="preserve"> señala que para el empleo de los recursos del “Fondo de Contraparte: PEC 2018-2022” creado para la ejecución del P</w:t>
      </w:r>
      <w:r w:rsidR="00784D56" w:rsidRPr="005914B6">
        <w:rPr>
          <w:rFonts w:ascii="Arial" w:hAnsi="Arial" w:cs="Arial"/>
          <w:sz w:val="22"/>
          <w:szCs w:val="22"/>
          <w:lang w:val="es-PE"/>
        </w:rPr>
        <w:t>EC</w:t>
      </w:r>
      <w:r w:rsidRPr="005914B6">
        <w:rPr>
          <w:rFonts w:ascii="Arial" w:hAnsi="Arial" w:cs="Arial"/>
          <w:sz w:val="22"/>
          <w:szCs w:val="22"/>
          <w:lang w:val="es-PE"/>
        </w:rPr>
        <w:t xml:space="preserve"> 2018-2022, la Secretaría General elaborará y adoptará una programación </w:t>
      </w:r>
      <w:r w:rsidR="00784D56" w:rsidRPr="005914B6">
        <w:rPr>
          <w:rFonts w:ascii="Arial" w:hAnsi="Arial" w:cs="Arial"/>
          <w:sz w:val="22"/>
          <w:szCs w:val="22"/>
          <w:lang w:val="es-PE"/>
        </w:rPr>
        <w:t xml:space="preserve">anual </w:t>
      </w:r>
      <w:r w:rsidRPr="005914B6">
        <w:rPr>
          <w:rFonts w:ascii="Arial" w:hAnsi="Arial" w:cs="Arial"/>
          <w:sz w:val="22"/>
          <w:szCs w:val="22"/>
          <w:lang w:val="es-PE"/>
        </w:rPr>
        <w:t xml:space="preserve">de gastos que acompañará los Planes Operativos Anuales, previa opinión favorable del Comité Andino de Estadística; </w:t>
      </w:r>
    </w:p>
    <w:p w14:paraId="71BB8505" w14:textId="77777777" w:rsidR="00006EF4" w:rsidRPr="005914B6" w:rsidRDefault="00006EF4" w:rsidP="00006EF4">
      <w:pPr>
        <w:pStyle w:val="Ttulo"/>
        <w:tabs>
          <w:tab w:val="left" w:pos="426"/>
          <w:tab w:val="left" w:pos="9072"/>
        </w:tabs>
        <w:ind w:right="-1"/>
        <w:jc w:val="both"/>
        <w:rPr>
          <w:rFonts w:ascii="Arial" w:hAnsi="Arial" w:cs="Arial"/>
          <w:sz w:val="22"/>
          <w:szCs w:val="22"/>
          <w:lang w:val="es-PE"/>
        </w:rPr>
      </w:pPr>
    </w:p>
    <w:p w14:paraId="71BB8506" w14:textId="77777777" w:rsidR="00006EF4" w:rsidRPr="005914B6" w:rsidRDefault="00006EF4" w:rsidP="00006EF4">
      <w:pPr>
        <w:pStyle w:val="Ttulo"/>
        <w:tabs>
          <w:tab w:val="left" w:pos="426"/>
          <w:tab w:val="left" w:pos="9072"/>
        </w:tabs>
        <w:ind w:right="-1"/>
        <w:jc w:val="both"/>
        <w:rPr>
          <w:rFonts w:ascii="Arial" w:hAnsi="Arial" w:cs="Arial"/>
          <w:bCs/>
          <w:color w:val="000000"/>
          <w:sz w:val="22"/>
          <w:szCs w:val="22"/>
          <w:lang w:val="es-PE"/>
        </w:rPr>
      </w:pPr>
      <w:r w:rsidRPr="005914B6">
        <w:rPr>
          <w:rFonts w:ascii="Arial" w:hAnsi="Arial" w:cs="Arial"/>
          <w:bCs/>
          <w:color w:val="000000"/>
          <w:sz w:val="22"/>
          <w:szCs w:val="22"/>
          <w:lang w:val="es-PE"/>
        </w:rPr>
        <w:tab/>
        <w:t>Que, el artículo 6 de la Decisión 828 establece</w:t>
      </w:r>
      <w:r w:rsidR="009D2C8B" w:rsidRPr="005914B6">
        <w:rPr>
          <w:rFonts w:ascii="Arial" w:hAnsi="Arial" w:cs="Arial"/>
          <w:bCs/>
          <w:color w:val="000000"/>
          <w:sz w:val="22"/>
          <w:szCs w:val="22"/>
          <w:lang w:val="es-PE"/>
        </w:rPr>
        <w:t>,</w:t>
      </w:r>
      <w:r w:rsidRPr="005914B6">
        <w:rPr>
          <w:rFonts w:ascii="Arial" w:hAnsi="Arial" w:cs="Arial"/>
          <w:bCs/>
          <w:color w:val="000000"/>
          <w:sz w:val="22"/>
          <w:szCs w:val="22"/>
          <w:lang w:val="es-PE"/>
        </w:rPr>
        <w:t xml:space="preserve"> además</w:t>
      </w:r>
      <w:r w:rsidR="009D2C8B" w:rsidRPr="005914B6">
        <w:rPr>
          <w:rFonts w:ascii="Arial" w:hAnsi="Arial" w:cs="Arial"/>
          <w:bCs/>
          <w:color w:val="000000"/>
          <w:sz w:val="22"/>
          <w:szCs w:val="22"/>
          <w:lang w:val="es-PE"/>
        </w:rPr>
        <w:t>,</w:t>
      </w:r>
      <w:r w:rsidRPr="005914B6">
        <w:rPr>
          <w:rFonts w:ascii="Arial" w:hAnsi="Arial" w:cs="Arial"/>
          <w:bCs/>
          <w:color w:val="000000"/>
          <w:sz w:val="22"/>
          <w:szCs w:val="22"/>
          <w:lang w:val="es-PE"/>
        </w:rPr>
        <w:t xml:space="preserve"> que los Planes Operativos Anuales podrán modificarse, previa opinión favorable del Comité Andino de Estadística, mediante Resolución de la Secretaría General;</w:t>
      </w:r>
    </w:p>
    <w:p w14:paraId="71BB8507" w14:textId="77777777" w:rsidR="007D38C8" w:rsidRPr="005914B6" w:rsidRDefault="007D38C8" w:rsidP="00006EF4">
      <w:pPr>
        <w:pStyle w:val="Ttulo"/>
        <w:tabs>
          <w:tab w:val="left" w:pos="426"/>
          <w:tab w:val="left" w:pos="9072"/>
        </w:tabs>
        <w:ind w:right="-1"/>
        <w:jc w:val="both"/>
        <w:rPr>
          <w:rFonts w:ascii="Arial" w:hAnsi="Arial" w:cs="Arial"/>
          <w:bCs/>
          <w:color w:val="000000"/>
          <w:sz w:val="22"/>
          <w:szCs w:val="22"/>
          <w:lang w:val="es-PE"/>
        </w:rPr>
      </w:pPr>
    </w:p>
    <w:p w14:paraId="68D17BE2" w14:textId="2582D7EF" w:rsidR="005823AF" w:rsidRPr="005914B6" w:rsidRDefault="00006EF4" w:rsidP="00211130">
      <w:pPr>
        <w:tabs>
          <w:tab w:val="left" w:pos="426"/>
          <w:tab w:val="left" w:pos="9072"/>
        </w:tabs>
        <w:spacing w:after="0" w:line="240" w:lineRule="auto"/>
        <w:ind w:right="-1"/>
        <w:jc w:val="both"/>
        <w:rPr>
          <w:rFonts w:ascii="Arial" w:hAnsi="Arial" w:cs="Arial"/>
          <w:iCs/>
        </w:rPr>
      </w:pPr>
      <w:r w:rsidRPr="005914B6">
        <w:rPr>
          <w:rFonts w:ascii="Arial" w:hAnsi="Arial" w:cs="Arial"/>
          <w:iCs/>
        </w:rPr>
        <w:tab/>
      </w:r>
      <w:r w:rsidR="005823AF" w:rsidRPr="005914B6">
        <w:rPr>
          <w:rFonts w:ascii="Arial" w:hAnsi="Arial" w:cs="Arial"/>
          <w:iCs/>
        </w:rPr>
        <w:t>Que, mediante Resolución 2344 se adoptó el Plan Operativo Anual (POA) 2023 del Programa Estadístico Comunitario 2018-2022;</w:t>
      </w:r>
    </w:p>
    <w:p w14:paraId="588F7F2E" w14:textId="77777777" w:rsidR="005823AF" w:rsidRPr="005914B6" w:rsidRDefault="005823AF" w:rsidP="00A115B9">
      <w:pPr>
        <w:tabs>
          <w:tab w:val="left" w:pos="426"/>
          <w:tab w:val="left" w:pos="9072"/>
        </w:tabs>
        <w:spacing w:after="0" w:line="240" w:lineRule="auto"/>
        <w:ind w:right="-1"/>
        <w:jc w:val="both"/>
        <w:rPr>
          <w:rFonts w:ascii="Arial" w:hAnsi="Arial" w:cs="Arial"/>
          <w:iCs/>
        </w:rPr>
      </w:pPr>
    </w:p>
    <w:p w14:paraId="762A0EE3" w14:textId="2F5A55FF" w:rsidR="00A115B9" w:rsidRPr="005914B6" w:rsidRDefault="00A115B9" w:rsidP="00A115B9">
      <w:pPr>
        <w:tabs>
          <w:tab w:val="left" w:pos="426"/>
          <w:tab w:val="left" w:pos="9072"/>
        </w:tabs>
        <w:spacing w:after="0" w:line="240" w:lineRule="auto"/>
        <w:ind w:right="-1"/>
        <w:jc w:val="both"/>
        <w:rPr>
          <w:rFonts w:ascii="Arial" w:hAnsi="Arial" w:cs="Arial"/>
        </w:rPr>
      </w:pPr>
      <w:r w:rsidRPr="005914B6">
        <w:rPr>
          <w:rFonts w:ascii="Arial" w:hAnsi="Arial" w:cs="Arial"/>
          <w:iCs/>
        </w:rPr>
        <w:tab/>
        <w:t>Que, el Comité Andino de Estadística, en su X</w:t>
      </w:r>
      <w:r w:rsidR="00C5375A" w:rsidRPr="005914B6">
        <w:rPr>
          <w:rFonts w:ascii="Arial" w:hAnsi="Arial" w:cs="Arial"/>
          <w:iCs/>
        </w:rPr>
        <w:t>V</w:t>
      </w:r>
      <w:r w:rsidRPr="005914B6">
        <w:rPr>
          <w:rFonts w:ascii="Arial" w:hAnsi="Arial" w:cs="Arial"/>
          <w:iCs/>
        </w:rPr>
        <w:t>L</w:t>
      </w:r>
      <w:r w:rsidR="00BF1305" w:rsidRPr="005914B6">
        <w:rPr>
          <w:rFonts w:ascii="Arial" w:hAnsi="Arial" w:cs="Arial"/>
          <w:iCs/>
        </w:rPr>
        <w:t>I</w:t>
      </w:r>
      <w:r w:rsidRPr="005914B6">
        <w:rPr>
          <w:rFonts w:ascii="Arial" w:hAnsi="Arial" w:cs="Arial"/>
          <w:iCs/>
        </w:rPr>
        <w:t xml:space="preserve"> Reunión Ordinaria del </w:t>
      </w:r>
      <w:r w:rsidR="00BF1305" w:rsidRPr="005914B6">
        <w:rPr>
          <w:rFonts w:ascii="Arial" w:hAnsi="Arial" w:cs="Arial"/>
          <w:iCs/>
        </w:rPr>
        <w:t>17</w:t>
      </w:r>
      <w:r w:rsidRPr="005914B6">
        <w:rPr>
          <w:rFonts w:ascii="Arial" w:hAnsi="Arial" w:cs="Arial"/>
          <w:iCs/>
        </w:rPr>
        <w:t xml:space="preserve"> de </w:t>
      </w:r>
      <w:r w:rsidR="00BF1305" w:rsidRPr="005914B6">
        <w:rPr>
          <w:rFonts w:ascii="Arial" w:hAnsi="Arial" w:cs="Arial"/>
          <w:iCs/>
        </w:rPr>
        <w:t>enero</w:t>
      </w:r>
      <w:r w:rsidRPr="005914B6">
        <w:rPr>
          <w:rFonts w:ascii="Arial" w:hAnsi="Arial" w:cs="Arial"/>
          <w:iCs/>
        </w:rPr>
        <w:t xml:space="preserve"> de 202</w:t>
      </w:r>
      <w:r w:rsidR="00BF1305" w:rsidRPr="005914B6">
        <w:rPr>
          <w:rFonts w:ascii="Arial" w:hAnsi="Arial" w:cs="Arial"/>
          <w:iCs/>
        </w:rPr>
        <w:t>4</w:t>
      </w:r>
      <w:r w:rsidRPr="005914B6">
        <w:rPr>
          <w:rFonts w:ascii="Arial" w:hAnsi="Arial" w:cs="Arial"/>
          <w:iCs/>
        </w:rPr>
        <w:t xml:space="preserve">, emitió opinión favorable </w:t>
      </w:r>
      <w:r w:rsidR="00784D56" w:rsidRPr="005914B6">
        <w:rPr>
          <w:rFonts w:ascii="Arial" w:hAnsi="Arial" w:cs="Arial"/>
          <w:iCs/>
        </w:rPr>
        <w:t xml:space="preserve">sobre </w:t>
      </w:r>
      <w:r w:rsidRPr="005914B6">
        <w:rPr>
          <w:rFonts w:ascii="Arial" w:hAnsi="Arial" w:cs="Arial"/>
          <w:iCs/>
        </w:rPr>
        <w:t xml:space="preserve">la propuesta del </w:t>
      </w:r>
      <w:r w:rsidRPr="005914B6">
        <w:rPr>
          <w:rFonts w:ascii="Arial" w:hAnsi="Arial" w:cs="Arial"/>
          <w:bCs/>
        </w:rPr>
        <w:t>Plan Operativo Anual para la gestión 202</w:t>
      </w:r>
      <w:r w:rsidR="00BF1305" w:rsidRPr="005914B6">
        <w:rPr>
          <w:rFonts w:ascii="Arial" w:hAnsi="Arial" w:cs="Arial"/>
          <w:bCs/>
        </w:rPr>
        <w:t>4</w:t>
      </w:r>
      <w:r w:rsidRPr="005914B6">
        <w:rPr>
          <w:rFonts w:ascii="Arial" w:hAnsi="Arial" w:cs="Arial"/>
          <w:bCs/>
        </w:rPr>
        <w:t>,</w:t>
      </w:r>
      <w:r w:rsidRPr="005914B6">
        <w:rPr>
          <w:rFonts w:ascii="Arial" w:hAnsi="Arial" w:cs="Arial"/>
        </w:rPr>
        <w:t xml:space="preserve"> así como </w:t>
      </w:r>
      <w:r w:rsidR="00784D56" w:rsidRPr="005914B6">
        <w:rPr>
          <w:rFonts w:ascii="Arial" w:hAnsi="Arial" w:cs="Arial"/>
        </w:rPr>
        <w:t xml:space="preserve">respecto </w:t>
      </w:r>
      <w:r w:rsidRPr="005914B6">
        <w:rPr>
          <w:rFonts w:ascii="Arial" w:hAnsi="Arial" w:cs="Arial"/>
        </w:rPr>
        <w:t>a su respectiva programación de gastos</w:t>
      </w:r>
      <w:r w:rsidR="00784D56" w:rsidRPr="005914B6">
        <w:rPr>
          <w:rFonts w:ascii="Arial" w:hAnsi="Arial" w:cs="Arial"/>
        </w:rPr>
        <w:t>;</w:t>
      </w:r>
    </w:p>
    <w:p w14:paraId="7205AEA9" w14:textId="77777777" w:rsidR="00784D56" w:rsidRPr="005914B6" w:rsidRDefault="00784D56" w:rsidP="00A115B9">
      <w:pPr>
        <w:tabs>
          <w:tab w:val="left" w:pos="426"/>
          <w:tab w:val="left" w:pos="9072"/>
        </w:tabs>
        <w:spacing w:after="0" w:line="240" w:lineRule="auto"/>
        <w:ind w:right="-1"/>
        <w:jc w:val="both"/>
        <w:rPr>
          <w:rFonts w:ascii="Arial" w:hAnsi="Arial" w:cs="Arial"/>
        </w:rPr>
      </w:pPr>
    </w:p>
    <w:p w14:paraId="34C11320" w14:textId="145C58E5" w:rsidR="00784D56" w:rsidRPr="005914B6" w:rsidRDefault="00784D56" w:rsidP="00A115B9">
      <w:pPr>
        <w:tabs>
          <w:tab w:val="left" w:pos="426"/>
          <w:tab w:val="left" w:pos="9072"/>
        </w:tabs>
        <w:spacing w:after="0" w:line="240" w:lineRule="auto"/>
        <w:ind w:right="-1"/>
        <w:jc w:val="both"/>
        <w:rPr>
          <w:rFonts w:ascii="Arial" w:hAnsi="Arial" w:cs="Arial"/>
        </w:rPr>
      </w:pPr>
      <w:r w:rsidRPr="005914B6">
        <w:rPr>
          <w:rFonts w:ascii="Arial" w:hAnsi="Arial" w:cs="Arial"/>
        </w:rPr>
        <w:tab/>
        <w:t>Que, tomando en consideración lo antes señalado;</w:t>
      </w:r>
    </w:p>
    <w:p w14:paraId="71BB8510" w14:textId="77777777" w:rsidR="002307AF" w:rsidRPr="005914B6" w:rsidRDefault="002307AF" w:rsidP="007055B9">
      <w:pPr>
        <w:tabs>
          <w:tab w:val="left" w:pos="426"/>
          <w:tab w:val="left" w:pos="9072"/>
        </w:tabs>
        <w:spacing w:after="0" w:line="240" w:lineRule="auto"/>
        <w:ind w:right="-1"/>
        <w:jc w:val="center"/>
        <w:rPr>
          <w:rFonts w:ascii="Arial" w:hAnsi="Arial" w:cs="Arial"/>
          <w:b/>
        </w:rPr>
      </w:pPr>
      <w:r w:rsidRPr="005914B6">
        <w:rPr>
          <w:rFonts w:ascii="Arial" w:hAnsi="Arial" w:cs="Arial"/>
          <w:b/>
        </w:rPr>
        <w:lastRenderedPageBreak/>
        <w:t>RESUELVE:</w:t>
      </w:r>
    </w:p>
    <w:p w14:paraId="71BB8511" w14:textId="77777777" w:rsidR="00F90B49" w:rsidRPr="005914B6" w:rsidRDefault="00F90B49" w:rsidP="007055B9">
      <w:pPr>
        <w:tabs>
          <w:tab w:val="left" w:pos="426"/>
          <w:tab w:val="left" w:pos="9072"/>
        </w:tabs>
        <w:spacing w:after="0" w:line="240" w:lineRule="auto"/>
        <w:ind w:right="-1"/>
        <w:jc w:val="center"/>
        <w:rPr>
          <w:rFonts w:ascii="Arial" w:hAnsi="Arial" w:cs="Arial"/>
          <w:b/>
        </w:rPr>
      </w:pPr>
    </w:p>
    <w:p w14:paraId="71BB8512" w14:textId="02D94BEF" w:rsidR="002307AF" w:rsidRPr="005914B6" w:rsidRDefault="002307AF" w:rsidP="007055B9">
      <w:pPr>
        <w:tabs>
          <w:tab w:val="left" w:pos="426"/>
          <w:tab w:val="left" w:pos="6521"/>
          <w:tab w:val="left" w:pos="9072"/>
        </w:tabs>
        <w:spacing w:after="0" w:line="240" w:lineRule="auto"/>
        <w:ind w:right="-1"/>
        <w:jc w:val="both"/>
        <w:rPr>
          <w:rFonts w:ascii="Arial" w:hAnsi="Arial" w:cs="Arial"/>
        </w:rPr>
      </w:pPr>
      <w:r w:rsidRPr="005914B6">
        <w:rPr>
          <w:rFonts w:ascii="Arial" w:hAnsi="Arial" w:cs="Arial"/>
          <w:b/>
        </w:rPr>
        <w:tab/>
        <w:t xml:space="preserve">Artículo 1.- </w:t>
      </w:r>
      <w:r w:rsidRPr="005914B6">
        <w:rPr>
          <w:rFonts w:ascii="Arial" w:hAnsi="Arial" w:cs="Arial"/>
        </w:rPr>
        <w:t>Adoptar e</w:t>
      </w:r>
      <w:r w:rsidR="009C1679" w:rsidRPr="005914B6">
        <w:rPr>
          <w:rFonts w:ascii="Arial" w:hAnsi="Arial" w:cs="Arial"/>
        </w:rPr>
        <w:t>l Plan Operativo Anual (POA) 202</w:t>
      </w:r>
      <w:r w:rsidR="00BF1305" w:rsidRPr="005914B6">
        <w:rPr>
          <w:rFonts w:ascii="Arial" w:hAnsi="Arial" w:cs="Arial"/>
        </w:rPr>
        <w:t>4</w:t>
      </w:r>
      <w:r w:rsidRPr="005914B6">
        <w:rPr>
          <w:rFonts w:ascii="Arial" w:hAnsi="Arial" w:cs="Arial"/>
        </w:rPr>
        <w:t xml:space="preserve"> que figura en el Anexo I de la presente Resolución. </w:t>
      </w:r>
    </w:p>
    <w:p w14:paraId="0DB73786" w14:textId="77777777" w:rsidR="009D1149" w:rsidRDefault="009D1149" w:rsidP="007055B9">
      <w:pPr>
        <w:tabs>
          <w:tab w:val="left" w:pos="426"/>
          <w:tab w:val="left" w:pos="6521"/>
          <w:tab w:val="left" w:pos="9072"/>
        </w:tabs>
        <w:spacing w:after="0" w:line="240" w:lineRule="auto"/>
        <w:ind w:right="-1"/>
        <w:jc w:val="both"/>
        <w:rPr>
          <w:rFonts w:ascii="Arial" w:hAnsi="Arial" w:cs="Arial"/>
          <w:b/>
        </w:rPr>
      </w:pPr>
    </w:p>
    <w:p w14:paraId="71BB8514" w14:textId="627716EC" w:rsidR="002307AF" w:rsidRPr="005914B6" w:rsidRDefault="002307AF" w:rsidP="007055B9">
      <w:pPr>
        <w:tabs>
          <w:tab w:val="left" w:pos="426"/>
          <w:tab w:val="left" w:pos="6521"/>
          <w:tab w:val="left" w:pos="9072"/>
        </w:tabs>
        <w:spacing w:after="0" w:line="240" w:lineRule="auto"/>
        <w:ind w:right="-1"/>
        <w:jc w:val="both"/>
        <w:rPr>
          <w:rFonts w:ascii="Arial" w:hAnsi="Arial" w:cs="Arial"/>
        </w:rPr>
      </w:pPr>
      <w:r w:rsidRPr="005914B6">
        <w:rPr>
          <w:rFonts w:ascii="Arial" w:hAnsi="Arial" w:cs="Arial"/>
          <w:b/>
        </w:rPr>
        <w:tab/>
        <w:t>Artículo 2.-</w:t>
      </w:r>
      <w:r w:rsidR="009C1679" w:rsidRPr="005914B6">
        <w:rPr>
          <w:rFonts w:ascii="Arial" w:hAnsi="Arial" w:cs="Arial"/>
        </w:rPr>
        <w:t xml:space="preserve"> El POA 202</w:t>
      </w:r>
      <w:r w:rsidR="00BF1305" w:rsidRPr="005914B6">
        <w:rPr>
          <w:rFonts w:ascii="Arial" w:hAnsi="Arial" w:cs="Arial"/>
        </w:rPr>
        <w:t>4</w:t>
      </w:r>
      <w:r w:rsidRPr="005914B6">
        <w:rPr>
          <w:rFonts w:ascii="Arial" w:hAnsi="Arial" w:cs="Arial"/>
        </w:rPr>
        <w:t xml:space="preserve"> se aplicará desde la </w:t>
      </w:r>
      <w:r w:rsidR="000F151D" w:rsidRPr="005914B6">
        <w:rPr>
          <w:rFonts w:ascii="Arial" w:hAnsi="Arial" w:cs="Arial"/>
        </w:rPr>
        <w:t>entrada en vigor</w:t>
      </w:r>
      <w:r w:rsidRPr="005914B6">
        <w:rPr>
          <w:rFonts w:ascii="Arial" w:hAnsi="Arial" w:cs="Arial"/>
        </w:rPr>
        <w:t xml:space="preserve"> de la presente Resolución</w:t>
      </w:r>
      <w:r w:rsidR="00784D56" w:rsidRPr="005914B6">
        <w:rPr>
          <w:rFonts w:ascii="Arial" w:hAnsi="Arial" w:cs="Arial"/>
        </w:rPr>
        <w:t>,</w:t>
      </w:r>
      <w:r w:rsidRPr="005914B6">
        <w:rPr>
          <w:rFonts w:ascii="Arial" w:hAnsi="Arial" w:cs="Arial"/>
        </w:rPr>
        <w:t xml:space="preserve"> </w:t>
      </w:r>
      <w:r w:rsidR="009C1679" w:rsidRPr="005914B6">
        <w:rPr>
          <w:rFonts w:ascii="Arial" w:hAnsi="Arial" w:cs="Arial"/>
        </w:rPr>
        <w:t xml:space="preserve">hasta el </w:t>
      </w:r>
      <w:r w:rsidR="00780311" w:rsidRPr="005914B6">
        <w:rPr>
          <w:rFonts w:ascii="Arial" w:hAnsi="Arial" w:cs="Arial"/>
        </w:rPr>
        <w:t>1</w:t>
      </w:r>
      <w:r w:rsidR="00BF1305" w:rsidRPr="005914B6">
        <w:rPr>
          <w:rFonts w:ascii="Arial" w:hAnsi="Arial" w:cs="Arial"/>
        </w:rPr>
        <w:t>7</w:t>
      </w:r>
      <w:r w:rsidR="00780311" w:rsidRPr="005914B6">
        <w:rPr>
          <w:rFonts w:ascii="Arial" w:hAnsi="Arial" w:cs="Arial"/>
        </w:rPr>
        <w:t xml:space="preserve"> </w:t>
      </w:r>
      <w:r w:rsidR="009C1679" w:rsidRPr="005914B6">
        <w:rPr>
          <w:rFonts w:ascii="Arial" w:hAnsi="Arial" w:cs="Arial"/>
        </w:rPr>
        <w:t xml:space="preserve">de </w:t>
      </w:r>
      <w:r w:rsidR="00425D81" w:rsidRPr="005914B6">
        <w:rPr>
          <w:rFonts w:ascii="Arial" w:hAnsi="Arial" w:cs="Arial"/>
        </w:rPr>
        <w:t>diciembre</w:t>
      </w:r>
      <w:r w:rsidR="009C1679" w:rsidRPr="005914B6">
        <w:rPr>
          <w:rFonts w:ascii="Arial" w:hAnsi="Arial" w:cs="Arial"/>
        </w:rPr>
        <w:t xml:space="preserve"> de 202</w:t>
      </w:r>
      <w:r w:rsidR="00BF1305" w:rsidRPr="005914B6">
        <w:rPr>
          <w:rFonts w:ascii="Arial" w:hAnsi="Arial" w:cs="Arial"/>
        </w:rPr>
        <w:t>4</w:t>
      </w:r>
      <w:r w:rsidRPr="005914B6">
        <w:rPr>
          <w:rFonts w:ascii="Arial" w:hAnsi="Arial" w:cs="Arial"/>
        </w:rPr>
        <w:t>.</w:t>
      </w:r>
    </w:p>
    <w:p w14:paraId="71BB8515" w14:textId="77777777" w:rsidR="002307AF" w:rsidRPr="005914B6" w:rsidRDefault="002307AF" w:rsidP="007055B9">
      <w:pPr>
        <w:tabs>
          <w:tab w:val="left" w:pos="426"/>
          <w:tab w:val="left" w:pos="6521"/>
          <w:tab w:val="left" w:pos="9072"/>
        </w:tabs>
        <w:spacing w:after="0" w:line="240" w:lineRule="auto"/>
        <w:ind w:right="-1"/>
        <w:jc w:val="both"/>
        <w:rPr>
          <w:rFonts w:ascii="Arial" w:hAnsi="Arial" w:cs="Arial"/>
        </w:rPr>
      </w:pPr>
    </w:p>
    <w:p w14:paraId="71BB8516" w14:textId="563FA855" w:rsidR="002307AF" w:rsidRPr="005914B6" w:rsidRDefault="002307AF" w:rsidP="007055B9">
      <w:pPr>
        <w:tabs>
          <w:tab w:val="left" w:pos="426"/>
          <w:tab w:val="left" w:pos="6521"/>
          <w:tab w:val="left" w:pos="9072"/>
        </w:tabs>
        <w:spacing w:after="0" w:line="240" w:lineRule="auto"/>
        <w:ind w:right="-1"/>
        <w:jc w:val="both"/>
        <w:rPr>
          <w:rFonts w:ascii="Arial" w:hAnsi="Arial" w:cs="Arial"/>
        </w:rPr>
      </w:pPr>
      <w:r w:rsidRPr="005914B6">
        <w:rPr>
          <w:rFonts w:ascii="Arial" w:hAnsi="Arial" w:cs="Arial"/>
          <w:b/>
        </w:rPr>
        <w:tab/>
        <w:t>Artículo 3.-</w:t>
      </w:r>
      <w:r w:rsidRPr="005914B6">
        <w:rPr>
          <w:rFonts w:ascii="Arial" w:hAnsi="Arial" w:cs="Arial"/>
        </w:rPr>
        <w:t xml:space="preserve"> Adoptar la programac</w:t>
      </w:r>
      <w:r w:rsidR="009C1679" w:rsidRPr="005914B6">
        <w:rPr>
          <w:rFonts w:ascii="Arial" w:hAnsi="Arial" w:cs="Arial"/>
        </w:rPr>
        <w:t>ión de gastos anual del POA 202</w:t>
      </w:r>
      <w:r w:rsidR="00BF1305" w:rsidRPr="005914B6">
        <w:rPr>
          <w:rFonts w:ascii="Arial" w:hAnsi="Arial" w:cs="Arial"/>
        </w:rPr>
        <w:t>4</w:t>
      </w:r>
      <w:r w:rsidRPr="005914B6">
        <w:rPr>
          <w:rFonts w:ascii="Arial" w:hAnsi="Arial" w:cs="Arial"/>
        </w:rPr>
        <w:t xml:space="preserve"> que figura en el Anexo I</w:t>
      </w:r>
      <w:r w:rsidR="000F10C1" w:rsidRPr="005914B6">
        <w:rPr>
          <w:rFonts w:ascii="Arial" w:hAnsi="Arial" w:cs="Arial"/>
        </w:rPr>
        <w:t>I</w:t>
      </w:r>
      <w:r w:rsidRPr="005914B6">
        <w:rPr>
          <w:rFonts w:ascii="Arial" w:hAnsi="Arial" w:cs="Arial"/>
        </w:rPr>
        <w:t xml:space="preserve"> de la presente Resolución, para la ejecución de los recursos del “Fondo de Contraparte: PEC 2018-2022 </w:t>
      </w:r>
      <w:r w:rsidR="006A4A37" w:rsidRPr="005914B6">
        <w:rPr>
          <w:rFonts w:ascii="Arial" w:hAnsi="Arial" w:cs="Arial"/>
        </w:rPr>
        <w:t>extendido hasta 2025”</w:t>
      </w:r>
      <w:r w:rsidR="00A534E9" w:rsidRPr="005914B6">
        <w:rPr>
          <w:rFonts w:ascii="Arial" w:hAnsi="Arial" w:cs="Arial"/>
        </w:rPr>
        <w:t xml:space="preserve">, creado </w:t>
      </w:r>
      <w:r w:rsidRPr="005914B6">
        <w:rPr>
          <w:rFonts w:ascii="Arial" w:hAnsi="Arial" w:cs="Arial"/>
        </w:rPr>
        <w:t>para tal fin.</w:t>
      </w:r>
    </w:p>
    <w:p w14:paraId="71BB8517" w14:textId="77777777" w:rsidR="002303E0" w:rsidRPr="005914B6" w:rsidRDefault="002303E0" w:rsidP="007055B9">
      <w:pPr>
        <w:tabs>
          <w:tab w:val="left" w:pos="426"/>
          <w:tab w:val="left" w:pos="6521"/>
          <w:tab w:val="left" w:pos="9072"/>
        </w:tabs>
        <w:spacing w:after="0" w:line="240" w:lineRule="auto"/>
        <w:ind w:right="-1"/>
        <w:jc w:val="both"/>
        <w:rPr>
          <w:rFonts w:ascii="Arial" w:hAnsi="Arial" w:cs="Arial"/>
          <w:b/>
        </w:rPr>
      </w:pPr>
    </w:p>
    <w:p w14:paraId="71BB8518" w14:textId="27D44845"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r w:rsidRPr="005914B6">
        <w:rPr>
          <w:rFonts w:ascii="Arial" w:hAnsi="Arial" w:cs="Arial"/>
          <w:b/>
        </w:rPr>
        <w:tab/>
        <w:t>Artículo 4.-</w:t>
      </w:r>
      <w:r w:rsidRPr="005914B6">
        <w:rPr>
          <w:rFonts w:ascii="Arial" w:hAnsi="Arial" w:cs="Arial"/>
        </w:rPr>
        <w:t xml:space="preserve"> Los Países Miembros facilitarán la participación de los funcionarios gubernamentales </w:t>
      </w:r>
      <w:r w:rsidR="00A534E9" w:rsidRPr="005914B6">
        <w:rPr>
          <w:rFonts w:ascii="Arial" w:hAnsi="Arial" w:cs="Arial"/>
        </w:rPr>
        <w:t xml:space="preserve">correspondientes, </w:t>
      </w:r>
      <w:r w:rsidRPr="005914B6">
        <w:rPr>
          <w:rFonts w:ascii="Arial" w:hAnsi="Arial" w:cs="Arial"/>
        </w:rPr>
        <w:t>para la realización de las acti</w:t>
      </w:r>
      <w:r w:rsidR="009C1679" w:rsidRPr="005914B6">
        <w:rPr>
          <w:rFonts w:ascii="Arial" w:hAnsi="Arial" w:cs="Arial"/>
        </w:rPr>
        <w:t>vidades previstas en el POA 202</w:t>
      </w:r>
      <w:r w:rsidR="00BF1305" w:rsidRPr="005914B6">
        <w:rPr>
          <w:rFonts w:ascii="Arial" w:hAnsi="Arial" w:cs="Arial"/>
        </w:rPr>
        <w:t>4</w:t>
      </w:r>
      <w:r w:rsidRPr="005914B6">
        <w:rPr>
          <w:rFonts w:ascii="Arial" w:hAnsi="Arial" w:cs="Arial"/>
        </w:rPr>
        <w:t>.</w:t>
      </w:r>
    </w:p>
    <w:p w14:paraId="71BB8519" w14:textId="77777777"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p>
    <w:p w14:paraId="71BB851A" w14:textId="2E214EA9"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r w:rsidRPr="005914B6">
        <w:rPr>
          <w:rFonts w:ascii="Arial" w:hAnsi="Arial" w:cs="Arial"/>
          <w:b/>
        </w:rPr>
        <w:tab/>
        <w:t>Artículo 5.-</w:t>
      </w:r>
      <w:r w:rsidR="009C1679" w:rsidRPr="005914B6">
        <w:rPr>
          <w:rFonts w:ascii="Arial" w:hAnsi="Arial" w:cs="Arial"/>
        </w:rPr>
        <w:t xml:space="preserve"> Al término del POA 202</w:t>
      </w:r>
      <w:r w:rsidR="00BF1305" w:rsidRPr="005914B6">
        <w:rPr>
          <w:rFonts w:ascii="Arial" w:hAnsi="Arial" w:cs="Arial"/>
        </w:rPr>
        <w:t>4</w:t>
      </w:r>
      <w:r w:rsidRPr="005914B6">
        <w:rPr>
          <w:rFonts w:ascii="Arial" w:hAnsi="Arial" w:cs="Arial"/>
        </w:rPr>
        <w:t>, la Secretaría General elaborará un informe de evaluación, en calidad de ejecutante de los recursos del plan del estado de ejecución del PEC 2018-2022</w:t>
      </w:r>
      <w:r w:rsidR="006A4A37" w:rsidRPr="005914B6">
        <w:rPr>
          <w:rFonts w:ascii="Arial" w:hAnsi="Arial" w:cs="Arial"/>
        </w:rPr>
        <w:t xml:space="preserve"> extendido hasta </w:t>
      </w:r>
      <w:r w:rsidR="00A534E9" w:rsidRPr="005914B6">
        <w:rPr>
          <w:rFonts w:ascii="Arial" w:hAnsi="Arial" w:cs="Arial"/>
        </w:rPr>
        <w:t xml:space="preserve">el </w:t>
      </w:r>
      <w:r w:rsidR="006A4A37" w:rsidRPr="005914B6">
        <w:rPr>
          <w:rFonts w:ascii="Arial" w:hAnsi="Arial" w:cs="Arial"/>
        </w:rPr>
        <w:t>2025</w:t>
      </w:r>
      <w:r w:rsidRPr="005914B6">
        <w:rPr>
          <w:rFonts w:ascii="Arial" w:hAnsi="Arial" w:cs="Arial"/>
        </w:rPr>
        <w:t xml:space="preserve">, así como un informe sobre la utilización de los recursos del Fondo de Contraparte; los cuales </w:t>
      </w:r>
      <w:r w:rsidR="002B41F8" w:rsidRPr="005914B6">
        <w:rPr>
          <w:rFonts w:ascii="Arial" w:hAnsi="Arial" w:cs="Arial"/>
        </w:rPr>
        <w:t>deberán ser remitidos a los Países Miembros</w:t>
      </w:r>
      <w:r w:rsidR="00A534E9" w:rsidRPr="005914B6">
        <w:rPr>
          <w:rFonts w:ascii="Arial" w:hAnsi="Arial" w:cs="Arial"/>
        </w:rPr>
        <w:t>,</w:t>
      </w:r>
      <w:r w:rsidR="002B41F8" w:rsidRPr="005914B6">
        <w:rPr>
          <w:rFonts w:ascii="Arial" w:hAnsi="Arial" w:cs="Arial"/>
        </w:rPr>
        <w:t xml:space="preserve"> y </w:t>
      </w:r>
      <w:r w:rsidRPr="005914B6">
        <w:rPr>
          <w:rFonts w:ascii="Arial" w:hAnsi="Arial" w:cs="Arial"/>
        </w:rPr>
        <w:t>servirán como insumos para la formulación del siguiente Plan Operativo Anual.</w:t>
      </w:r>
    </w:p>
    <w:p w14:paraId="48EC5E33" w14:textId="77777777" w:rsidR="00146D0E" w:rsidRPr="005914B6" w:rsidRDefault="00146D0E" w:rsidP="007055B9">
      <w:pPr>
        <w:tabs>
          <w:tab w:val="left" w:pos="426"/>
          <w:tab w:val="left" w:pos="567"/>
          <w:tab w:val="left" w:pos="6521"/>
          <w:tab w:val="left" w:pos="9072"/>
        </w:tabs>
        <w:spacing w:after="0" w:line="240" w:lineRule="auto"/>
        <w:ind w:right="-1"/>
        <w:jc w:val="both"/>
        <w:rPr>
          <w:rFonts w:ascii="Arial" w:hAnsi="Arial" w:cs="Arial"/>
        </w:rPr>
      </w:pPr>
    </w:p>
    <w:p w14:paraId="36C543CF" w14:textId="46FF2180" w:rsidR="00146D0E" w:rsidRPr="005914B6" w:rsidRDefault="00146D0E" w:rsidP="007055B9">
      <w:pPr>
        <w:tabs>
          <w:tab w:val="left" w:pos="426"/>
          <w:tab w:val="left" w:pos="567"/>
          <w:tab w:val="left" w:pos="6521"/>
          <w:tab w:val="left" w:pos="9072"/>
        </w:tabs>
        <w:spacing w:after="0" w:line="240" w:lineRule="auto"/>
        <w:ind w:right="-1"/>
        <w:jc w:val="both"/>
        <w:rPr>
          <w:rFonts w:ascii="Arial" w:hAnsi="Arial" w:cs="Arial"/>
        </w:rPr>
      </w:pPr>
      <w:r w:rsidRPr="005914B6">
        <w:rPr>
          <w:rFonts w:ascii="Arial" w:hAnsi="Arial" w:cs="Arial"/>
          <w:b/>
        </w:rPr>
        <w:tab/>
      </w:r>
      <w:r w:rsidRPr="005914B6">
        <w:rPr>
          <w:rFonts w:ascii="Arial" w:hAnsi="Arial" w:cs="Arial"/>
          <w:b/>
          <w:bCs/>
        </w:rPr>
        <w:t>Artículo 6.-</w:t>
      </w:r>
      <w:r w:rsidRPr="005914B6">
        <w:rPr>
          <w:rFonts w:ascii="Arial" w:hAnsi="Arial" w:cs="Arial"/>
        </w:rPr>
        <w:t xml:space="preserve"> </w:t>
      </w:r>
      <w:r w:rsidR="00A534E9" w:rsidRPr="005914B6">
        <w:rPr>
          <w:rFonts w:ascii="Arial" w:hAnsi="Arial" w:cs="Arial"/>
        </w:rPr>
        <w:t>D</w:t>
      </w:r>
      <w:r w:rsidR="00AD3F7E" w:rsidRPr="005914B6">
        <w:rPr>
          <w:rFonts w:ascii="Arial" w:hAnsi="Arial" w:cs="Arial"/>
        </w:rPr>
        <w:t>er</w:t>
      </w:r>
      <w:r w:rsidR="00A534E9" w:rsidRPr="005914B6">
        <w:rPr>
          <w:rFonts w:ascii="Arial" w:hAnsi="Arial" w:cs="Arial"/>
        </w:rPr>
        <w:t xml:space="preserve">óguese </w:t>
      </w:r>
      <w:r w:rsidR="00AD3F7E" w:rsidRPr="005914B6">
        <w:rPr>
          <w:rFonts w:ascii="Arial" w:hAnsi="Arial" w:cs="Arial"/>
        </w:rPr>
        <w:t>la Resoluci</w:t>
      </w:r>
      <w:r w:rsidR="00BF1305" w:rsidRPr="005914B6">
        <w:rPr>
          <w:rFonts w:ascii="Arial" w:hAnsi="Arial" w:cs="Arial"/>
        </w:rPr>
        <w:t>ón</w:t>
      </w:r>
      <w:r w:rsidR="00AD3F7E" w:rsidRPr="005914B6">
        <w:rPr>
          <w:rFonts w:ascii="Arial" w:hAnsi="Arial" w:cs="Arial"/>
        </w:rPr>
        <w:t xml:space="preserve"> </w:t>
      </w:r>
      <w:r w:rsidR="00BF1305" w:rsidRPr="005914B6">
        <w:rPr>
          <w:rFonts w:ascii="Arial" w:hAnsi="Arial" w:cs="Arial"/>
        </w:rPr>
        <w:t>2344</w:t>
      </w:r>
      <w:r w:rsidR="00AD3F7E" w:rsidRPr="005914B6">
        <w:rPr>
          <w:rFonts w:ascii="Arial" w:hAnsi="Arial" w:cs="Arial"/>
        </w:rPr>
        <w:t>.</w:t>
      </w:r>
    </w:p>
    <w:p w14:paraId="71BB851B" w14:textId="77777777"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p>
    <w:p w14:paraId="71BB851C" w14:textId="70E8E30B"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r w:rsidRPr="005914B6">
        <w:rPr>
          <w:rFonts w:ascii="Arial" w:hAnsi="Arial" w:cs="Arial"/>
          <w:b/>
        </w:rPr>
        <w:tab/>
      </w:r>
      <w:r w:rsidRPr="005914B6">
        <w:rPr>
          <w:rFonts w:ascii="Arial" w:hAnsi="Arial" w:cs="Arial"/>
        </w:rPr>
        <w:t>Comuníquese a los Países Miembros la presente Resolución, la cual entrará en vigencia a partir de la fecha de su publicación en la Gaceta Oficial del Acuerdo de Cartagena.</w:t>
      </w:r>
    </w:p>
    <w:p w14:paraId="71BB851D" w14:textId="77777777" w:rsidR="002307AF" w:rsidRPr="005914B6" w:rsidRDefault="002307AF" w:rsidP="007055B9">
      <w:pPr>
        <w:tabs>
          <w:tab w:val="left" w:pos="426"/>
          <w:tab w:val="left" w:pos="567"/>
          <w:tab w:val="left" w:pos="6521"/>
          <w:tab w:val="left" w:pos="9072"/>
        </w:tabs>
        <w:spacing w:after="0" w:line="240" w:lineRule="auto"/>
        <w:ind w:right="-1"/>
        <w:jc w:val="both"/>
        <w:rPr>
          <w:rFonts w:ascii="Arial" w:hAnsi="Arial" w:cs="Arial"/>
        </w:rPr>
      </w:pPr>
    </w:p>
    <w:p w14:paraId="71BB851E" w14:textId="65BE4333" w:rsidR="002307AF" w:rsidRPr="005914B6" w:rsidRDefault="002307AF" w:rsidP="007055B9">
      <w:pPr>
        <w:pStyle w:val="Estilo2"/>
        <w:tabs>
          <w:tab w:val="left" w:pos="426"/>
          <w:tab w:val="left" w:pos="9072"/>
        </w:tabs>
        <w:ind w:right="-1"/>
        <w:rPr>
          <w:rFonts w:cs="Arial"/>
          <w:sz w:val="22"/>
          <w:szCs w:val="22"/>
          <w:lang w:val="es-PE"/>
        </w:rPr>
      </w:pPr>
      <w:r w:rsidRPr="005914B6">
        <w:rPr>
          <w:rFonts w:cs="Arial"/>
          <w:sz w:val="22"/>
          <w:szCs w:val="22"/>
          <w:lang w:val="es-PE"/>
        </w:rPr>
        <w:tab/>
        <w:t>Dada en la ciudad de Lima, Perú,</w:t>
      </w:r>
      <w:r w:rsidR="00FF1A8B" w:rsidRPr="005914B6">
        <w:rPr>
          <w:rFonts w:cs="Arial"/>
          <w:sz w:val="22"/>
          <w:szCs w:val="22"/>
          <w:lang w:val="es-PE"/>
        </w:rPr>
        <w:t xml:space="preserve"> al</w:t>
      </w:r>
      <w:r w:rsidR="00FB2D27">
        <w:rPr>
          <w:rFonts w:cs="Arial"/>
          <w:sz w:val="22"/>
          <w:szCs w:val="22"/>
          <w:lang w:val="es-PE"/>
        </w:rPr>
        <w:t xml:space="preserve"> 01 </w:t>
      </w:r>
      <w:r w:rsidR="00FF1A8B" w:rsidRPr="005914B6">
        <w:rPr>
          <w:rFonts w:cs="Arial"/>
          <w:sz w:val="22"/>
          <w:szCs w:val="22"/>
          <w:lang w:val="es-PE"/>
        </w:rPr>
        <w:t>del mes de</w:t>
      </w:r>
      <w:r w:rsidR="00FB2D27">
        <w:rPr>
          <w:rFonts w:cs="Arial"/>
          <w:sz w:val="22"/>
          <w:szCs w:val="22"/>
          <w:lang w:val="es-PE"/>
        </w:rPr>
        <w:t xml:space="preserve"> febrero </w:t>
      </w:r>
      <w:r w:rsidR="00FF1A8B" w:rsidRPr="005914B6">
        <w:rPr>
          <w:rFonts w:cs="Arial"/>
          <w:sz w:val="22"/>
          <w:szCs w:val="22"/>
          <w:lang w:val="es-PE"/>
        </w:rPr>
        <w:t xml:space="preserve">del año dos mil </w:t>
      </w:r>
      <w:r w:rsidR="006A4A37" w:rsidRPr="005914B6">
        <w:rPr>
          <w:rFonts w:cs="Arial"/>
          <w:sz w:val="22"/>
          <w:szCs w:val="22"/>
          <w:lang w:val="es-PE"/>
        </w:rPr>
        <w:t>veinti</w:t>
      </w:r>
      <w:r w:rsidR="00F659B1" w:rsidRPr="005914B6">
        <w:rPr>
          <w:rFonts w:cs="Arial"/>
          <w:sz w:val="22"/>
          <w:szCs w:val="22"/>
          <w:lang w:val="es-PE"/>
        </w:rPr>
        <w:t>cuatro</w:t>
      </w:r>
      <w:r w:rsidR="00FF1A8B" w:rsidRPr="005914B6">
        <w:rPr>
          <w:rFonts w:cs="Arial"/>
          <w:sz w:val="22"/>
          <w:szCs w:val="22"/>
          <w:lang w:val="es-PE"/>
        </w:rPr>
        <w:t>.</w:t>
      </w:r>
      <w:r w:rsidRPr="005914B6">
        <w:rPr>
          <w:rFonts w:cs="Arial"/>
          <w:sz w:val="22"/>
          <w:szCs w:val="22"/>
          <w:lang w:val="es-PE"/>
        </w:rPr>
        <w:t xml:space="preserve"> </w:t>
      </w:r>
    </w:p>
    <w:p w14:paraId="71BB851F" w14:textId="77777777" w:rsidR="002307AF" w:rsidRPr="005914B6" w:rsidRDefault="002307AF" w:rsidP="00E44270">
      <w:pPr>
        <w:spacing w:after="0" w:line="240" w:lineRule="auto"/>
        <w:ind w:right="-1"/>
        <w:jc w:val="center"/>
        <w:rPr>
          <w:rFonts w:ascii="Arial" w:hAnsi="Arial" w:cs="Arial"/>
        </w:rPr>
      </w:pPr>
    </w:p>
    <w:p w14:paraId="71BB8520" w14:textId="77777777" w:rsidR="002307AF" w:rsidRDefault="002307AF" w:rsidP="00E44270">
      <w:pPr>
        <w:spacing w:after="0" w:line="240" w:lineRule="auto"/>
        <w:ind w:right="-1"/>
        <w:jc w:val="center"/>
        <w:rPr>
          <w:rFonts w:ascii="Arial" w:hAnsi="Arial" w:cs="Arial"/>
        </w:rPr>
      </w:pPr>
    </w:p>
    <w:p w14:paraId="5249AB4C" w14:textId="77777777" w:rsidR="006A3497" w:rsidRDefault="006A3497" w:rsidP="00E44270">
      <w:pPr>
        <w:spacing w:after="0" w:line="240" w:lineRule="auto"/>
        <w:ind w:right="-1"/>
        <w:jc w:val="center"/>
        <w:rPr>
          <w:rFonts w:ascii="Arial" w:hAnsi="Arial" w:cs="Arial"/>
        </w:rPr>
      </w:pPr>
    </w:p>
    <w:p w14:paraId="0F8A29F3" w14:textId="77777777" w:rsidR="006A3497" w:rsidRDefault="006A3497" w:rsidP="00E44270">
      <w:pPr>
        <w:spacing w:after="0" w:line="240" w:lineRule="auto"/>
        <w:ind w:right="-1"/>
        <w:jc w:val="center"/>
        <w:rPr>
          <w:rFonts w:ascii="Arial" w:hAnsi="Arial" w:cs="Arial"/>
        </w:rPr>
      </w:pPr>
    </w:p>
    <w:p w14:paraId="1341DE71" w14:textId="77777777" w:rsidR="006A3497" w:rsidRDefault="006A3497" w:rsidP="00E44270">
      <w:pPr>
        <w:spacing w:after="0" w:line="240" w:lineRule="auto"/>
        <w:ind w:right="-1"/>
        <w:jc w:val="center"/>
        <w:rPr>
          <w:rFonts w:ascii="Arial" w:hAnsi="Arial" w:cs="Arial"/>
        </w:rPr>
      </w:pPr>
    </w:p>
    <w:p w14:paraId="1FABDDFA" w14:textId="77777777" w:rsidR="006A3497" w:rsidRDefault="006A3497" w:rsidP="00E44270">
      <w:pPr>
        <w:spacing w:after="0" w:line="240" w:lineRule="auto"/>
        <w:ind w:right="-1"/>
        <w:jc w:val="center"/>
        <w:rPr>
          <w:rFonts w:ascii="Arial" w:hAnsi="Arial" w:cs="Arial"/>
        </w:rPr>
      </w:pPr>
    </w:p>
    <w:p w14:paraId="15F6CA9F" w14:textId="77777777" w:rsidR="006A3497" w:rsidRPr="005914B6" w:rsidRDefault="006A3497" w:rsidP="00E44270">
      <w:pPr>
        <w:spacing w:after="0" w:line="240" w:lineRule="auto"/>
        <w:ind w:right="-1"/>
        <w:jc w:val="center"/>
        <w:rPr>
          <w:rFonts w:ascii="Arial" w:hAnsi="Arial" w:cs="Arial"/>
        </w:rPr>
      </w:pPr>
    </w:p>
    <w:p w14:paraId="71BB8524" w14:textId="77777777" w:rsidR="002307AF" w:rsidRPr="00EA2460" w:rsidRDefault="002307AF" w:rsidP="00E44270">
      <w:pPr>
        <w:spacing w:after="0" w:line="240" w:lineRule="auto"/>
        <w:ind w:right="-1"/>
        <w:jc w:val="center"/>
        <w:rPr>
          <w:rFonts w:ascii="Arial" w:hAnsi="Arial" w:cs="Arial"/>
        </w:rPr>
      </w:pPr>
    </w:p>
    <w:p w14:paraId="71BB8525" w14:textId="4A5C3C25" w:rsidR="009C1679" w:rsidRPr="00EA2460" w:rsidRDefault="00974026" w:rsidP="009C1679">
      <w:pPr>
        <w:autoSpaceDE w:val="0"/>
        <w:autoSpaceDN w:val="0"/>
        <w:adjustRightInd w:val="0"/>
        <w:spacing w:after="0" w:line="240" w:lineRule="auto"/>
        <w:ind w:right="-1"/>
        <w:jc w:val="center"/>
        <w:rPr>
          <w:rFonts w:ascii="Arial" w:hAnsi="Arial" w:cs="Arial"/>
          <w:color w:val="000000"/>
        </w:rPr>
      </w:pPr>
      <w:r w:rsidRPr="00EA2460">
        <w:rPr>
          <w:rFonts w:ascii="Arial" w:hAnsi="Arial" w:cs="Arial"/>
          <w:color w:val="000000"/>
        </w:rPr>
        <w:t xml:space="preserve">Gonzalo </w:t>
      </w:r>
      <w:r w:rsidR="00A534E9" w:rsidRPr="00EA2460">
        <w:rPr>
          <w:rFonts w:ascii="Arial" w:hAnsi="Arial" w:cs="Arial"/>
          <w:color w:val="000000"/>
        </w:rPr>
        <w:t>Gutiérrez</w:t>
      </w:r>
      <w:r w:rsidRPr="00EA2460">
        <w:rPr>
          <w:rFonts w:ascii="Arial" w:hAnsi="Arial" w:cs="Arial"/>
          <w:color w:val="000000"/>
        </w:rPr>
        <w:t xml:space="preserve"> </w:t>
      </w:r>
      <w:proofErr w:type="spellStart"/>
      <w:r w:rsidRPr="00EA2460">
        <w:rPr>
          <w:rFonts w:ascii="Arial" w:hAnsi="Arial" w:cs="Arial"/>
          <w:color w:val="000000"/>
        </w:rPr>
        <w:t>Reinel</w:t>
      </w:r>
      <w:proofErr w:type="spellEnd"/>
    </w:p>
    <w:p w14:paraId="6FB5AB46" w14:textId="00CDE0AE" w:rsidR="0011590E" w:rsidRPr="00EA2460" w:rsidRDefault="0011590E" w:rsidP="009C1679">
      <w:pPr>
        <w:autoSpaceDE w:val="0"/>
        <w:autoSpaceDN w:val="0"/>
        <w:adjustRightInd w:val="0"/>
        <w:spacing w:after="0" w:line="240" w:lineRule="auto"/>
        <w:ind w:right="-1"/>
        <w:jc w:val="center"/>
        <w:rPr>
          <w:rFonts w:ascii="Arial" w:hAnsi="Arial" w:cs="Arial"/>
          <w:color w:val="000000"/>
        </w:rPr>
      </w:pPr>
      <w:r w:rsidRPr="00EA2460">
        <w:rPr>
          <w:rFonts w:ascii="Arial" w:hAnsi="Arial" w:cs="Arial"/>
          <w:color w:val="000000"/>
        </w:rPr>
        <w:t>Embajador</w:t>
      </w:r>
    </w:p>
    <w:p w14:paraId="71BB8526" w14:textId="4ED8A5BA" w:rsidR="009C1679" w:rsidRPr="00EA2460" w:rsidRDefault="009C1679" w:rsidP="009C1679">
      <w:pPr>
        <w:autoSpaceDE w:val="0"/>
        <w:autoSpaceDN w:val="0"/>
        <w:adjustRightInd w:val="0"/>
        <w:spacing w:after="0" w:line="240" w:lineRule="auto"/>
        <w:ind w:right="-1"/>
        <w:jc w:val="center"/>
        <w:rPr>
          <w:rFonts w:ascii="Arial" w:hAnsi="Arial" w:cs="Arial"/>
          <w:color w:val="000000"/>
        </w:rPr>
      </w:pPr>
      <w:r w:rsidRPr="00EA2460">
        <w:rPr>
          <w:rFonts w:ascii="Arial" w:hAnsi="Arial" w:cs="Arial"/>
          <w:color w:val="000000"/>
        </w:rPr>
        <w:t>Secretario General</w:t>
      </w:r>
    </w:p>
    <w:p w14:paraId="7277F683" w14:textId="77777777" w:rsidR="00E66A3B" w:rsidRPr="005914B6" w:rsidRDefault="00E66A3B" w:rsidP="00A9594E">
      <w:pPr>
        <w:tabs>
          <w:tab w:val="left" w:pos="1440"/>
        </w:tabs>
        <w:jc w:val="center"/>
        <w:rPr>
          <w:rFonts w:cs="Arial"/>
          <w:b/>
          <w:noProof/>
        </w:rPr>
      </w:pPr>
    </w:p>
    <w:p w14:paraId="6E4CA119" w14:textId="77777777" w:rsidR="00835A58" w:rsidRPr="005914B6" w:rsidRDefault="00835A58" w:rsidP="00A9594E">
      <w:pPr>
        <w:tabs>
          <w:tab w:val="left" w:pos="1440"/>
        </w:tabs>
        <w:jc w:val="center"/>
        <w:rPr>
          <w:rFonts w:cs="Arial"/>
          <w:b/>
          <w:noProof/>
        </w:rPr>
      </w:pPr>
    </w:p>
    <w:p w14:paraId="3D1E74E7" w14:textId="77777777" w:rsidR="00B571E0" w:rsidRPr="005914B6" w:rsidRDefault="00B571E0" w:rsidP="00A9594E">
      <w:pPr>
        <w:tabs>
          <w:tab w:val="left" w:pos="1440"/>
        </w:tabs>
        <w:jc w:val="center"/>
        <w:rPr>
          <w:rFonts w:cs="Arial"/>
          <w:b/>
          <w:noProof/>
        </w:rPr>
      </w:pPr>
    </w:p>
    <w:p w14:paraId="0CA1E783" w14:textId="77777777" w:rsidR="00B571E0" w:rsidRPr="005914B6" w:rsidRDefault="00B571E0" w:rsidP="00A9594E">
      <w:pPr>
        <w:tabs>
          <w:tab w:val="left" w:pos="1440"/>
        </w:tabs>
        <w:jc w:val="center"/>
        <w:rPr>
          <w:rFonts w:cs="Arial"/>
          <w:b/>
          <w:noProof/>
        </w:rPr>
      </w:pPr>
    </w:p>
    <w:p w14:paraId="0FED08A4" w14:textId="73E91520" w:rsidR="00B571E0" w:rsidRDefault="00B571E0" w:rsidP="00A9594E">
      <w:pPr>
        <w:tabs>
          <w:tab w:val="left" w:pos="1440"/>
        </w:tabs>
        <w:jc w:val="center"/>
        <w:rPr>
          <w:rFonts w:cs="Arial"/>
          <w:b/>
          <w:noProof/>
        </w:rPr>
      </w:pPr>
    </w:p>
    <w:p w14:paraId="4FDC639C" w14:textId="77777777" w:rsidR="009D1149" w:rsidRPr="005914B6" w:rsidRDefault="009D1149" w:rsidP="00A9594E">
      <w:pPr>
        <w:tabs>
          <w:tab w:val="left" w:pos="1440"/>
        </w:tabs>
        <w:jc w:val="center"/>
        <w:rPr>
          <w:rFonts w:cs="Arial"/>
          <w:b/>
          <w:noProof/>
        </w:rPr>
      </w:pPr>
      <w:bookmarkStart w:id="0" w:name="_GoBack"/>
      <w:bookmarkEnd w:id="0"/>
    </w:p>
    <w:p w14:paraId="7A49252F" w14:textId="77777777" w:rsidR="00B571E0" w:rsidRPr="005914B6" w:rsidRDefault="00B571E0" w:rsidP="00A9594E">
      <w:pPr>
        <w:tabs>
          <w:tab w:val="left" w:pos="1440"/>
        </w:tabs>
        <w:jc w:val="center"/>
        <w:rPr>
          <w:rFonts w:cs="Arial"/>
          <w:b/>
          <w:noProof/>
        </w:rPr>
      </w:pPr>
    </w:p>
    <w:p w14:paraId="07539D7A" w14:textId="77777777" w:rsidR="00B571E0" w:rsidRPr="005914B6" w:rsidRDefault="00B571E0" w:rsidP="00A9594E">
      <w:pPr>
        <w:tabs>
          <w:tab w:val="left" w:pos="1440"/>
        </w:tabs>
        <w:jc w:val="center"/>
        <w:rPr>
          <w:rFonts w:cs="Arial"/>
          <w:b/>
          <w:noProof/>
        </w:rPr>
      </w:pPr>
    </w:p>
    <w:p w14:paraId="7AF9EE6C" w14:textId="0CDC1756" w:rsidR="00A9594E" w:rsidRPr="0018629B" w:rsidRDefault="00A9594E" w:rsidP="00A9594E">
      <w:pPr>
        <w:tabs>
          <w:tab w:val="left" w:pos="1440"/>
        </w:tabs>
        <w:jc w:val="center"/>
        <w:rPr>
          <w:rFonts w:cs="Arial"/>
          <w:b/>
          <w:noProof/>
          <w:lang w:val="pt-PT"/>
        </w:rPr>
      </w:pPr>
      <w:r w:rsidRPr="0018629B">
        <w:rPr>
          <w:rFonts w:cs="Arial"/>
          <w:b/>
          <w:noProof/>
          <w:lang w:val="pt-PT"/>
        </w:rPr>
        <w:lastRenderedPageBreak/>
        <w:t>ANEXO I</w:t>
      </w:r>
    </w:p>
    <w:p w14:paraId="6B9B6E5A" w14:textId="3A784753" w:rsidR="00A9594E" w:rsidRPr="0018629B" w:rsidRDefault="00A9594E" w:rsidP="00322576">
      <w:pPr>
        <w:autoSpaceDE w:val="0"/>
        <w:autoSpaceDN w:val="0"/>
        <w:adjustRightInd w:val="0"/>
        <w:spacing w:after="0"/>
        <w:ind w:right="-1"/>
        <w:jc w:val="center"/>
        <w:rPr>
          <w:rFonts w:cs="Arial"/>
          <w:b/>
          <w:lang w:val="pt-PT"/>
        </w:rPr>
      </w:pPr>
      <w:r w:rsidRPr="0018629B">
        <w:rPr>
          <w:rFonts w:cs="Arial"/>
          <w:b/>
          <w:lang w:val="pt-PT"/>
        </w:rPr>
        <w:t>PLAN OPERATIVO ANUAL 202</w:t>
      </w:r>
      <w:r w:rsidR="005C7665" w:rsidRPr="0018629B">
        <w:rPr>
          <w:rFonts w:cs="Arial"/>
          <w:b/>
          <w:lang w:val="pt-PT"/>
        </w:rPr>
        <w:t>4</w:t>
      </w:r>
    </w:p>
    <w:p w14:paraId="44E55334" w14:textId="77777777" w:rsidR="00A9594E" w:rsidRPr="005914B6" w:rsidRDefault="00A9594E" w:rsidP="00322576">
      <w:pPr>
        <w:autoSpaceDE w:val="0"/>
        <w:autoSpaceDN w:val="0"/>
        <w:adjustRightInd w:val="0"/>
        <w:spacing w:after="0"/>
        <w:ind w:right="-1"/>
        <w:jc w:val="center"/>
        <w:rPr>
          <w:rFonts w:cs="Arial"/>
          <w:b/>
        </w:rPr>
      </w:pPr>
      <w:r w:rsidRPr="005914B6">
        <w:rPr>
          <w:rFonts w:cs="Arial"/>
          <w:b/>
        </w:rPr>
        <w:t>DEL PROGRAMA ESTADÍSTICO COMUNITARIO (PEC)</w:t>
      </w:r>
    </w:p>
    <w:p w14:paraId="2CB5C9EF" w14:textId="77777777" w:rsidR="00A9594E" w:rsidRPr="005914B6" w:rsidRDefault="00A9594E" w:rsidP="00322576">
      <w:pPr>
        <w:autoSpaceDE w:val="0"/>
        <w:autoSpaceDN w:val="0"/>
        <w:adjustRightInd w:val="0"/>
        <w:spacing w:after="0"/>
        <w:ind w:right="-1"/>
        <w:jc w:val="center"/>
        <w:rPr>
          <w:rFonts w:cs="Arial"/>
          <w:b/>
        </w:rPr>
      </w:pPr>
      <w:r w:rsidRPr="005914B6">
        <w:rPr>
          <w:rFonts w:cs="Arial"/>
          <w:b/>
        </w:rPr>
        <w:t>extendido hasta el año 2025 mediante Decisión 911 del 3 de mayo de 2023</w:t>
      </w:r>
    </w:p>
    <w:p w14:paraId="551099B5" w14:textId="77777777" w:rsidR="00A9594E" w:rsidRPr="005914B6" w:rsidRDefault="00A9594E" w:rsidP="00A9594E">
      <w:pPr>
        <w:autoSpaceDE w:val="0"/>
        <w:autoSpaceDN w:val="0"/>
        <w:adjustRightInd w:val="0"/>
        <w:ind w:right="-1"/>
        <w:jc w:val="center"/>
        <w:rPr>
          <w:rFonts w:cs="Arial"/>
          <w:b/>
        </w:rPr>
      </w:pPr>
    </w:p>
    <w:p w14:paraId="40375E97" w14:textId="77777777" w:rsidR="00784167" w:rsidRPr="005914B6" w:rsidRDefault="00784167" w:rsidP="00784167">
      <w:pPr>
        <w:ind w:right="-1"/>
        <w:jc w:val="both"/>
        <w:rPr>
          <w:rFonts w:cs="Arial"/>
        </w:rPr>
      </w:pPr>
      <w:r w:rsidRPr="005914B6">
        <w:rPr>
          <w:rFonts w:cs="Arial"/>
        </w:rPr>
        <w:t xml:space="preserve">Dentro de los objetivos del PEC 2018-2022, extendido hasta el año 2025 mediante Decisión 911 del 3 de mayo de 2023, se tiene establecida la inclusión de actividades de preparación, seguimiento, control, y evaluación, necesarias para la gestión del programa y la consecución de sus objetivos; en el desarrollo y producción de la estadística comunitaria vinculada  con los ámbitos de acción de la Comunidad Andina, así como del Plan Estratégico  de la Conferencia de Estadísticas de las Américas de la CEPAL (CEA_CEPAL) y los ODS. En particular, se tiene como principal objetivo fortalecer a los Institutos Nacionales de Estadística en su gestión para la integración y coordinación de los sistemas estadísticos nacionales, desarrollando capacidades técnicas y metodológicas; a través de la formación de los estadísticos nacionales, la realización de estudios, reuniones de autoridades y expertos gubernamentales, acciones de información y comunicación, y otros vinculados a las redes de información tecnológica enfocadas en el procesamiento e intercambio de información y a la innovación. Al respecto, los Países Miembros facilitarán la participación de los expertos gubernamentales en las actividades que se les convoque. </w:t>
      </w:r>
    </w:p>
    <w:p w14:paraId="0F8766CE" w14:textId="34FE8533" w:rsidR="003D7AD4" w:rsidRPr="005914B6" w:rsidRDefault="00784167" w:rsidP="00784167">
      <w:pPr>
        <w:ind w:right="-1"/>
        <w:jc w:val="both"/>
        <w:rPr>
          <w:rFonts w:cs="Arial"/>
        </w:rPr>
      </w:pPr>
      <w:r w:rsidRPr="005914B6">
        <w:rPr>
          <w:rFonts w:cs="Arial"/>
        </w:rPr>
        <w:t>Debido a la pandemia de la COVID-19 y de conformidad con el artículo 6 de la Decisión 8</w:t>
      </w:r>
      <w:r w:rsidR="00864B88" w:rsidRPr="005914B6">
        <w:rPr>
          <w:rFonts w:cs="Arial"/>
        </w:rPr>
        <w:t>99</w:t>
      </w:r>
      <w:r w:rsidRPr="005914B6">
        <w:rPr>
          <w:rFonts w:cs="Arial"/>
        </w:rPr>
        <w:t xml:space="preserve">, la Secretaría General deberá aplicar estrictos criterios de austeridad y </w:t>
      </w:r>
      <w:proofErr w:type="spellStart"/>
      <w:r w:rsidRPr="005914B6">
        <w:rPr>
          <w:rFonts w:cs="Arial"/>
        </w:rPr>
        <w:t>ecoeficiencia</w:t>
      </w:r>
      <w:proofErr w:type="spellEnd"/>
      <w:r w:rsidRPr="005914B6">
        <w:rPr>
          <w:rFonts w:cs="Arial"/>
        </w:rPr>
        <w:t>, en cumplimiento del espíritu del proceso de reingeniería y demás temas priorizados del Sistema Andino de Integración, previsto en la Decisión 792 y en la Resolución 1733; es por ello que el Plan Operativo Anual 2023 solo contempla la realización de las siguientes actividades:</w:t>
      </w:r>
    </w:p>
    <w:p w14:paraId="587F972B" w14:textId="77777777" w:rsidR="003D7AD4" w:rsidRPr="005914B6" w:rsidRDefault="003D7AD4" w:rsidP="003D7AD4">
      <w:pPr>
        <w:ind w:right="-1"/>
        <w:jc w:val="both"/>
        <w:rPr>
          <w:rFonts w:cs="Arial"/>
        </w:rPr>
      </w:pPr>
    </w:p>
    <w:p w14:paraId="31D73E83" w14:textId="77777777" w:rsidR="003D7AD4" w:rsidRPr="005914B6" w:rsidRDefault="003D7AD4" w:rsidP="003D7AD4">
      <w:pPr>
        <w:pStyle w:val="Prrafodelista"/>
        <w:numPr>
          <w:ilvl w:val="0"/>
          <w:numId w:val="4"/>
        </w:numPr>
        <w:tabs>
          <w:tab w:val="left" w:pos="426"/>
        </w:tabs>
        <w:spacing w:after="0" w:line="240" w:lineRule="auto"/>
        <w:ind w:left="0" w:right="-1" w:firstLine="0"/>
        <w:rPr>
          <w:rFonts w:cs="Arial"/>
          <w:b/>
        </w:rPr>
      </w:pPr>
      <w:r w:rsidRPr="005914B6">
        <w:rPr>
          <w:rFonts w:cs="Arial"/>
          <w:b/>
        </w:rPr>
        <w:t>Realización de cursos de formación y capacitación en estadística</w:t>
      </w:r>
    </w:p>
    <w:p w14:paraId="29860507" w14:textId="77777777" w:rsidR="003D7AD4" w:rsidRPr="005914B6" w:rsidRDefault="003D7AD4" w:rsidP="003D7AD4">
      <w:pPr>
        <w:ind w:left="426" w:right="-1"/>
        <w:jc w:val="both"/>
        <w:rPr>
          <w:rFonts w:cs="Arial"/>
        </w:rPr>
      </w:pPr>
    </w:p>
    <w:p w14:paraId="157BA46E" w14:textId="77777777" w:rsidR="003D7AD4" w:rsidRPr="005914B6" w:rsidRDefault="003D7AD4" w:rsidP="003D7AD4">
      <w:pPr>
        <w:ind w:left="426" w:right="-1"/>
        <w:jc w:val="both"/>
        <w:rPr>
          <w:rFonts w:cs="Arial"/>
        </w:rPr>
      </w:pPr>
      <w:r w:rsidRPr="005914B6">
        <w:rPr>
          <w:rFonts w:cs="Arial"/>
        </w:rPr>
        <w:t xml:space="preserve">Los cursos de Formación y Capacitación en estadística deben tener como prioridad orientar el uso de los recursos disponibles del PEC 2018-2022 extendido hasta 2025, en la realización de actividades de formación que conlleven al desarrollo de agendas de trabajo conjunta entre los Países Miembros. </w:t>
      </w:r>
    </w:p>
    <w:p w14:paraId="4AE23C7B" w14:textId="77777777" w:rsidR="003D7AD4" w:rsidRPr="005914B6" w:rsidRDefault="003D7AD4" w:rsidP="003D7AD4">
      <w:pPr>
        <w:ind w:left="426" w:right="-1"/>
        <w:jc w:val="both"/>
        <w:rPr>
          <w:rFonts w:cs="Arial"/>
        </w:rPr>
      </w:pPr>
      <w:r w:rsidRPr="005914B6">
        <w:rPr>
          <w:rFonts w:cs="Arial"/>
        </w:rPr>
        <w:t xml:space="preserve">Dentro del PEC extendido, se tiene como objetivo el promover el intercambio de experiencias, mejores prácticas, conocimientos y técnicas metodológicas en el marco del desarrollo de la estadística andina. En este sentido, y a través de la ejecución de los Programas Andinos Trienales de Formación y Capacitación en Estadística (PAT), se busca el fortalecimiento de los sistemas estadísticos nacionales asegurando los recursos necesarios para este fin. </w:t>
      </w:r>
    </w:p>
    <w:p w14:paraId="31689B5A" w14:textId="55684BB9" w:rsidR="003D7AD4" w:rsidRPr="005914B6" w:rsidRDefault="003D7AD4" w:rsidP="003D7AD4">
      <w:pPr>
        <w:ind w:left="426" w:right="-1"/>
        <w:jc w:val="both"/>
        <w:rPr>
          <w:rFonts w:cs="Arial"/>
        </w:rPr>
      </w:pPr>
      <w:r w:rsidRPr="005914B6">
        <w:rPr>
          <w:rFonts w:cs="Arial"/>
        </w:rPr>
        <w:t>Se espera la realización de reuniones técnicas entre los INE y el Centro Andino de Formación y Capacitación Estadística CAFCE para la definición del PAT 2024-2026, por lo cual, se tiene presupuestado un monto de US $ 6000</w:t>
      </w:r>
      <w:r w:rsidR="000A0093" w:rsidRPr="005914B6">
        <w:rPr>
          <w:rFonts w:cs="Arial"/>
        </w:rPr>
        <w:t xml:space="preserve"> (</w:t>
      </w:r>
      <w:r w:rsidR="005C2DA6" w:rsidRPr="005914B6">
        <w:rPr>
          <w:rFonts w:cs="Arial"/>
        </w:rPr>
        <w:t>seis mil y</w:t>
      </w:r>
      <w:r w:rsidR="00605E96" w:rsidRPr="005914B6">
        <w:rPr>
          <w:rFonts w:cs="Arial"/>
        </w:rPr>
        <w:t xml:space="preserve"> 00/100</w:t>
      </w:r>
      <w:r w:rsidR="005C2DA6" w:rsidRPr="005914B6">
        <w:rPr>
          <w:rFonts w:cs="Arial"/>
        </w:rPr>
        <w:t xml:space="preserve"> Dólares </w:t>
      </w:r>
      <w:r w:rsidR="00803723" w:rsidRPr="005914B6">
        <w:rPr>
          <w:rFonts w:cs="Arial"/>
        </w:rPr>
        <w:t>Americanos</w:t>
      </w:r>
      <w:r w:rsidR="005C2DA6" w:rsidRPr="005914B6">
        <w:rPr>
          <w:rFonts w:cs="Arial"/>
        </w:rPr>
        <w:t>),</w:t>
      </w:r>
      <w:r w:rsidRPr="005914B6">
        <w:rPr>
          <w:rFonts w:cs="Arial"/>
        </w:rPr>
        <w:t xml:space="preserve"> financiado por el fondo de contraparte del PEC para las actividades de capacitación a ser desarrolladas en el 2024.</w:t>
      </w:r>
    </w:p>
    <w:p w14:paraId="044FA9BE" w14:textId="77777777" w:rsidR="003D7AD4" w:rsidRPr="005914B6" w:rsidRDefault="003D7AD4" w:rsidP="003D7AD4">
      <w:pPr>
        <w:ind w:left="426" w:right="-1"/>
        <w:jc w:val="both"/>
        <w:rPr>
          <w:rFonts w:cs="Arial"/>
        </w:rPr>
      </w:pPr>
      <w:r w:rsidRPr="005914B6">
        <w:rPr>
          <w:rFonts w:cs="Arial"/>
        </w:rPr>
        <w:lastRenderedPageBreak/>
        <w:t xml:space="preserve">La Secretaría General, tomando en consideración las conclusiones y resultados de los cursos, se compromete a gestionar la búsqueda de financiamiento para llevar a cabo proyectos de cooperación en dichos temas, que permitan el fortalecimiento técnico institucional en los cuatro Países Miembros. Por su parte, los INE se comprometen a participar en las actividades de capacitación a ser financiadas con recursos del PEC y en la formulación de los proyectos de cooperación. </w:t>
      </w:r>
    </w:p>
    <w:p w14:paraId="5ED6AE34" w14:textId="77777777" w:rsidR="003D7AD4" w:rsidRPr="005914B6" w:rsidRDefault="003D7AD4" w:rsidP="003D7AD4">
      <w:pPr>
        <w:ind w:left="426" w:right="-1"/>
        <w:jc w:val="both"/>
        <w:rPr>
          <w:rFonts w:cs="Arial"/>
        </w:rPr>
      </w:pPr>
      <w:r w:rsidRPr="005914B6">
        <w:rPr>
          <w:rFonts w:cs="Arial"/>
        </w:rPr>
        <w:t>La solicitud de los recursos previstos para la ejecución de las actividades de capacitación será realizada por la Oficina de Estadística organizadora del curso a la Secretaría General, con conocimiento del CAFCE.</w:t>
      </w:r>
    </w:p>
    <w:p w14:paraId="4DEA5138" w14:textId="77777777" w:rsidR="003D7AD4" w:rsidRPr="005914B6" w:rsidRDefault="003D7AD4" w:rsidP="003D7AD4">
      <w:pPr>
        <w:rPr>
          <w:rFonts w:cs="Arial"/>
        </w:rPr>
      </w:pPr>
    </w:p>
    <w:p w14:paraId="313AB12E" w14:textId="77777777" w:rsidR="003D7AD4" w:rsidRPr="005914B6" w:rsidRDefault="003D7AD4" w:rsidP="003D7AD4">
      <w:pPr>
        <w:pStyle w:val="Prrafodelista"/>
        <w:numPr>
          <w:ilvl w:val="0"/>
          <w:numId w:val="4"/>
        </w:numPr>
        <w:tabs>
          <w:tab w:val="left" w:pos="426"/>
        </w:tabs>
        <w:spacing w:after="0" w:line="240" w:lineRule="auto"/>
        <w:ind w:left="0" w:right="-1" w:firstLine="0"/>
        <w:rPr>
          <w:rFonts w:cs="Arial"/>
          <w:b/>
        </w:rPr>
      </w:pPr>
      <w:r w:rsidRPr="005914B6">
        <w:rPr>
          <w:rFonts w:cs="Arial"/>
          <w:b/>
        </w:rPr>
        <w:t>Realización de asistencias técnicas como cooperación horizontal</w:t>
      </w:r>
    </w:p>
    <w:p w14:paraId="33ABF167" w14:textId="77777777" w:rsidR="003D7AD4" w:rsidRPr="005914B6" w:rsidRDefault="003D7AD4" w:rsidP="003D7AD4">
      <w:pPr>
        <w:ind w:right="-1"/>
        <w:jc w:val="both"/>
        <w:rPr>
          <w:rFonts w:cs="Arial"/>
        </w:rPr>
      </w:pPr>
    </w:p>
    <w:p w14:paraId="6658BF07" w14:textId="77777777" w:rsidR="003D7AD4" w:rsidRPr="005914B6" w:rsidRDefault="003D7AD4" w:rsidP="003D7AD4">
      <w:pPr>
        <w:ind w:left="426" w:right="-1"/>
        <w:jc w:val="both"/>
        <w:rPr>
          <w:rFonts w:cs="Arial"/>
        </w:rPr>
      </w:pPr>
      <w:r w:rsidRPr="005914B6">
        <w:rPr>
          <w:rFonts w:cs="Arial"/>
        </w:rPr>
        <w:t>Dado el contexto actual de pandemia es necesario adaptar los métodos, y en general la infraestructura estadística, empleada por el SEC para la elaboración y difusión de las estadísticas andinas.</w:t>
      </w:r>
    </w:p>
    <w:p w14:paraId="63BD4696" w14:textId="77777777" w:rsidR="003D7AD4" w:rsidRPr="005914B6" w:rsidRDefault="003D7AD4" w:rsidP="003D7AD4">
      <w:pPr>
        <w:ind w:left="426" w:right="-1"/>
        <w:jc w:val="both"/>
        <w:rPr>
          <w:rFonts w:cs="Arial"/>
        </w:rPr>
      </w:pPr>
      <w:r w:rsidRPr="005914B6">
        <w:rPr>
          <w:rFonts w:cs="Arial"/>
        </w:rPr>
        <w:t>En caso de ser necesario, se estima un monto de recursos para la realización de actividades de asistencias técnicas como cooperación horizontal.</w:t>
      </w:r>
    </w:p>
    <w:p w14:paraId="7F8DDC0F" w14:textId="378A3FCE" w:rsidR="003D7AD4" w:rsidRPr="005914B6" w:rsidRDefault="003D7AD4" w:rsidP="003D7AD4">
      <w:pPr>
        <w:ind w:left="426" w:right="-1"/>
        <w:jc w:val="both"/>
        <w:rPr>
          <w:rFonts w:cs="Arial"/>
        </w:rPr>
      </w:pPr>
      <w:r w:rsidRPr="005914B6">
        <w:rPr>
          <w:rFonts w:cs="Arial"/>
        </w:rPr>
        <w:t>El desarrollo de actividades de asistencia técnica entre los Países Miembros y otros de la región a través de la cooperación horizontal se convierte en una herramienta fundamental para promover el intercambio de experiencias, mejores prácticas, conocimientos y técnicas metodológicas en el marco del desarrollo de la estadística andina. Para esto se tiene previsto destinar una parte de los recursos del PEC para la ejecución de dichas asistencias técnicas, en temáticas específicas a ser abordadas por los INE en el marco del PEC 2018-2022 extendido. En el año 2024, los INE de los Países Miembros podrán solicitar estos fondos para sus representantes, lo cual abarca la compra de billetes aéreos por un monto aproximado de US$ 800</w:t>
      </w:r>
      <w:r w:rsidR="00743378" w:rsidRPr="005914B6">
        <w:rPr>
          <w:rFonts w:cs="Arial"/>
        </w:rPr>
        <w:t xml:space="preserve"> ochocientos</w:t>
      </w:r>
      <w:r w:rsidR="00D1436B" w:rsidRPr="005914B6">
        <w:rPr>
          <w:rFonts w:cs="Arial"/>
        </w:rPr>
        <w:t xml:space="preserve"> y 00/100 Dólares Americanos)</w:t>
      </w:r>
      <w:r w:rsidRPr="005914B6">
        <w:rPr>
          <w:rFonts w:cs="Arial"/>
        </w:rPr>
        <w:t xml:space="preserve"> y la entrega de viáticos a cada participante equivalente a US$ 240</w:t>
      </w:r>
      <w:r w:rsidR="00D1436B" w:rsidRPr="005914B6">
        <w:rPr>
          <w:rFonts w:cs="Arial"/>
        </w:rPr>
        <w:t xml:space="preserve"> (doscientos cuarenta y 00/100 Dólares Americanos) </w:t>
      </w:r>
      <w:r w:rsidRPr="005914B6">
        <w:rPr>
          <w:rFonts w:cs="Arial"/>
        </w:rPr>
        <w:t>por noche. El monto total destinado para las actividades de cooperación horizontal es de US$ 6000</w:t>
      </w:r>
      <w:r w:rsidR="00412771" w:rsidRPr="005914B6">
        <w:rPr>
          <w:rFonts w:cs="Arial"/>
        </w:rPr>
        <w:t xml:space="preserve"> (seis mil y 00/100 Dólares Americanos)</w:t>
      </w:r>
      <w:r w:rsidRPr="005914B6">
        <w:rPr>
          <w:rFonts w:cs="Arial"/>
        </w:rPr>
        <w:t xml:space="preserve"> a ser financiados con recursos del fondo de contraparte del PEC. </w:t>
      </w:r>
    </w:p>
    <w:p w14:paraId="3910F4D4" w14:textId="77777777" w:rsidR="003D7AD4" w:rsidRPr="005914B6" w:rsidRDefault="003D7AD4" w:rsidP="003D7AD4">
      <w:pPr>
        <w:ind w:left="426" w:right="-1"/>
        <w:jc w:val="both"/>
        <w:rPr>
          <w:rFonts w:cs="Arial"/>
        </w:rPr>
      </w:pPr>
      <w:r w:rsidRPr="005914B6">
        <w:rPr>
          <w:rFonts w:cs="Arial"/>
        </w:rPr>
        <w:t>Para la ejecución de las actividades de cooperación horizontal, la institución interesada en recibir la asistencia técnica deberá remitir la solicitud de recursos correspondiente, indicando la fecha prevista de la realización de la cooperación, el tema o contenido de la misma, el cronograma de trabajo, la institución y funcionarios que estarán a cargo de la asistencia, los resultados esperados y un presupuesto. La solicitud debe ser realizada con una antelación no menor de un (1) mes previo a la fecha prevista de la cooperación técnica, con la finalidad que la SGCAN pueda realizar las coordinaciones correspondientes con las instituciones participantes y los trámites administrativos de compra de boletos aéreos y asignación de viáticos.</w:t>
      </w:r>
    </w:p>
    <w:p w14:paraId="786A4A31" w14:textId="77777777" w:rsidR="003D7AD4" w:rsidRPr="005914B6" w:rsidRDefault="003D7AD4" w:rsidP="003D7AD4">
      <w:pPr>
        <w:ind w:left="425"/>
        <w:jc w:val="both"/>
        <w:rPr>
          <w:rFonts w:cs="Arial"/>
        </w:rPr>
      </w:pPr>
      <w:r w:rsidRPr="005914B6">
        <w:rPr>
          <w:rFonts w:cs="Arial"/>
        </w:rPr>
        <w:t xml:space="preserve">Se recomienda que la institución interesada en recibir la asistencia técnica coordine previamente con la institución y los funcionarios que estarán a cargo de la cooperación, los aspectos relacionados al contenido de la asistencia y disponibilidad de fechas de los expertos, </w:t>
      </w:r>
      <w:r w:rsidRPr="005914B6">
        <w:rPr>
          <w:rFonts w:cs="Arial"/>
        </w:rPr>
        <w:lastRenderedPageBreak/>
        <w:t>antes de remitir la solicitud de recursos a la SGCAN. Los funcionarios financiados con recursos del PEC deberán también presentar al término de la cooperación (dentro de los diez (10) días siguientes al término de la asistencia técnica) un informe a la SGCAN sobre las actividades realizadas y sus recomendaciones, adjuntando los pases de abordaje del boleto aéreo correspondiente.</w:t>
      </w:r>
    </w:p>
    <w:p w14:paraId="2EC27F1E" w14:textId="77777777" w:rsidR="003D7AD4" w:rsidRPr="005914B6" w:rsidRDefault="003D7AD4" w:rsidP="003D7AD4">
      <w:pPr>
        <w:ind w:left="425"/>
        <w:jc w:val="both"/>
        <w:rPr>
          <w:rFonts w:cs="Arial"/>
        </w:rPr>
      </w:pPr>
    </w:p>
    <w:p w14:paraId="7693687A" w14:textId="77777777" w:rsidR="003D7AD4" w:rsidRPr="005914B6" w:rsidRDefault="003D7AD4" w:rsidP="003D7AD4">
      <w:pPr>
        <w:pStyle w:val="Prrafodelista"/>
        <w:numPr>
          <w:ilvl w:val="0"/>
          <w:numId w:val="14"/>
        </w:numPr>
        <w:spacing w:after="0" w:line="240" w:lineRule="auto"/>
        <w:contextualSpacing w:val="0"/>
        <w:jc w:val="both"/>
        <w:rPr>
          <w:rFonts w:cs="Arial"/>
        </w:rPr>
      </w:pPr>
      <w:r w:rsidRPr="005914B6">
        <w:rPr>
          <w:rFonts w:cs="Arial"/>
          <w:b/>
          <w:bCs/>
        </w:rPr>
        <w:t>Participación de los INE en el 55° Periodo de Sesiones de la Comisión de Estadística de las Naciones Unidas</w:t>
      </w:r>
    </w:p>
    <w:p w14:paraId="101C1492" w14:textId="77777777" w:rsidR="003D7AD4" w:rsidRPr="005914B6" w:rsidRDefault="003D7AD4" w:rsidP="003D7AD4">
      <w:pPr>
        <w:ind w:left="360"/>
        <w:jc w:val="both"/>
        <w:rPr>
          <w:rFonts w:cs="Arial"/>
        </w:rPr>
      </w:pPr>
    </w:p>
    <w:p w14:paraId="204DEF72" w14:textId="77777777" w:rsidR="003D7AD4" w:rsidRPr="005914B6" w:rsidRDefault="003D7AD4" w:rsidP="003D7AD4">
      <w:pPr>
        <w:ind w:left="360"/>
        <w:jc w:val="both"/>
        <w:rPr>
          <w:rFonts w:cs="Arial"/>
        </w:rPr>
      </w:pPr>
      <w:r w:rsidRPr="005914B6">
        <w:rPr>
          <w:rFonts w:cs="Arial"/>
        </w:rPr>
        <w:t xml:space="preserve">El LV periodo de sesiones de la Comisión de Estadística de las Naciones Unidas está prevista a desarrollarse desde el </w:t>
      </w:r>
      <w:r w:rsidRPr="005914B6">
        <w:rPr>
          <w:rFonts w:cs="Arial"/>
          <w:b/>
          <w:bCs/>
        </w:rPr>
        <w:t>27 de febrero al 1 de marzo de 2024</w:t>
      </w:r>
      <w:r w:rsidRPr="005914B6">
        <w:rPr>
          <w:rFonts w:cs="Arial"/>
        </w:rPr>
        <w:t xml:space="preserve"> en la ciudad de Nueva York, Estados Unidos. Se tiene programada la asistencia de los Institutos Nacionales de Estadística a este evento, cuyo objetivo es conocer el trabajo de la División de Estadística respecto al avance de los sistemas estadísticos mundiales, en el desarrollo de estándares y normas estadísticas, así como en la prestación de apoyo a los países en su esfuerzo por fortalecer sus sistemas estadísticos nacionales.  </w:t>
      </w:r>
    </w:p>
    <w:p w14:paraId="5EDD7439" w14:textId="4F5EF7B1" w:rsidR="003D7AD4" w:rsidRPr="005914B6" w:rsidRDefault="003D7AD4" w:rsidP="003D7AD4">
      <w:pPr>
        <w:ind w:left="360"/>
        <w:jc w:val="both"/>
        <w:rPr>
          <w:rFonts w:cs="Arial"/>
        </w:rPr>
      </w:pPr>
      <w:r w:rsidRPr="005914B6">
        <w:rPr>
          <w:rFonts w:cs="Arial"/>
        </w:rPr>
        <w:t xml:space="preserve"> Los principales resultados de esta actividad vienen a ser:  </w:t>
      </w:r>
    </w:p>
    <w:p w14:paraId="70C09D60" w14:textId="77777777" w:rsidR="003D7AD4" w:rsidRPr="005914B6" w:rsidRDefault="003D7AD4" w:rsidP="003D7AD4">
      <w:pPr>
        <w:pStyle w:val="Prrafodelista"/>
        <w:numPr>
          <w:ilvl w:val="0"/>
          <w:numId w:val="16"/>
        </w:numPr>
        <w:spacing w:after="0" w:line="240" w:lineRule="auto"/>
        <w:contextualSpacing w:val="0"/>
        <w:jc w:val="both"/>
        <w:rPr>
          <w:rFonts w:cs="Arial"/>
        </w:rPr>
      </w:pPr>
      <w:r w:rsidRPr="005914B6">
        <w:rPr>
          <w:rFonts w:cs="Arial"/>
        </w:rPr>
        <w:t xml:space="preserve">fomentar el desarrollo de estadísticas nacionales y mejorar su comparabilidad; </w:t>
      </w:r>
    </w:p>
    <w:p w14:paraId="28625095" w14:textId="77777777" w:rsidR="003D7AD4" w:rsidRPr="005914B6" w:rsidRDefault="003D7AD4" w:rsidP="003D7AD4">
      <w:pPr>
        <w:pStyle w:val="Prrafodelista"/>
        <w:numPr>
          <w:ilvl w:val="0"/>
          <w:numId w:val="16"/>
        </w:numPr>
        <w:spacing w:after="0" w:line="240" w:lineRule="auto"/>
        <w:contextualSpacing w:val="0"/>
        <w:jc w:val="both"/>
        <w:rPr>
          <w:rFonts w:cs="Arial"/>
        </w:rPr>
      </w:pPr>
      <w:r w:rsidRPr="005914B6">
        <w:rPr>
          <w:rFonts w:cs="Arial"/>
        </w:rPr>
        <w:t xml:space="preserve">coordinar las actividades estadísticas de los organismos especializados con los INE; </w:t>
      </w:r>
    </w:p>
    <w:p w14:paraId="5EBA1C66" w14:textId="77777777" w:rsidR="003D7AD4" w:rsidRPr="005914B6" w:rsidRDefault="003D7AD4" w:rsidP="003D7AD4">
      <w:pPr>
        <w:pStyle w:val="Prrafodelista"/>
        <w:numPr>
          <w:ilvl w:val="0"/>
          <w:numId w:val="16"/>
        </w:numPr>
        <w:spacing w:after="0" w:line="240" w:lineRule="auto"/>
        <w:contextualSpacing w:val="0"/>
        <w:jc w:val="both"/>
        <w:rPr>
          <w:rFonts w:cs="Arial"/>
        </w:rPr>
      </w:pPr>
      <w:r w:rsidRPr="005914B6">
        <w:rPr>
          <w:rFonts w:cs="Arial"/>
        </w:rPr>
        <w:t xml:space="preserve">gestionar el asesoramiento de los órganos de las Naciones Unidas sobre cuestiones generales relativas al proceso estadístico de la información estadística en cada INE; </w:t>
      </w:r>
    </w:p>
    <w:p w14:paraId="24E05EB5" w14:textId="77777777" w:rsidR="003D7AD4" w:rsidRPr="005914B6" w:rsidRDefault="003D7AD4" w:rsidP="003D7AD4">
      <w:pPr>
        <w:pStyle w:val="Prrafodelista"/>
        <w:numPr>
          <w:ilvl w:val="0"/>
          <w:numId w:val="16"/>
        </w:numPr>
        <w:spacing w:after="0" w:line="240" w:lineRule="auto"/>
        <w:contextualSpacing w:val="0"/>
        <w:jc w:val="both"/>
        <w:rPr>
          <w:rFonts w:cs="Arial"/>
        </w:rPr>
      </w:pPr>
      <w:r w:rsidRPr="005914B6">
        <w:rPr>
          <w:rFonts w:cs="Arial"/>
        </w:rPr>
        <w:t xml:space="preserve">fomentar el mejoramiento de las estadísticas y de los métodos estadísticos en general de cada INE. </w:t>
      </w:r>
    </w:p>
    <w:p w14:paraId="4E9DFD93" w14:textId="77777777" w:rsidR="003D7AD4" w:rsidRPr="005914B6" w:rsidRDefault="003D7AD4" w:rsidP="003D7AD4">
      <w:pPr>
        <w:ind w:left="360"/>
        <w:jc w:val="both"/>
        <w:rPr>
          <w:rFonts w:cs="Arial"/>
        </w:rPr>
      </w:pPr>
      <w:r w:rsidRPr="005914B6">
        <w:rPr>
          <w:rFonts w:cs="Arial"/>
        </w:rPr>
        <w:t xml:space="preserve"> </w:t>
      </w:r>
    </w:p>
    <w:p w14:paraId="1E15D69B" w14:textId="2809058F" w:rsidR="003D7AD4" w:rsidRPr="005914B6" w:rsidRDefault="003D7AD4" w:rsidP="003D7AD4">
      <w:pPr>
        <w:ind w:left="360"/>
        <w:jc w:val="both"/>
        <w:rPr>
          <w:rFonts w:cs="Arial"/>
        </w:rPr>
      </w:pPr>
      <w:r w:rsidRPr="005914B6">
        <w:rPr>
          <w:rFonts w:cs="Arial"/>
        </w:rPr>
        <w:t>Se tiene previsto que cada INE pueda participar en la reunión con dos representantes, gestionándose la respectiva compra de billetes aéreos por un monto aproximado de US$ 1000</w:t>
      </w:r>
      <w:r w:rsidR="00412771" w:rsidRPr="005914B6">
        <w:rPr>
          <w:rFonts w:cs="Arial"/>
        </w:rPr>
        <w:t xml:space="preserve"> (</w:t>
      </w:r>
      <w:r w:rsidR="007406E3" w:rsidRPr="005914B6">
        <w:rPr>
          <w:rFonts w:cs="Arial"/>
        </w:rPr>
        <w:t xml:space="preserve">un </w:t>
      </w:r>
      <w:r w:rsidR="00412771" w:rsidRPr="005914B6">
        <w:rPr>
          <w:rFonts w:cs="Arial"/>
        </w:rPr>
        <w:t>mil y 00/100 Dólares Americanos)</w:t>
      </w:r>
      <w:r w:rsidRPr="005914B6">
        <w:rPr>
          <w:rFonts w:cs="Arial"/>
        </w:rPr>
        <w:t xml:space="preserve"> por persona y la entrega de viáticos a cada participante equivalente a US$ 360 </w:t>
      </w:r>
      <w:r w:rsidR="007406E3" w:rsidRPr="005914B6">
        <w:rPr>
          <w:rFonts w:cs="Arial"/>
        </w:rPr>
        <w:t xml:space="preserve">(trescientos sesenta y 00/100 Dólares Americanos) </w:t>
      </w:r>
      <w:r w:rsidRPr="005914B6">
        <w:rPr>
          <w:rFonts w:cs="Arial"/>
        </w:rPr>
        <w:t>por cada noche, durante cinco (5) noches. Queda establecido que no se financiará noches adicionales a las cinco (5).</w:t>
      </w:r>
    </w:p>
    <w:p w14:paraId="38E45D84" w14:textId="5DF8BE11" w:rsidR="003D7AD4" w:rsidRPr="005914B6" w:rsidRDefault="003D7AD4" w:rsidP="003D7AD4">
      <w:pPr>
        <w:ind w:left="360"/>
        <w:jc w:val="both"/>
        <w:rPr>
          <w:rFonts w:cs="Arial"/>
        </w:rPr>
      </w:pPr>
      <w:r w:rsidRPr="005914B6">
        <w:rPr>
          <w:rFonts w:cs="Arial"/>
        </w:rPr>
        <w:t>El monto total estimado para la ejecución de esta actividad es de US$ 22400</w:t>
      </w:r>
      <w:r w:rsidR="007406E3" w:rsidRPr="005914B6">
        <w:rPr>
          <w:rFonts w:cs="Arial"/>
        </w:rPr>
        <w:t xml:space="preserve"> (</w:t>
      </w:r>
      <w:r w:rsidR="00CB6347" w:rsidRPr="005914B6">
        <w:rPr>
          <w:rFonts w:cs="Arial"/>
        </w:rPr>
        <w:t>veintidós</w:t>
      </w:r>
      <w:r w:rsidR="007406E3" w:rsidRPr="005914B6">
        <w:rPr>
          <w:rFonts w:cs="Arial"/>
        </w:rPr>
        <w:t xml:space="preserve"> mil </w:t>
      </w:r>
      <w:r w:rsidR="00CB6347" w:rsidRPr="005914B6">
        <w:rPr>
          <w:rFonts w:cs="Arial"/>
        </w:rPr>
        <w:t xml:space="preserve">cuatrocientos </w:t>
      </w:r>
      <w:r w:rsidR="007406E3" w:rsidRPr="005914B6">
        <w:rPr>
          <w:rFonts w:cs="Arial"/>
        </w:rPr>
        <w:t>y 00/100 Dólares Americanos)</w:t>
      </w:r>
      <w:r w:rsidRPr="005914B6">
        <w:rPr>
          <w:rFonts w:cs="Arial"/>
        </w:rPr>
        <w:t xml:space="preserve"> y será financiado por el fondo de contraparte del PEC.</w:t>
      </w:r>
    </w:p>
    <w:p w14:paraId="70E82D32" w14:textId="77777777" w:rsidR="003D7AD4" w:rsidRPr="005914B6" w:rsidRDefault="003D7AD4" w:rsidP="003D7AD4">
      <w:pPr>
        <w:ind w:left="360"/>
        <w:jc w:val="both"/>
        <w:rPr>
          <w:rFonts w:cs="Arial"/>
        </w:rPr>
      </w:pPr>
      <w:r w:rsidRPr="005914B6">
        <w:rPr>
          <w:rFonts w:cs="Arial"/>
        </w:rPr>
        <w:t>Todos los participantes financiados con recursos del PEC deberán presentar a la SGCAN, dentro de los diez (10) días siguientes al término de su participación en el evento, un informe general sobre las actividades realizadas, adjuntando los pases de abordaje correspondientes, para los trámites requeridos por el área administrativa de la SGCAN.</w:t>
      </w:r>
    </w:p>
    <w:p w14:paraId="79403AAC" w14:textId="77777777" w:rsidR="003D7AD4" w:rsidRPr="005914B6" w:rsidRDefault="003D7AD4" w:rsidP="003D7AD4">
      <w:pPr>
        <w:ind w:left="425"/>
        <w:jc w:val="both"/>
        <w:rPr>
          <w:rFonts w:cs="Arial"/>
        </w:rPr>
      </w:pPr>
    </w:p>
    <w:p w14:paraId="6928926E" w14:textId="77777777" w:rsidR="00CB6347" w:rsidRPr="005914B6" w:rsidRDefault="00CB6347" w:rsidP="003D7AD4">
      <w:pPr>
        <w:ind w:left="425"/>
        <w:jc w:val="both"/>
        <w:rPr>
          <w:rFonts w:cs="Arial"/>
        </w:rPr>
      </w:pPr>
    </w:p>
    <w:p w14:paraId="46B0981F" w14:textId="77777777" w:rsidR="00CB6347" w:rsidRPr="005914B6" w:rsidRDefault="00CB6347" w:rsidP="003D7AD4">
      <w:pPr>
        <w:ind w:left="425"/>
        <w:jc w:val="both"/>
        <w:rPr>
          <w:rFonts w:cs="Arial"/>
        </w:rPr>
      </w:pPr>
    </w:p>
    <w:p w14:paraId="3017CBF3" w14:textId="77777777" w:rsidR="003D7AD4" w:rsidRPr="005914B6" w:rsidRDefault="003D7AD4" w:rsidP="003D7AD4">
      <w:pPr>
        <w:pStyle w:val="Prrafodelista"/>
        <w:numPr>
          <w:ilvl w:val="0"/>
          <w:numId w:val="14"/>
        </w:numPr>
        <w:spacing w:after="0" w:line="240" w:lineRule="auto"/>
        <w:contextualSpacing w:val="0"/>
        <w:jc w:val="both"/>
        <w:rPr>
          <w:rFonts w:cs="Arial"/>
        </w:rPr>
      </w:pPr>
      <w:r w:rsidRPr="005914B6">
        <w:rPr>
          <w:rFonts w:cs="Arial"/>
          <w:b/>
          <w:bCs/>
        </w:rPr>
        <w:lastRenderedPageBreak/>
        <w:t>Participación de los INE en la Conferencia Estadística de las Américas (CEA-CEPAL)</w:t>
      </w:r>
    </w:p>
    <w:p w14:paraId="1BF7FFAC" w14:textId="77777777" w:rsidR="003D7AD4" w:rsidRPr="005914B6" w:rsidRDefault="003D7AD4" w:rsidP="003D7AD4">
      <w:pPr>
        <w:ind w:left="360"/>
        <w:jc w:val="both"/>
        <w:rPr>
          <w:rFonts w:cs="Arial"/>
        </w:rPr>
      </w:pPr>
    </w:p>
    <w:p w14:paraId="14182D86" w14:textId="77777777" w:rsidR="003D7AD4" w:rsidRPr="005914B6" w:rsidRDefault="003D7AD4" w:rsidP="003D7AD4">
      <w:pPr>
        <w:ind w:left="360"/>
        <w:jc w:val="both"/>
        <w:rPr>
          <w:rFonts w:cs="Arial"/>
        </w:rPr>
      </w:pPr>
      <w:r w:rsidRPr="005914B6">
        <w:rPr>
          <w:rFonts w:cs="Arial"/>
        </w:rPr>
        <w:t>La Reunión de la Conferencia Estadística de las Américas (CEA-CEPAL) está prevista a desarrollarse en agosto o</w:t>
      </w:r>
      <w:r w:rsidRPr="005914B6">
        <w:rPr>
          <w:rFonts w:cs="Arial"/>
          <w:b/>
          <w:bCs/>
        </w:rPr>
        <w:t xml:space="preserve"> </w:t>
      </w:r>
      <w:r w:rsidRPr="005914B6">
        <w:rPr>
          <w:rFonts w:cs="Arial"/>
        </w:rPr>
        <w:t>septiembre de 2024, cuyo objetivo es llevar a cabo las tareas asignadas por la Conferencia y efectuar el seguimiento de estas y de la aplicación de los acuerdos aprobados. Esta conferencia contribuirá al progreso de las políticas y actividades de estadística en los países de la región y promoverá la cooperación internacional, regional y bilateral entre los Institutos Nacionales de Estadística y los organismos internacionales y regionales. Por estas razones se considera pertinente la participación de los países miembros de la CAN en este escenario de alto nivel.</w:t>
      </w:r>
    </w:p>
    <w:p w14:paraId="067851DD" w14:textId="18A603F4" w:rsidR="003D7AD4" w:rsidRPr="005914B6" w:rsidRDefault="003D7AD4" w:rsidP="003D7AD4">
      <w:pPr>
        <w:ind w:left="360"/>
        <w:jc w:val="both"/>
        <w:rPr>
          <w:rFonts w:cs="Arial"/>
        </w:rPr>
      </w:pPr>
      <w:r w:rsidRPr="005914B6">
        <w:rPr>
          <w:rFonts w:cs="Arial"/>
        </w:rPr>
        <w:t>Por lo anterior se tiene previsto que cada INE participe en la reunión con dos representantes, gestionándose la respectiva compra de billetes aéreos por un monto aproximado de US$ 800</w:t>
      </w:r>
      <w:r w:rsidR="00CB6347" w:rsidRPr="005914B6">
        <w:rPr>
          <w:rFonts w:cs="Arial"/>
        </w:rPr>
        <w:t xml:space="preserve"> (ochocientos y 00/100 Dólares Americanos)</w:t>
      </w:r>
      <w:r w:rsidRPr="005914B6">
        <w:rPr>
          <w:rFonts w:cs="Arial"/>
        </w:rPr>
        <w:t xml:space="preserve"> por persona y la entrega de viáticos a cada participante equivalente a US$ 240</w:t>
      </w:r>
      <w:r w:rsidR="00CB6347" w:rsidRPr="005914B6">
        <w:rPr>
          <w:rFonts w:cs="Arial"/>
        </w:rPr>
        <w:t xml:space="preserve"> (doscientos cuarenta y 00/100 Dólares Americanos)</w:t>
      </w:r>
      <w:r w:rsidRPr="005914B6">
        <w:rPr>
          <w:rFonts w:cs="Arial"/>
        </w:rPr>
        <w:t xml:space="preserve"> por cada noche, durante cinco (5) noches. Queda establecido que no se financiará noches adicionales a las cinco (5).</w:t>
      </w:r>
    </w:p>
    <w:p w14:paraId="1E4A99D3" w14:textId="5749E247" w:rsidR="003D7AD4" w:rsidRPr="005914B6" w:rsidRDefault="003D7AD4" w:rsidP="003D7AD4">
      <w:pPr>
        <w:ind w:left="360"/>
        <w:jc w:val="both"/>
        <w:rPr>
          <w:rFonts w:cs="Arial"/>
        </w:rPr>
      </w:pPr>
      <w:r w:rsidRPr="005914B6">
        <w:rPr>
          <w:rFonts w:cs="Arial"/>
        </w:rPr>
        <w:t>El monto total estimado para la ejecución de esta actividad es de US$ 16000</w:t>
      </w:r>
      <w:r w:rsidR="00B72A53" w:rsidRPr="005914B6">
        <w:rPr>
          <w:rFonts w:cs="Arial"/>
        </w:rPr>
        <w:t xml:space="preserve"> (dieciséis mil y 00/100 Dólares Americanos)</w:t>
      </w:r>
      <w:r w:rsidRPr="005914B6">
        <w:rPr>
          <w:rFonts w:cs="Arial"/>
        </w:rPr>
        <w:t xml:space="preserve"> y será financiado por el fondo de contraparte del PEC.</w:t>
      </w:r>
    </w:p>
    <w:p w14:paraId="15063ED0" w14:textId="77777777" w:rsidR="003D7AD4" w:rsidRPr="005914B6" w:rsidRDefault="003D7AD4" w:rsidP="003D7AD4">
      <w:pPr>
        <w:ind w:left="360"/>
        <w:jc w:val="both"/>
        <w:rPr>
          <w:rFonts w:cs="Arial"/>
        </w:rPr>
      </w:pPr>
      <w:r w:rsidRPr="005914B6">
        <w:rPr>
          <w:rFonts w:cs="Arial"/>
        </w:rPr>
        <w:t>Todos los participantes financiados con recursos del PEC deberán presentar a la SGCAN, dentro de los diez (10) días siguientes al término de su participación en el evento, un informe general sobre las actividades realizadas, adjuntando los pases de abordaje correspondientes, para los trámites requeridos por el área administrativa de la SGCAN.</w:t>
      </w:r>
    </w:p>
    <w:p w14:paraId="2BA46E55" w14:textId="77777777" w:rsidR="003D7AD4" w:rsidRPr="005914B6" w:rsidRDefault="003D7AD4" w:rsidP="003D7AD4">
      <w:pPr>
        <w:autoSpaceDE w:val="0"/>
        <w:autoSpaceDN w:val="0"/>
        <w:adjustRightInd w:val="0"/>
        <w:ind w:right="-1"/>
        <w:rPr>
          <w:rFonts w:cs="Arial"/>
          <w:b/>
        </w:rPr>
      </w:pPr>
    </w:p>
    <w:p w14:paraId="5E297244" w14:textId="77777777" w:rsidR="003D7AD4" w:rsidRPr="005914B6" w:rsidRDefault="003D7AD4" w:rsidP="003D7AD4">
      <w:pPr>
        <w:ind w:right="-1"/>
        <w:jc w:val="center"/>
        <w:rPr>
          <w:rFonts w:cs="Arial"/>
        </w:rPr>
      </w:pPr>
      <w:r w:rsidRPr="005914B6">
        <w:rPr>
          <w:rFonts w:cs="Arial"/>
        </w:rPr>
        <w:t>* * *</w:t>
      </w:r>
    </w:p>
    <w:p w14:paraId="77118E2A" w14:textId="77777777" w:rsidR="003D7AD4" w:rsidRPr="005914B6" w:rsidRDefault="003D7AD4" w:rsidP="003D7AD4">
      <w:pPr>
        <w:ind w:right="-1"/>
        <w:jc w:val="center"/>
        <w:rPr>
          <w:rFonts w:cs="Arial"/>
        </w:rPr>
      </w:pPr>
    </w:p>
    <w:p w14:paraId="50BD76EF" w14:textId="77777777" w:rsidR="006A0DF1" w:rsidRPr="005914B6" w:rsidRDefault="006A0DF1" w:rsidP="003D7AD4">
      <w:pPr>
        <w:ind w:right="-1"/>
        <w:jc w:val="center"/>
        <w:rPr>
          <w:rFonts w:cs="Arial"/>
        </w:rPr>
      </w:pPr>
    </w:p>
    <w:p w14:paraId="03B63605" w14:textId="77777777" w:rsidR="006A0DF1" w:rsidRPr="005914B6" w:rsidRDefault="006A0DF1" w:rsidP="003D7AD4">
      <w:pPr>
        <w:ind w:right="-1"/>
        <w:jc w:val="center"/>
        <w:rPr>
          <w:rFonts w:cs="Arial"/>
        </w:rPr>
      </w:pPr>
    </w:p>
    <w:p w14:paraId="28C472DE" w14:textId="77777777" w:rsidR="006A0DF1" w:rsidRPr="005914B6" w:rsidRDefault="006A0DF1" w:rsidP="003D7AD4">
      <w:pPr>
        <w:ind w:right="-1"/>
        <w:jc w:val="center"/>
        <w:rPr>
          <w:rFonts w:cs="Arial"/>
        </w:rPr>
      </w:pPr>
    </w:p>
    <w:p w14:paraId="68AE26A5" w14:textId="77777777" w:rsidR="006A0DF1" w:rsidRPr="005914B6" w:rsidRDefault="006A0DF1" w:rsidP="003D7AD4">
      <w:pPr>
        <w:ind w:right="-1"/>
        <w:jc w:val="center"/>
        <w:rPr>
          <w:rFonts w:cs="Arial"/>
        </w:rPr>
      </w:pPr>
    </w:p>
    <w:p w14:paraId="28E5C1E6" w14:textId="77777777" w:rsidR="006A0DF1" w:rsidRPr="005914B6" w:rsidRDefault="006A0DF1" w:rsidP="003D7AD4">
      <w:pPr>
        <w:ind w:right="-1"/>
        <w:jc w:val="center"/>
        <w:rPr>
          <w:rFonts w:cs="Arial"/>
        </w:rPr>
      </w:pPr>
    </w:p>
    <w:p w14:paraId="39318D06" w14:textId="77777777" w:rsidR="006A0DF1" w:rsidRPr="005914B6" w:rsidRDefault="006A0DF1" w:rsidP="003D7AD4">
      <w:pPr>
        <w:ind w:right="-1"/>
        <w:jc w:val="center"/>
        <w:rPr>
          <w:rFonts w:cs="Arial"/>
        </w:rPr>
      </w:pPr>
    </w:p>
    <w:p w14:paraId="2845553C" w14:textId="77777777" w:rsidR="006A0DF1" w:rsidRPr="005914B6" w:rsidRDefault="006A0DF1" w:rsidP="003D7AD4">
      <w:pPr>
        <w:ind w:right="-1"/>
        <w:jc w:val="center"/>
        <w:rPr>
          <w:rFonts w:cs="Arial"/>
        </w:rPr>
      </w:pPr>
    </w:p>
    <w:p w14:paraId="64C84995" w14:textId="77777777" w:rsidR="006A0DF1" w:rsidRPr="005914B6" w:rsidRDefault="006A0DF1" w:rsidP="003D7AD4">
      <w:pPr>
        <w:ind w:right="-1"/>
        <w:jc w:val="center"/>
        <w:rPr>
          <w:rFonts w:cs="Arial"/>
        </w:rPr>
      </w:pPr>
    </w:p>
    <w:p w14:paraId="265D5F4D" w14:textId="77777777" w:rsidR="006A0DF1" w:rsidRPr="005914B6" w:rsidRDefault="006A0DF1" w:rsidP="003D7AD4">
      <w:pPr>
        <w:ind w:right="-1"/>
        <w:jc w:val="center"/>
        <w:rPr>
          <w:rFonts w:cs="Arial"/>
        </w:rPr>
      </w:pPr>
    </w:p>
    <w:p w14:paraId="7EF92494" w14:textId="77777777" w:rsidR="006A0DF1" w:rsidRPr="005914B6" w:rsidRDefault="006A0DF1" w:rsidP="003D7AD4">
      <w:pPr>
        <w:ind w:right="-1"/>
        <w:jc w:val="center"/>
        <w:rPr>
          <w:rFonts w:cs="Arial"/>
        </w:rPr>
      </w:pPr>
    </w:p>
    <w:p w14:paraId="3A3CF806" w14:textId="7971CE48" w:rsidR="000F10C1" w:rsidRPr="005914B6" w:rsidRDefault="000F10C1" w:rsidP="006A0DF1">
      <w:pPr>
        <w:autoSpaceDE w:val="0"/>
        <w:autoSpaceDN w:val="0"/>
        <w:adjustRightInd w:val="0"/>
        <w:spacing w:after="0"/>
        <w:ind w:right="-1"/>
        <w:jc w:val="center"/>
        <w:rPr>
          <w:rFonts w:cs="Arial"/>
          <w:b/>
        </w:rPr>
      </w:pPr>
      <w:r w:rsidRPr="005914B6">
        <w:rPr>
          <w:rFonts w:cs="Arial"/>
          <w:b/>
        </w:rPr>
        <w:lastRenderedPageBreak/>
        <w:t>ANEXO II</w:t>
      </w:r>
    </w:p>
    <w:p w14:paraId="0A7F6E84" w14:textId="77777777" w:rsidR="000F10C1" w:rsidRPr="005914B6" w:rsidRDefault="000F10C1" w:rsidP="006A0DF1">
      <w:pPr>
        <w:autoSpaceDE w:val="0"/>
        <w:autoSpaceDN w:val="0"/>
        <w:adjustRightInd w:val="0"/>
        <w:spacing w:after="0"/>
        <w:ind w:right="-1"/>
        <w:jc w:val="center"/>
        <w:rPr>
          <w:rFonts w:cs="Arial"/>
          <w:b/>
        </w:rPr>
      </w:pPr>
    </w:p>
    <w:p w14:paraId="7787DDEF" w14:textId="2BC185F6" w:rsidR="003D7AD4" w:rsidRPr="005914B6" w:rsidRDefault="003D7AD4" w:rsidP="006A0DF1">
      <w:pPr>
        <w:autoSpaceDE w:val="0"/>
        <w:autoSpaceDN w:val="0"/>
        <w:adjustRightInd w:val="0"/>
        <w:spacing w:after="0"/>
        <w:ind w:right="-1"/>
        <w:jc w:val="center"/>
        <w:rPr>
          <w:rFonts w:cs="Arial"/>
          <w:b/>
        </w:rPr>
      </w:pPr>
      <w:r w:rsidRPr="005914B6">
        <w:rPr>
          <w:rFonts w:cs="Arial"/>
          <w:b/>
        </w:rPr>
        <w:t>PROGRAMACIÓN DE GASTOS DEL POA 2024</w:t>
      </w:r>
    </w:p>
    <w:p w14:paraId="325A239E" w14:textId="77777777" w:rsidR="003D7AD4" w:rsidRPr="005914B6" w:rsidRDefault="003D7AD4" w:rsidP="006A0DF1">
      <w:pPr>
        <w:autoSpaceDE w:val="0"/>
        <w:autoSpaceDN w:val="0"/>
        <w:adjustRightInd w:val="0"/>
        <w:spacing w:after="0"/>
        <w:ind w:right="-1"/>
        <w:jc w:val="center"/>
        <w:rPr>
          <w:rFonts w:cs="Arial"/>
          <w:b/>
        </w:rPr>
      </w:pPr>
      <w:r w:rsidRPr="005914B6">
        <w:rPr>
          <w:rFonts w:cs="Arial"/>
          <w:b/>
        </w:rPr>
        <w:t>(En dólares americanos)</w:t>
      </w:r>
    </w:p>
    <w:tbl>
      <w:tblPr>
        <w:tblW w:w="5000" w:type="pct"/>
        <w:tblCellMar>
          <w:left w:w="70" w:type="dxa"/>
          <w:right w:w="70" w:type="dxa"/>
        </w:tblCellMar>
        <w:tblLook w:val="04A0" w:firstRow="1" w:lastRow="0" w:firstColumn="1" w:lastColumn="0" w:noHBand="0" w:noVBand="1"/>
      </w:tblPr>
      <w:tblGrid>
        <w:gridCol w:w="2357"/>
        <w:gridCol w:w="648"/>
        <w:gridCol w:w="586"/>
        <w:gridCol w:w="645"/>
        <w:gridCol w:w="616"/>
        <w:gridCol w:w="702"/>
        <w:gridCol w:w="3214"/>
      </w:tblGrid>
      <w:tr w:rsidR="003D7AD4" w:rsidRPr="005914B6" w14:paraId="494A2D46" w14:textId="77777777" w:rsidTr="00945683">
        <w:trPr>
          <w:trHeight w:val="20"/>
        </w:trPr>
        <w:tc>
          <w:tcPr>
            <w:tcW w:w="1353" w:type="pct"/>
            <w:tcBorders>
              <w:top w:val="single" w:sz="8" w:space="0" w:color="auto"/>
              <w:left w:val="single" w:sz="8" w:space="0" w:color="auto"/>
              <w:bottom w:val="single" w:sz="8" w:space="0" w:color="auto"/>
              <w:right w:val="single" w:sz="8" w:space="0" w:color="auto"/>
            </w:tcBorders>
            <w:shd w:val="clear" w:color="000000" w:fill="1F497D"/>
            <w:noWrap/>
            <w:vAlign w:val="center"/>
            <w:hideMark/>
          </w:tcPr>
          <w:p w14:paraId="47153FBC"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PRESUPUESTO</w:t>
            </w:r>
          </w:p>
        </w:tc>
        <w:tc>
          <w:tcPr>
            <w:tcW w:w="378" w:type="pct"/>
            <w:tcBorders>
              <w:top w:val="single" w:sz="8" w:space="0" w:color="auto"/>
              <w:left w:val="nil"/>
              <w:bottom w:val="single" w:sz="8" w:space="0" w:color="auto"/>
              <w:right w:val="single" w:sz="8" w:space="0" w:color="auto"/>
            </w:tcBorders>
            <w:shd w:val="clear" w:color="000000" w:fill="1F497D"/>
            <w:noWrap/>
            <w:vAlign w:val="center"/>
            <w:hideMark/>
          </w:tcPr>
          <w:p w14:paraId="153AF940"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 xml:space="preserve">1° </w:t>
            </w:r>
          </w:p>
          <w:p w14:paraId="1278B996" w14:textId="77777777" w:rsidR="003D7AD4" w:rsidRPr="005914B6" w:rsidRDefault="003D7AD4" w:rsidP="00945683">
            <w:pPr>
              <w:jc w:val="center"/>
              <w:rPr>
                <w:rFonts w:cs="Arial"/>
                <w:b/>
                <w:bCs/>
                <w:color w:val="FFFFFF"/>
                <w:sz w:val="18"/>
                <w:szCs w:val="18"/>
                <w:lang w:eastAsia="es-PE"/>
              </w:rPr>
            </w:pPr>
            <w:proofErr w:type="spellStart"/>
            <w:r w:rsidRPr="005914B6">
              <w:rPr>
                <w:rFonts w:cs="Arial"/>
                <w:b/>
                <w:bCs/>
                <w:color w:val="FFFFFF"/>
                <w:sz w:val="18"/>
                <w:szCs w:val="18"/>
                <w:lang w:eastAsia="es-PE"/>
              </w:rPr>
              <w:t>Trim</w:t>
            </w:r>
            <w:proofErr w:type="spellEnd"/>
            <w:r w:rsidRPr="005914B6">
              <w:rPr>
                <w:rFonts w:cs="Arial"/>
                <w:b/>
                <w:bCs/>
                <w:color w:val="FFFFFF"/>
                <w:sz w:val="18"/>
                <w:szCs w:val="18"/>
                <w:lang w:eastAsia="es-PE"/>
              </w:rPr>
              <w:t>.</w:t>
            </w:r>
          </w:p>
        </w:tc>
        <w:tc>
          <w:tcPr>
            <w:tcW w:w="343" w:type="pct"/>
            <w:tcBorders>
              <w:top w:val="single" w:sz="8" w:space="0" w:color="auto"/>
              <w:left w:val="nil"/>
              <w:bottom w:val="single" w:sz="8" w:space="0" w:color="auto"/>
              <w:right w:val="single" w:sz="8" w:space="0" w:color="auto"/>
            </w:tcBorders>
            <w:shd w:val="clear" w:color="000000" w:fill="1F497D"/>
            <w:noWrap/>
            <w:vAlign w:val="center"/>
            <w:hideMark/>
          </w:tcPr>
          <w:p w14:paraId="3C745ED9"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 xml:space="preserve">2° </w:t>
            </w:r>
          </w:p>
          <w:p w14:paraId="57677CE1" w14:textId="77777777" w:rsidR="003D7AD4" w:rsidRPr="005914B6" w:rsidRDefault="003D7AD4" w:rsidP="00945683">
            <w:pPr>
              <w:jc w:val="center"/>
              <w:rPr>
                <w:rFonts w:cs="Arial"/>
                <w:b/>
                <w:bCs/>
                <w:color w:val="FFFFFF"/>
                <w:sz w:val="18"/>
                <w:szCs w:val="18"/>
                <w:lang w:eastAsia="es-PE"/>
              </w:rPr>
            </w:pPr>
            <w:proofErr w:type="spellStart"/>
            <w:r w:rsidRPr="005914B6">
              <w:rPr>
                <w:rFonts w:cs="Arial"/>
                <w:b/>
                <w:bCs/>
                <w:color w:val="FFFFFF"/>
                <w:sz w:val="18"/>
                <w:szCs w:val="18"/>
                <w:lang w:eastAsia="es-PE"/>
              </w:rPr>
              <w:t>Trim</w:t>
            </w:r>
            <w:proofErr w:type="spellEnd"/>
            <w:r w:rsidRPr="005914B6">
              <w:rPr>
                <w:rFonts w:cs="Arial"/>
                <w:b/>
                <w:bCs/>
                <w:color w:val="FFFFFF"/>
                <w:sz w:val="18"/>
                <w:szCs w:val="18"/>
                <w:lang w:eastAsia="es-PE"/>
              </w:rPr>
              <w:t>.</w:t>
            </w:r>
          </w:p>
        </w:tc>
        <w:tc>
          <w:tcPr>
            <w:tcW w:w="368" w:type="pct"/>
            <w:tcBorders>
              <w:top w:val="single" w:sz="8" w:space="0" w:color="auto"/>
              <w:left w:val="nil"/>
              <w:bottom w:val="single" w:sz="8" w:space="0" w:color="auto"/>
              <w:right w:val="single" w:sz="8" w:space="0" w:color="auto"/>
            </w:tcBorders>
            <w:shd w:val="clear" w:color="000000" w:fill="1F497D"/>
            <w:noWrap/>
            <w:vAlign w:val="center"/>
            <w:hideMark/>
          </w:tcPr>
          <w:p w14:paraId="382E999B"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3°</w:t>
            </w:r>
          </w:p>
          <w:p w14:paraId="6EC7AF4A" w14:textId="77777777" w:rsidR="003D7AD4" w:rsidRPr="005914B6" w:rsidRDefault="003D7AD4" w:rsidP="00945683">
            <w:pPr>
              <w:jc w:val="center"/>
              <w:rPr>
                <w:rFonts w:cs="Arial"/>
                <w:b/>
                <w:bCs/>
                <w:color w:val="FFFFFF"/>
                <w:sz w:val="18"/>
                <w:szCs w:val="18"/>
                <w:lang w:eastAsia="es-PE"/>
              </w:rPr>
            </w:pPr>
            <w:proofErr w:type="spellStart"/>
            <w:r w:rsidRPr="005914B6">
              <w:rPr>
                <w:rFonts w:cs="Arial"/>
                <w:b/>
                <w:bCs/>
                <w:color w:val="FFFFFF"/>
                <w:sz w:val="18"/>
                <w:szCs w:val="18"/>
                <w:lang w:eastAsia="es-PE"/>
              </w:rPr>
              <w:t>Trim</w:t>
            </w:r>
            <w:proofErr w:type="spellEnd"/>
            <w:r w:rsidRPr="005914B6">
              <w:rPr>
                <w:rFonts w:cs="Arial"/>
                <w:b/>
                <w:bCs/>
                <w:color w:val="FFFFFF"/>
                <w:sz w:val="18"/>
                <w:szCs w:val="18"/>
                <w:lang w:eastAsia="es-PE"/>
              </w:rPr>
              <w:t>.</w:t>
            </w:r>
          </w:p>
        </w:tc>
        <w:tc>
          <w:tcPr>
            <w:tcW w:w="360" w:type="pct"/>
            <w:tcBorders>
              <w:top w:val="single" w:sz="8" w:space="0" w:color="auto"/>
              <w:left w:val="nil"/>
              <w:bottom w:val="single" w:sz="8" w:space="0" w:color="auto"/>
              <w:right w:val="double" w:sz="6" w:space="0" w:color="auto"/>
            </w:tcBorders>
            <w:shd w:val="clear" w:color="000000" w:fill="1F497D"/>
            <w:noWrap/>
            <w:vAlign w:val="center"/>
            <w:hideMark/>
          </w:tcPr>
          <w:p w14:paraId="7D9C9DDE"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4°</w:t>
            </w:r>
          </w:p>
          <w:p w14:paraId="7C6154BE" w14:textId="77777777" w:rsidR="003D7AD4" w:rsidRPr="005914B6" w:rsidRDefault="003D7AD4" w:rsidP="00945683">
            <w:pPr>
              <w:jc w:val="center"/>
              <w:rPr>
                <w:rFonts w:cs="Arial"/>
                <w:b/>
                <w:bCs/>
                <w:color w:val="FFFFFF"/>
                <w:sz w:val="18"/>
                <w:szCs w:val="18"/>
                <w:lang w:eastAsia="es-PE"/>
              </w:rPr>
            </w:pPr>
            <w:proofErr w:type="spellStart"/>
            <w:r w:rsidRPr="005914B6">
              <w:rPr>
                <w:rFonts w:cs="Arial"/>
                <w:b/>
                <w:bCs/>
                <w:color w:val="FFFFFF"/>
                <w:sz w:val="18"/>
                <w:szCs w:val="18"/>
                <w:lang w:eastAsia="es-PE"/>
              </w:rPr>
              <w:t>Trim</w:t>
            </w:r>
            <w:proofErr w:type="spellEnd"/>
            <w:r w:rsidRPr="005914B6">
              <w:rPr>
                <w:rFonts w:cs="Arial"/>
                <w:b/>
                <w:bCs/>
                <w:color w:val="FFFFFF"/>
                <w:sz w:val="18"/>
                <w:szCs w:val="18"/>
                <w:lang w:eastAsia="es-PE"/>
              </w:rPr>
              <w:t>.</w:t>
            </w:r>
          </w:p>
        </w:tc>
        <w:tc>
          <w:tcPr>
            <w:tcW w:w="409" w:type="pct"/>
            <w:tcBorders>
              <w:top w:val="double" w:sz="6" w:space="0" w:color="auto"/>
              <w:left w:val="nil"/>
              <w:bottom w:val="single" w:sz="8" w:space="0" w:color="auto"/>
              <w:right w:val="double" w:sz="6" w:space="0" w:color="auto"/>
            </w:tcBorders>
            <w:shd w:val="clear" w:color="000000" w:fill="1F497D"/>
            <w:noWrap/>
            <w:vAlign w:val="center"/>
            <w:hideMark/>
          </w:tcPr>
          <w:p w14:paraId="3CFCEA0B"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2024</w:t>
            </w:r>
          </w:p>
        </w:tc>
        <w:tc>
          <w:tcPr>
            <w:tcW w:w="1789" w:type="pct"/>
            <w:tcBorders>
              <w:top w:val="single" w:sz="8" w:space="0" w:color="auto"/>
              <w:left w:val="nil"/>
              <w:bottom w:val="single" w:sz="8" w:space="0" w:color="auto"/>
              <w:right w:val="single" w:sz="8" w:space="0" w:color="auto"/>
            </w:tcBorders>
            <w:shd w:val="clear" w:color="000000" w:fill="1F497D"/>
            <w:noWrap/>
            <w:vAlign w:val="center"/>
            <w:hideMark/>
          </w:tcPr>
          <w:p w14:paraId="4DAB8CED" w14:textId="77777777" w:rsidR="003D7AD4" w:rsidRPr="005914B6" w:rsidRDefault="003D7AD4" w:rsidP="00945683">
            <w:pPr>
              <w:jc w:val="center"/>
              <w:rPr>
                <w:rFonts w:cs="Arial"/>
                <w:b/>
                <w:bCs/>
                <w:color w:val="FFFFFF"/>
                <w:sz w:val="18"/>
                <w:szCs w:val="18"/>
                <w:lang w:eastAsia="es-PE"/>
              </w:rPr>
            </w:pPr>
            <w:r w:rsidRPr="005914B6">
              <w:rPr>
                <w:rFonts w:cs="Arial"/>
                <w:b/>
                <w:bCs/>
                <w:color w:val="FFFFFF"/>
                <w:sz w:val="18"/>
                <w:szCs w:val="18"/>
                <w:lang w:eastAsia="es-PE"/>
              </w:rPr>
              <w:t>Detalle</w:t>
            </w:r>
          </w:p>
        </w:tc>
      </w:tr>
      <w:tr w:rsidR="003D7AD4" w:rsidRPr="005914B6" w14:paraId="45B80087" w14:textId="77777777" w:rsidTr="00945683">
        <w:trPr>
          <w:trHeight w:val="20"/>
        </w:trPr>
        <w:tc>
          <w:tcPr>
            <w:tcW w:w="1353" w:type="pct"/>
            <w:tcBorders>
              <w:top w:val="nil"/>
              <w:left w:val="single" w:sz="8" w:space="0" w:color="auto"/>
              <w:bottom w:val="single" w:sz="8" w:space="0" w:color="auto"/>
              <w:right w:val="single" w:sz="8" w:space="0" w:color="auto"/>
            </w:tcBorders>
            <w:shd w:val="clear" w:color="auto" w:fill="auto"/>
            <w:vAlign w:val="center"/>
            <w:hideMark/>
          </w:tcPr>
          <w:p w14:paraId="3DB7B3B7" w14:textId="77777777" w:rsidR="003D7AD4" w:rsidRPr="005914B6" w:rsidRDefault="003D7AD4" w:rsidP="00945683">
            <w:pPr>
              <w:rPr>
                <w:rFonts w:cs="Arial"/>
                <w:b/>
                <w:bCs/>
                <w:color w:val="000000"/>
                <w:sz w:val="18"/>
                <w:szCs w:val="18"/>
                <w:lang w:eastAsia="es-PE"/>
              </w:rPr>
            </w:pPr>
            <w:r w:rsidRPr="005914B6">
              <w:rPr>
                <w:rFonts w:cs="Arial"/>
                <w:b/>
                <w:bCs/>
                <w:color w:val="000000"/>
                <w:sz w:val="18"/>
                <w:szCs w:val="18"/>
                <w:lang w:eastAsia="es-PE"/>
              </w:rPr>
              <w:t>1) Cursos de formación y capacitación en estadística</w:t>
            </w:r>
          </w:p>
        </w:tc>
        <w:tc>
          <w:tcPr>
            <w:tcW w:w="378" w:type="pct"/>
            <w:tcBorders>
              <w:top w:val="nil"/>
              <w:left w:val="nil"/>
              <w:bottom w:val="single" w:sz="8" w:space="0" w:color="auto"/>
              <w:right w:val="single" w:sz="8" w:space="0" w:color="auto"/>
            </w:tcBorders>
            <w:shd w:val="clear" w:color="auto" w:fill="auto"/>
            <w:vAlign w:val="center"/>
            <w:hideMark/>
          </w:tcPr>
          <w:p w14:paraId="4B7652CA" w14:textId="77777777" w:rsidR="003D7AD4" w:rsidRPr="005914B6" w:rsidRDefault="003D7AD4" w:rsidP="00945683">
            <w:pPr>
              <w:jc w:val="center"/>
              <w:rPr>
                <w:rFonts w:cs="Arial"/>
                <w:color w:val="000000"/>
                <w:sz w:val="18"/>
                <w:szCs w:val="18"/>
                <w:lang w:eastAsia="es-PE"/>
              </w:rPr>
            </w:pPr>
          </w:p>
        </w:tc>
        <w:tc>
          <w:tcPr>
            <w:tcW w:w="343" w:type="pct"/>
            <w:tcBorders>
              <w:top w:val="nil"/>
              <w:left w:val="nil"/>
              <w:bottom w:val="single" w:sz="8" w:space="0" w:color="auto"/>
              <w:right w:val="single" w:sz="8" w:space="0" w:color="auto"/>
            </w:tcBorders>
            <w:shd w:val="clear" w:color="auto" w:fill="auto"/>
            <w:vAlign w:val="center"/>
            <w:hideMark/>
          </w:tcPr>
          <w:p w14:paraId="1552EB06" w14:textId="77777777" w:rsidR="003D7AD4" w:rsidRPr="005914B6" w:rsidRDefault="003D7AD4" w:rsidP="00945683">
            <w:pPr>
              <w:jc w:val="center"/>
              <w:rPr>
                <w:rFonts w:cs="Arial"/>
                <w:color w:val="000000"/>
                <w:sz w:val="18"/>
                <w:szCs w:val="18"/>
                <w:lang w:eastAsia="es-PE"/>
              </w:rPr>
            </w:pPr>
            <w:r w:rsidRPr="005914B6">
              <w:rPr>
                <w:rFonts w:cs="Arial"/>
                <w:color w:val="000000"/>
                <w:sz w:val="18"/>
                <w:szCs w:val="18"/>
                <w:lang w:eastAsia="es-PE"/>
              </w:rPr>
              <w:t>3.000</w:t>
            </w:r>
          </w:p>
        </w:tc>
        <w:tc>
          <w:tcPr>
            <w:tcW w:w="368" w:type="pct"/>
            <w:tcBorders>
              <w:top w:val="nil"/>
              <w:left w:val="nil"/>
              <w:bottom w:val="single" w:sz="8" w:space="0" w:color="auto"/>
              <w:right w:val="single" w:sz="8" w:space="0" w:color="auto"/>
            </w:tcBorders>
            <w:shd w:val="clear" w:color="auto" w:fill="auto"/>
            <w:vAlign w:val="center"/>
            <w:hideMark/>
          </w:tcPr>
          <w:p w14:paraId="290EFE47" w14:textId="77777777" w:rsidR="003D7AD4" w:rsidRPr="005914B6" w:rsidRDefault="003D7AD4" w:rsidP="00945683">
            <w:pPr>
              <w:jc w:val="center"/>
              <w:rPr>
                <w:rFonts w:cs="Arial"/>
                <w:color w:val="000000"/>
                <w:sz w:val="18"/>
                <w:szCs w:val="18"/>
                <w:lang w:eastAsia="es-PE"/>
              </w:rPr>
            </w:pPr>
            <w:r w:rsidRPr="005914B6">
              <w:rPr>
                <w:rFonts w:cs="Arial"/>
                <w:color w:val="000000"/>
                <w:sz w:val="18"/>
                <w:szCs w:val="18"/>
                <w:lang w:eastAsia="es-PE"/>
              </w:rPr>
              <w:t>3.000</w:t>
            </w:r>
          </w:p>
        </w:tc>
        <w:tc>
          <w:tcPr>
            <w:tcW w:w="360" w:type="pct"/>
            <w:tcBorders>
              <w:top w:val="nil"/>
              <w:left w:val="nil"/>
              <w:bottom w:val="single" w:sz="8" w:space="0" w:color="auto"/>
              <w:right w:val="double" w:sz="6" w:space="0" w:color="auto"/>
            </w:tcBorders>
            <w:shd w:val="clear" w:color="auto" w:fill="auto"/>
            <w:vAlign w:val="center"/>
            <w:hideMark/>
          </w:tcPr>
          <w:p w14:paraId="3F3DAD01" w14:textId="77777777" w:rsidR="003D7AD4" w:rsidRPr="005914B6" w:rsidRDefault="003D7AD4" w:rsidP="00945683">
            <w:pPr>
              <w:jc w:val="center"/>
              <w:rPr>
                <w:rFonts w:cs="Arial"/>
                <w:color w:val="000000"/>
                <w:sz w:val="18"/>
                <w:szCs w:val="18"/>
                <w:lang w:eastAsia="es-PE"/>
              </w:rPr>
            </w:pPr>
          </w:p>
        </w:tc>
        <w:tc>
          <w:tcPr>
            <w:tcW w:w="409" w:type="pct"/>
            <w:tcBorders>
              <w:top w:val="nil"/>
              <w:left w:val="nil"/>
              <w:bottom w:val="single" w:sz="8" w:space="0" w:color="auto"/>
              <w:right w:val="double" w:sz="6" w:space="0" w:color="auto"/>
            </w:tcBorders>
            <w:shd w:val="clear" w:color="auto" w:fill="auto"/>
            <w:vAlign w:val="center"/>
            <w:hideMark/>
          </w:tcPr>
          <w:p w14:paraId="3C22D695"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6.000</w:t>
            </w:r>
          </w:p>
        </w:tc>
        <w:tc>
          <w:tcPr>
            <w:tcW w:w="1789" w:type="pct"/>
            <w:tcBorders>
              <w:top w:val="nil"/>
              <w:left w:val="nil"/>
              <w:bottom w:val="single" w:sz="8" w:space="0" w:color="auto"/>
              <w:right w:val="single" w:sz="8" w:space="0" w:color="auto"/>
            </w:tcBorders>
            <w:shd w:val="clear" w:color="auto" w:fill="auto"/>
            <w:vAlign w:val="center"/>
            <w:hideMark/>
          </w:tcPr>
          <w:p w14:paraId="1F8ED617" w14:textId="66D53D7C" w:rsidR="003D7AD4" w:rsidRPr="005914B6" w:rsidRDefault="003D7AD4" w:rsidP="00945683">
            <w:pPr>
              <w:rPr>
                <w:rFonts w:cs="Arial"/>
                <w:color w:val="000000"/>
                <w:sz w:val="16"/>
                <w:szCs w:val="16"/>
                <w:lang w:eastAsia="es-PE"/>
              </w:rPr>
            </w:pPr>
            <w:r w:rsidRPr="005914B6">
              <w:rPr>
                <w:rFonts w:cs="Arial"/>
                <w:color w:val="000000"/>
                <w:sz w:val="16"/>
                <w:szCs w:val="16"/>
                <w:lang w:eastAsia="es-PE"/>
              </w:rPr>
              <w:t xml:space="preserve">Se toma en cuenta el desarrollo de 2 cursos a ser propuestos en próximo PAT 2024-2027, con un costo de </w:t>
            </w:r>
            <w:r w:rsidR="00835B98" w:rsidRPr="005914B6">
              <w:rPr>
                <w:rFonts w:cs="Arial"/>
                <w:color w:val="000000"/>
                <w:sz w:val="16"/>
                <w:szCs w:val="16"/>
                <w:lang w:eastAsia="es-PE"/>
              </w:rPr>
              <w:t>US$</w:t>
            </w:r>
            <w:r w:rsidRPr="005914B6">
              <w:rPr>
                <w:rFonts w:cs="Arial"/>
                <w:color w:val="000000"/>
                <w:sz w:val="16"/>
                <w:szCs w:val="16"/>
                <w:lang w:eastAsia="es-PE"/>
              </w:rPr>
              <w:t>. 3000 cada uno</w:t>
            </w:r>
            <w:r w:rsidR="00835B98" w:rsidRPr="005914B6">
              <w:rPr>
                <w:rFonts w:cs="Arial"/>
                <w:color w:val="000000"/>
                <w:sz w:val="16"/>
                <w:szCs w:val="16"/>
                <w:lang w:eastAsia="es-PE"/>
              </w:rPr>
              <w:t>.</w:t>
            </w:r>
          </w:p>
        </w:tc>
      </w:tr>
      <w:tr w:rsidR="003D7AD4" w:rsidRPr="005914B6" w14:paraId="68966951" w14:textId="77777777" w:rsidTr="00945683">
        <w:trPr>
          <w:trHeight w:val="20"/>
        </w:trPr>
        <w:tc>
          <w:tcPr>
            <w:tcW w:w="1353" w:type="pct"/>
            <w:tcBorders>
              <w:top w:val="nil"/>
              <w:left w:val="single" w:sz="8" w:space="0" w:color="auto"/>
              <w:bottom w:val="single" w:sz="8" w:space="0" w:color="auto"/>
              <w:right w:val="single" w:sz="8" w:space="0" w:color="auto"/>
            </w:tcBorders>
            <w:shd w:val="clear" w:color="auto" w:fill="auto"/>
            <w:vAlign w:val="center"/>
            <w:hideMark/>
          </w:tcPr>
          <w:p w14:paraId="3EF92285" w14:textId="77777777" w:rsidR="003D7AD4" w:rsidRPr="005914B6" w:rsidRDefault="003D7AD4" w:rsidP="00945683">
            <w:pPr>
              <w:rPr>
                <w:rFonts w:cs="Arial"/>
                <w:b/>
                <w:bCs/>
                <w:color w:val="000000"/>
                <w:sz w:val="18"/>
                <w:szCs w:val="18"/>
                <w:lang w:eastAsia="es-PE"/>
              </w:rPr>
            </w:pPr>
            <w:r w:rsidRPr="005914B6">
              <w:rPr>
                <w:rFonts w:cs="Arial"/>
                <w:b/>
                <w:bCs/>
                <w:color w:val="000000"/>
                <w:sz w:val="18"/>
                <w:szCs w:val="18"/>
                <w:lang w:eastAsia="es-PE"/>
              </w:rPr>
              <w:t>2) Asistencias técnicas como cooperación Horizontal</w:t>
            </w:r>
          </w:p>
        </w:tc>
        <w:tc>
          <w:tcPr>
            <w:tcW w:w="378" w:type="pct"/>
            <w:tcBorders>
              <w:top w:val="nil"/>
              <w:left w:val="nil"/>
              <w:bottom w:val="single" w:sz="8" w:space="0" w:color="auto"/>
              <w:right w:val="single" w:sz="8" w:space="0" w:color="auto"/>
            </w:tcBorders>
            <w:shd w:val="clear" w:color="auto" w:fill="auto"/>
            <w:vAlign w:val="center"/>
            <w:hideMark/>
          </w:tcPr>
          <w:p w14:paraId="76AE1C3C" w14:textId="77777777" w:rsidR="003D7AD4" w:rsidRPr="005914B6" w:rsidRDefault="003D7AD4" w:rsidP="00945683">
            <w:pPr>
              <w:jc w:val="center"/>
              <w:rPr>
                <w:rFonts w:cs="Arial"/>
                <w:color w:val="000000"/>
                <w:sz w:val="18"/>
                <w:szCs w:val="18"/>
                <w:lang w:eastAsia="es-PE"/>
              </w:rPr>
            </w:pPr>
          </w:p>
        </w:tc>
        <w:tc>
          <w:tcPr>
            <w:tcW w:w="343" w:type="pct"/>
            <w:tcBorders>
              <w:top w:val="nil"/>
              <w:left w:val="nil"/>
              <w:bottom w:val="single" w:sz="8" w:space="0" w:color="auto"/>
              <w:right w:val="single" w:sz="8" w:space="0" w:color="auto"/>
            </w:tcBorders>
            <w:shd w:val="clear" w:color="auto" w:fill="auto"/>
            <w:vAlign w:val="center"/>
            <w:hideMark/>
          </w:tcPr>
          <w:p w14:paraId="107E146C" w14:textId="77777777" w:rsidR="003D7AD4" w:rsidRPr="005914B6" w:rsidRDefault="003D7AD4" w:rsidP="00945683">
            <w:pPr>
              <w:jc w:val="center"/>
              <w:rPr>
                <w:rFonts w:cs="Arial"/>
                <w:color w:val="000000"/>
                <w:sz w:val="18"/>
                <w:szCs w:val="18"/>
                <w:lang w:eastAsia="es-PE"/>
              </w:rPr>
            </w:pPr>
          </w:p>
        </w:tc>
        <w:tc>
          <w:tcPr>
            <w:tcW w:w="368" w:type="pct"/>
            <w:tcBorders>
              <w:top w:val="nil"/>
              <w:left w:val="nil"/>
              <w:bottom w:val="single" w:sz="8" w:space="0" w:color="auto"/>
              <w:right w:val="single" w:sz="8" w:space="0" w:color="auto"/>
            </w:tcBorders>
            <w:shd w:val="clear" w:color="auto" w:fill="auto"/>
            <w:vAlign w:val="center"/>
            <w:hideMark/>
          </w:tcPr>
          <w:p w14:paraId="4FE238FE" w14:textId="77777777" w:rsidR="003D7AD4" w:rsidRPr="005914B6" w:rsidRDefault="003D7AD4" w:rsidP="00945683">
            <w:pPr>
              <w:jc w:val="center"/>
              <w:rPr>
                <w:rFonts w:cs="Arial"/>
                <w:color w:val="000000"/>
                <w:sz w:val="18"/>
                <w:szCs w:val="18"/>
                <w:lang w:eastAsia="es-PE"/>
              </w:rPr>
            </w:pPr>
          </w:p>
        </w:tc>
        <w:tc>
          <w:tcPr>
            <w:tcW w:w="360" w:type="pct"/>
            <w:tcBorders>
              <w:top w:val="nil"/>
              <w:left w:val="nil"/>
              <w:bottom w:val="single" w:sz="8" w:space="0" w:color="auto"/>
              <w:right w:val="double" w:sz="6" w:space="0" w:color="auto"/>
            </w:tcBorders>
            <w:shd w:val="clear" w:color="auto" w:fill="auto"/>
            <w:vAlign w:val="center"/>
            <w:hideMark/>
          </w:tcPr>
          <w:p w14:paraId="34B1463C" w14:textId="77777777" w:rsidR="003D7AD4" w:rsidRPr="005914B6" w:rsidRDefault="003D7AD4" w:rsidP="00945683">
            <w:pPr>
              <w:jc w:val="center"/>
              <w:rPr>
                <w:rFonts w:cs="Arial"/>
                <w:color w:val="000000"/>
                <w:sz w:val="18"/>
                <w:szCs w:val="18"/>
                <w:lang w:eastAsia="es-PE"/>
              </w:rPr>
            </w:pPr>
            <w:r w:rsidRPr="005914B6">
              <w:rPr>
                <w:rFonts w:cs="Arial"/>
                <w:color w:val="000000"/>
                <w:sz w:val="18"/>
                <w:szCs w:val="18"/>
                <w:lang w:eastAsia="es-PE"/>
              </w:rPr>
              <w:t>6.000</w:t>
            </w:r>
          </w:p>
        </w:tc>
        <w:tc>
          <w:tcPr>
            <w:tcW w:w="409" w:type="pct"/>
            <w:tcBorders>
              <w:top w:val="nil"/>
              <w:left w:val="nil"/>
              <w:bottom w:val="single" w:sz="8" w:space="0" w:color="auto"/>
              <w:right w:val="double" w:sz="6" w:space="0" w:color="auto"/>
            </w:tcBorders>
            <w:shd w:val="clear" w:color="auto" w:fill="auto"/>
            <w:vAlign w:val="center"/>
            <w:hideMark/>
          </w:tcPr>
          <w:p w14:paraId="0FE03D19"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6.000</w:t>
            </w:r>
          </w:p>
        </w:tc>
        <w:tc>
          <w:tcPr>
            <w:tcW w:w="1789" w:type="pct"/>
            <w:tcBorders>
              <w:top w:val="nil"/>
              <w:left w:val="nil"/>
              <w:bottom w:val="single" w:sz="8" w:space="0" w:color="auto"/>
              <w:right w:val="single" w:sz="8" w:space="0" w:color="auto"/>
            </w:tcBorders>
            <w:shd w:val="clear" w:color="auto" w:fill="auto"/>
            <w:vAlign w:val="center"/>
            <w:hideMark/>
          </w:tcPr>
          <w:p w14:paraId="28949EA2" w14:textId="77777777" w:rsidR="003D7AD4" w:rsidRPr="005914B6" w:rsidRDefault="003D7AD4" w:rsidP="00945683">
            <w:pPr>
              <w:rPr>
                <w:rFonts w:cs="Arial"/>
                <w:color w:val="000000"/>
                <w:sz w:val="16"/>
                <w:szCs w:val="16"/>
                <w:lang w:eastAsia="es-PE"/>
              </w:rPr>
            </w:pPr>
            <w:r w:rsidRPr="005914B6">
              <w:rPr>
                <w:rFonts w:cs="Arial"/>
                <w:color w:val="000000"/>
                <w:sz w:val="16"/>
                <w:szCs w:val="16"/>
                <w:lang w:eastAsia="es-PE"/>
              </w:rPr>
              <w:t>Asistencia en temáticas específicas a ser abordadas por los INE en el marco del PEC, que incluyen actividades posteriores a los cursos de formación que potencialicen el relacionamiento regional (Perfiles de proyecto).</w:t>
            </w:r>
            <w:r w:rsidRPr="005914B6">
              <w:rPr>
                <w:rFonts w:cs="Arial"/>
                <w:color w:val="000000"/>
                <w:sz w:val="16"/>
                <w:szCs w:val="16"/>
                <w:lang w:eastAsia="es-PE"/>
              </w:rPr>
              <w:br/>
              <w:t>Asignación de pasajes aéreos y viáticos para representantes designados.</w:t>
            </w:r>
          </w:p>
        </w:tc>
      </w:tr>
      <w:tr w:rsidR="003D7AD4" w:rsidRPr="005914B6" w14:paraId="730A33E5" w14:textId="77777777" w:rsidTr="00945683">
        <w:trPr>
          <w:trHeight w:val="20"/>
        </w:trPr>
        <w:tc>
          <w:tcPr>
            <w:tcW w:w="1353" w:type="pct"/>
            <w:tcBorders>
              <w:top w:val="nil"/>
              <w:left w:val="single" w:sz="8" w:space="0" w:color="auto"/>
              <w:bottom w:val="single" w:sz="8" w:space="0" w:color="auto"/>
              <w:right w:val="single" w:sz="8" w:space="0" w:color="auto"/>
            </w:tcBorders>
            <w:shd w:val="clear" w:color="auto" w:fill="auto"/>
            <w:vAlign w:val="center"/>
            <w:hideMark/>
          </w:tcPr>
          <w:p w14:paraId="6D5338AA" w14:textId="77777777" w:rsidR="003D7AD4" w:rsidRPr="005914B6" w:rsidRDefault="003D7AD4" w:rsidP="00945683">
            <w:pPr>
              <w:rPr>
                <w:rFonts w:cs="Arial"/>
                <w:b/>
                <w:bCs/>
                <w:color w:val="000000"/>
                <w:sz w:val="18"/>
                <w:szCs w:val="18"/>
                <w:lang w:eastAsia="es-PE"/>
              </w:rPr>
            </w:pPr>
            <w:r w:rsidRPr="005914B6">
              <w:rPr>
                <w:rFonts w:cs="Arial"/>
                <w:b/>
                <w:bCs/>
                <w:color w:val="000000"/>
                <w:sz w:val="18"/>
                <w:szCs w:val="18"/>
                <w:lang w:eastAsia="es-PE"/>
              </w:rPr>
              <w:t>3) Asistencia presencial al evento: Quincuagésimo quinto (55) período de sesiones de la Comisión de Estadística de las Naciones Unidas</w:t>
            </w:r>
            <w:r w:rsidRPr="005914B6">
              <w:rPr>
                <w:rFonts w:cs="Arial"/>
                <w:b/>
                <w:bCs/>
                <w:color w:val="000000"/>
                <w:sz w:val="18"/>
                <w:szCs w:val="18"/>
                <w:lang w:eastAsia="es-PE"/>
              </w:rPr>
              <w:br/>
            </w:r>
            <w:r w:rsidRPr="005914B6">
              <w:rPr>
                <w:rFonts w:cs="Arial"/>
                <w:b/>
                <w:bCs/>
                <w:color w:val="000000"/>
                <w:sz w:val="18"/>
                <w:szCs w:val="18"/>
                <w:lang w:eastAsia="es-PE"/>
              </w:rPr>
              <w:br/>
              <w:t>New York - USA</w:t>
            </w:r>
            <w:r w:rsidRPr="005914B6">
              <w:rPr>
                <w:rFonts w:cs="Arial"/>
                <w:b/>
                <w:bCs/>
                <w:color w:val="000000"/>
                <w:sz w:val="18"/>
                <w:szCs w:val="18"/>
                <w:lang w:eastAsia="es-PE"/>
              </w:rPr>
              <w:br/>
              <w:t>27 de febrero - 1 de marzo</w:t>
            </w:r>
          </w:p>
        </w:tc>
        <w:tc>
          <w:tcPr>
            <w:tcW w:w="378" w:type="pct"/>
            <w:tcBorders>
              <w:top w:val="nil"/>
              <w:left w:val="nil"/>
              <w:bottom w:val="single" w:sz="8" w:space="0" w:color="auto"/>
              <w:right w:val="single" w:sz="8" w:space="0" w:color="auto"/>
            </w:tcBorders>
            <w:shd w:val="clear" w:color="auto" w:fill="auto"/>
            <w:vAlign w:val="center"/>
            <w:hideMark/>
          </w:tcPr>
          <w:p w14:paraId="2CB1D5B5" w14:textId="77777777" w:rsidR="003D7AD4" w:rsidRPr="005914B6" w:rsidRDefault="003D7AD4" w:rsidP="00945683">
            <w:pPr>
              <w:jc w:val="center"/>
              <w:rPr>
                <w:rFonts w:cs="Arial"/>
                <w:color w:val="000000"/>
                <w:sz w:val="18"/>
                <w:szCs w:val="18"/>
                <w:lang w:eastAsia="es-PE"/>
              </w:rPr>
            </w:pPr>
            <w:r w:rsidRPr="005914B6">
              <w:rPr>
                <w:rFonts w:cs="Arial"/>
                <w:color w:val="000000"/>
                <w:sz w:val="18"/>
                <w:szCs w:val="18"/>
                <w:lang w:eastAsia="es-PE"/>
              </w:rPr>
              <w:t>22.400</w:t>
            </w:r>
          </w:p>
        </w:tc>
        <w:tc>
          <w:tcPr>
            <w:tcW w:w="343" w:type="pct"/>
            <w:tcBorders>
              <w:top w:val="nil"/>
              <w:left w:val="nil"/>
              <w:bottom w:val="single" w:sz="8" w:space="0" w:color="auto"/>
              <w:right w:val="single" w:sz="8" w:space="0" w:color="auto"/>
            </w:tcBorders>
            <w:shd w:val="clear" w:color="auto" w:fill="auto"/>
            <w:vAlign w:val="center"/>
            <w:hideMark/>
          </w:tcPr>
          <w:p w14:paraId="3D6055A6" w14:textId="77777777" w:rsidR="003D7AD4" w:rsidRPr="005914B6" w:rsidRDefault="003D7AD4" w:rsidP="00945683">
            <w:pPr>
              <w:jc w:val="center"/>
              <w:rPr>
                <w:rFonts w:cs="Arial"/>
                <w:color w:val="000000"/>
                <w:sz w:val="18"/>
                <w:szCs w:val="18"/>
                <w:lang w:eastAsia="es-PE"/>
              </w:rPr>
            </w:pPr>
          </w:p>
        </w:tc>
        <w:tc>
          <w:tcPr>
            <w:tcW w:w="368" w:type="pct"/>
            <w:tcBorders>
              <w:top w:val="nil"/>
              <w:left w:val="nil"/>
              <w:bottom w:val="single" w:sz="8" w:space="0" w:color="auto"/>
              <w:right w:val="single" w:sz="8" w:space="0" w:color="auto"/>
            </w:tcBorders>
            <w:shd w:val="clear" w:color="auto" w:fill="auto"/>
            <w:vAlign w:val="center"/>
            <w:hideMark/>
          </w:tcPr>
          <w:p w14:paraId="33C2936D" w14:textId="77777777" w:rsidR="003D7AD4" w:rsidRPr="005914B6" w:rsidRDefault="003D7AD4" w:rsidP="00945683">
            <w:pPr>
              <w:jc w:val="center"/>
              <w:rPr>
                <w:rFonts w:cs="Arial"/>
                <w:color w:val="000000"/>
                <w:sz w:val="18"/>
                <w:szCs w:val="18"/>
                <w:lang w:eastAsia="es-PE"/>
              </w:rPr>
            </w:pPr>
          </w:p>
        </w:tc>
        <w:tc>
          <w:tcPr>
            <w:tcW w:w="360" w:type="pct"/>
            <w:tcBorders>
              <w:top w:val="nil"/>
              <w:left w:val="nil"/>
              <w:bottom w:val="single" w:sz="8" w:space="0" w:color="auto"/>
              <w:right w:val="double" w:sz="6" w:space="0" w:color="auto"/>
            </w:tcBorders>
            <w:shd w:val="clear" w:color="auto" w:fill="auto"/>
            <w:vAlign w:val="center"/>
            <w:hideMark/>
          </w:tcPr>
          <w:p w14:paraId="4A9E996F" w14:textId="77777777" w:rsidR="003D7AD4" w:rsidRPr="005914B6" w:rsidRDefault="003D7AD4" w:rsidP="00945683">
            <w:pPr>
              <w:jc w:val="center"/>
              <w:rPr>
                <w:rFonts w:cs="Arial"/>
                <w:color w:val="000000"/>
                <w:sz w:val="18"/>
                <w:szCs w:val="18"/>
                <w:lang w:eastAsia="es-PE"/>
              </w:rPr>
            </w:pPr>
          </w:p>
        </w:tc>
        <w:tc>
          <w:tcPr>
            <w:tcW w:w="409" w:type="pct"/>
            <w:tcBorders>
              <w:top w:val="nil"/>
              <w:left w:val="nil"/>
              <w:bottom w:val="single" w:sz="8" w:space="0" w:color="auto"/>
              <w:right w:val="double" w:sz="6" w:space="0" w:color="auto"/>
            </w:tcBorders>
            <w:shd w:val="clear" w:color="auto" w:fill="auto"/>
            <w:vAlign w:val="center"/>
            <w:hideMark/>
          </w:tcPr>
          <w:p w14:paraId="41711330"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22.400</w:t>
            </w:r>
          </w:p>
        </w:tc>
        <w:tc>
          <w:tcPr>
            <w:tcW w:w="1789" w:type="pct"/>
            <w:tcBorders>
              <w:top w:val="nil"/>
              <w:left w:val="nil"/>
              <w:bottom w:val="single" w:sz="8" w:space="0" w:color="auto"/>
              <w:right w:val="single" w:sz="8" w:space="0" w:color="auto"/>
            </w:tcBorders>
            <w:shd w:val="clear" w:color="auto" w:fill="auto"/>
            <w:vAlign w:val="center"/>
            <w:hideMark/>
          </w:tcPr>
          <w:p w14:paraId="29F9E671" w14:textId="16DB263E" w:rsidR="003D7AD4" w:rsidRPr="005914B6" w:rsidRDefault="003D7AD4" w:rsidP="00945683">
            <w:pPr>
              <w:rPr>
                <w:rFonts w:cs="Arial"/>
                <w:color w:val="000000"/>
                <w:sz w:val="16"/>
                <w:szCs w:val="16"/>
                <w:lang w:eastAsia="es-PE"/>
              </w:rPr>
            </w:pPr>
            <w:r w:rsidRPr="005914B6">
              <w:rPr>
                <w:rFonts w:cs="Arial"/>
                <w:color w:val="000000"/>
                <w:sz w:val="16"/>
                <w:szCs w:val="16"/>
                <w:lang w:eastAsia="es-PE"/>
              </w:rPr>
              <w:t xml:space="preserve">Pasajes 1 persona ida y vuelta -&gt; </w:t>
            </w:r>
            <w:r w:rsidR="00835B98" w:rsidRPr="005914B6">
              <w:rPr>
                <w:rFonts w:cs="Arial"/>
                <w:color w:val="000000"/>
                <w:sz w:val="16"/>
                <w:szCs w:val="16"/>
                <w:lang w:eastAsia="es-PE"/>
              </w:rPr>
              <w:t>US$</w:t>
            </w:r>
            <w:r w:rsidRPr="005914B6">
              <w:rPr>
                <w:rFonts w:cs="Arial"/>
                <w:color w:val="000000"/>
                <w:sz w:val="16"/>
                <w:szCs w:val="16"/>
                <w:lang w:eastAsia="es-PE"/>
              </w:rPr>
              <w:t>. 1000</w:t>
            </w:r>
            <w:r w:rsidRPr="005914B6">
              <w:rPr>
                <w:rFonts w:cs="Arial"/>
                <w:color w:val="000000"/>
                <w:sz w:val="16"/>
                <w:szCs w:val="16"/>
                <w:lang w:eastAsia="es-PE"/>
              </w:rPr>
              <w:br/>
              <w:t xml:space="preserve">Total pasajes (8 personas) -&gt; </w:t>
            </w:r>
            <w:r w:rsidR="00835B98" w:rsidRPr="005914B6">
              <w:rPr>
                <w:rFonts w:cs="Arial"/>
                <w:color w:val="000000"/>
                <w:sz w:val="16"/>
                <w:szCs w:val="16"/>
                <w:lang w:eastAsia="es-PE"/>
              </w:rPr>
              <w:t>US$</w:t>
            </w:r>
            <w:r w:rsidRPr="005914B6">
              <w:rPr>
                <w:rFonts w:cs="Arial"/>
                <w:color w:val="000000"/>
                <w:sz w:val="16"/>
                <w:szCs w:val="16"/>
                <w:lang w:eastAsia="es-PE"/>
              </w:rPr>
              <w:t>. 8000</w:t>
            </w:r>
            <w:r w:rsidRPr="005914B6">
              <w:rPr>
                <w:rFonts w:cs="Arial"/>
                <w:color w:val="000000"/>
                <w:sz w:val="16"/>
                <w:szCs w:val="16"/>
                <w:lang w:eastAsia="es-PE"/>
              </w:rPr>
              <w:br/>
              <w:t xml:space="preserve">Viático 1 persona por 1 día -&gt; </w:t>
            </w:r>
            <w:r w:rsidR="00835B98" w:rsidRPr="005914B6">
              <w:rPr>
                <w:rFonts w:cs="Arial"/>
                <w:color w:val="000000"/>
                <w:sz w:val="16"/>
                <w:szCs w:val="16"/>
                <w:lang w:eastAsia="es-PE"/>
              </w:rPr>
              <w:t>US$</w:t>
            </w:r>
            <w:r w:rsidRPr="005914B6">
              <w:rPr>
                <w:rFonts w:cs="Arial"/>
                <w:color w:val="000000"/>
                <w:sz w:val="16"/>
                <w:szCs w:val="16"/>
                <w:lang w:eastAsia="es-PE"/>
              </w:rPr>
              <w:t xml:space="preserve"> 360</w:t>
            </w:r>
            <w:r w:rsidRPr="005914B6">
              <w:rPr>
                <w:rFonts w:cs="Arial"/>
                <w:color w:val="000000"/>
                <w:sz w:val="16"/>
                <w:szCs w:val="16"/>
                <w:lang w:eastAsia="es-PE"/>
              </w:rPr>
              <w:br/>
              <w:t xml:space="preserve">Viático 1 persona por 5 días -&gt; </w:t>
            </w:r>
            <w:r w:rsidR="00835B98" w:rsidRPr="005914B6">
              <w:rPr>
                <w:rFonts w:cs="Arial"/>
                <w:color w:val="000000"/>
                <w:sz w:val="16"/>
                <w:szCs w:val="16"/>
                <w:lang w:eastAsia="es-PE"/>
              </w:rPr>
              <w:t>US$</w:t>
            </w:r>
            <w:r w:rsidRPr="005914B6">
              <w:rPr>
                <w:rFonts w:cs="Arial"/>
                <w:color w:val="000000"/>
                <w:sz w:val="16"/>
                <w:szCs w:val="16"/>
                <w:lang w:eastAsia="es-PE"/>
              </w:rPr>
              <w:t xml:space="preserve"> 1800</w:t>
            </w:r>
            <w:r w:rsidRPr="005914B6">
              <w:rPr>
                <w:rFonts w:cs="Arial"/>
                <w:color w:val="000000"/>
                <w:sz w:val="16"/>
                <w:szCs w:val="16"/>
                <w:lang w:eastAsia="es-PE"/>
              </w:rPr>
              <w:br/>
              <w:t xml:space="preserve">Total Viáticos (8 personas por 5 días) -&gt; </w:t>
            </w:r>
            <w:r w:rsidR="00835B98" w:rsidRPr="005914B6">
              <w:rPr>
                <w:rFonts w:cs="Arial"/>
                <w:color w:val="000000"/>
                <w:sz w:val="16"/>
                <w:szCs w:val="16"/>
                <w:lang w:eastAsia="es-PE"/>
              </w:rPr>
              <w:t>US$</w:t>
            </w:r>
            <w:r w:rsidRPr="005914B6">
              <w:rPr>
                <w:rFonts w:cs="Arial"/>
                <w:color w:val="000000"/>
                <w:sz w:val="16"/>
                <w:szCs w:val="16"/>
                <w:lang w:eastAsia="es-PE"/>
              </w:rPr>
              <w:t>. 14400</w:t>
            </w:r>
            <w:r w:rsidRPr="005914B6">
              <w:rPr>
                <w:rFonts w:cs="Arial"/>
                <w:color w:val="000000"/>
                <w:sz w:val="16"/>
                <w:szCs w:val="16"/>
                <w:lang w:eastAsia="es-PE"/>
              </w:rPr>
              <w:br/>
              <w:t xml:space="preserve">Total pasajes y viáticos -&gt; </w:t>
            </w:r>
            <w:r w:rsidR="00835B98" w:rsidRPr="005914B6">
              <w:rPr>
                <w:rFonts w:cs="Arial"/>
                <w:color w:val="000000"/>
                <w:sz w:val="16"/>
                <w:szCs w:val="16"/>
                <w:lang w:eastAsia="es-PE"/>
              </w:rPr>
              <w:t>US$</w:t>
            </w:r>
            <w:r w:rsidRPr="005914B6">
              <w:rPr>
                <w:rFonts w:cs="Arial"/>
                <w:color w:val="000000"/>
                <w:sz w:val="16"/>
                <w:szCs w:val="16"/>
                <w:lang w:eastAsia="es-PE"/>
              </w:rPr>
              <w:t>. 22400</w:t>
            </w:r>
            <w:r w:rsidRPr="005914B6">
              <w:rPr>
                <w:rFonts w:cs="Arial"/>
                <w:color w:val="000000"/>
                <w:sz w:val="16"/>
                <w:szCs w:val="16"/>
                <w:lang w:eastAsia="es-PE"/>
              </w:rPr>
              <w:br/>
            </w:r>
            <w:r w:rsidRPr="005914B6">
              <w:rPr>
                <w:rFonts w:cs="Arial"/>
                <w:color w:val="000000"/>
                <w:sz w:val="16"/>
                <w:szCs w:val="16"/>
                <w:lang w:eastAsia="es-PE"/>
              </w:rPr>
              <w:br/>
              <w:t>https://unstats.un.org/UNSDWebsite/statcom/</w:t>
            </w:r>
          </w:p>
        </w:tc>
      </w:tr>
      <w:tr w:rsidR="003D7AD4" w:rsidRPr="005914B6" w14:paraId="1048A448" w14:textId="77777777" w:rsidTr="00945683">
        <w:trPr>
          <w:trHeight w:val="20"/>
        </w:trPr>
        <w:tc>
          <w:tcPr>
            <w:tcW w:w="1353" w:type="pct"/>
            <w:tcBorders>
              <w:top w:val="nil"/>
              <w:left w:val="single" w:sz="8" w:space="0" w:color="auto"/>
              <w:bottom w:val="nil"/>
              <w:right w:val="single" w:sz="8" w:space="0" w:color="auto"/>
            </w:tcBorders>
            <w:shd w:val="clear" w:color="auto" w:fill="auto"/>
            <w:vAlign w:val="center"/>
            <w:hideMark/>
          </w:tcPr>
          <w:p w14:paraId="6975D6E5" w14:textId="77777777" w:rsidR="003D7AD4" w:rsidRPr="005914B6" w:rsidRDefault="003D7AD4" w:rsidP="00945683">
            <w:pPr>
              <w:rPr>
                <w:rFonts w:cs="Arial"/>
                <w:b/>
                <w:bCs/>
                <w:color w:val="000000"/>
                <w:sz w:val="18"/>
                <w:szCs w:val="18"/>
                <w:lang w:eastAsia="es-PE"/>
              </w:rPr>
            </w:pPr>
            <w:r w:rsidRPr="005914B6">
              <w:rPr>
                <w:rFonts w:cs="Arial"/>
                <w:b/>
                <w:bCs/>
                <w:color w:val="000000"/>
                <w:sz w:val="18"/>
                <w:szCs w:val="18"/>
                <w:lang w:eastAsia="es-PE"/>
              </w:rPr>
              <w:t>4) Asistencia presencial al evento: Reunión de la Conferencia Estadística de las Américas (CEA-CEPAL)</w:t>
            </w:r>
          </w:p>
          <w:p w14:paraId="68C1EF06" w14:textId="77777777" w:rsidR="003D7AD4" w:rsidRPr="005914B6" w:rsidRDefault="003D7AD4" w:rsidP="00945683">
            <w:pPr>
              <w:rPr>
                <w:rFonts w:cs="Arial"/>
                <w:b/>
                <w:bCs/>
                <w:color w:val="000000"/>
                <w:sz w:val="18"/>
                <w:szCs w:val="18"/>
                <w:lang w:eastAsia="es-PE"/>
              </w:rPr>
            </w:pPr>
            <w:r w:rsidRPr="005914B6">
              <w:rPr>
                <w:rFonts w:cs="Arial"/>
                <w:b/>
                <w:bCs/>
                <w:color w:val="000000"/>
                <w:sz w:val="18"/>
                <w:szCs w:val="18"/>
                <w:lang w:eastAsia="es-PE"/>
              </w:rPr>
              <w:br/>
              <w:t>Santiago de Chile</w:t>
            </w:r>
            <w:r w:rsidRPr="005914B6">
              <w:rPr>
                <w:rFonts w:cs="Arial"/>
                <w:b/>
                <w:bCs/>
                <w:color w:val="000000"/>
                <w:sz w:val="18"/>
                <w:szCs w:val="18"/>
                <w:lang w:eastAsia="es-PE"/>
              </w:rPr>
              <w:br/>
              <w:t>agosto o septiembre 2024</w:t>
            </w:r>
          </w:p>
        </w:tc>
        <w:tc>
          <w:tcPr>
            <w:tcW w:w="378" w:type="pct"/>
            <w:tcBorders>
              <w:top w:val="nil"/>
              <w:left w:val="nil"/>
              <w:bottom w:val="nil"/>
              <w:right w:val="single" w:sz="8" w:space="0" w:color="auto"/>
            </w:tcBorders>
            <w:shd w:val="clear" w:color="auto" w:fill="auto"/>
            <w:vAlign w:val="center"/>
            <w:hideMark/>
          </w:tcPr>
          <w:p w14:paraId="72FB9F3B" w14:textId="77777777" w:rsidR="003D7AD4" w:rsidRPr="005914B6" w:rsidRDefault="003D7AD4" w:rsidP="00945683">
            <w:pPr>
              <w:jc w:val="center"/>
              <w:rPr>
                <w:rFonts w:cs="Arial"/>
                <w:color w:val="000000"/>
                <w:sz w:val="18"/>
                <w:szCs w:val="18"/>
                <w:lang w:eastAsia="es-PE"/>
              </w:rPr>
            </w:pPr>
          </w:p>
        </w:tc>
        <w:tc>
          <w:tcPr>
            <w:tcW w:w="343" w:type="pct"/>
            <w:tcBorders>
              <w:top w:val="nil"/>
              <w:left w:val="nil"/>
              <w:bottom w:val="nil"/>
              <w:right w:val="single" w:sz="8" w:space="0" w:color="auto"/>
            </w:tcBorders>
            <w:shd w:val="clear" w:color="auto" w:fill="auto"/>
            <w:vAlign w:val="center"/>
            <w:hideMark/>
          </w:tcPr>
          <w:p w14:paraId="3A188369" w14:textId="77777777" w:rsidR="003D7AD4" w:rsidRPr="005914B6" w:rsidRDefault="003D7AD4" w:rsidP="00945683">
            <w:pPr>
              <w:jc w:val="center"/>
              <w:rPr>
                <w:rFonts w:cs="Arial"/>
                <w:color w:val="000000"/>
                <w:sz w:val="18"/>
                <w:szCs w:val="18"/>
                <w:lang w:eastAsia="es-PE"/>
              </w:rPr>
            </w:pPr>
          </w:p>
        </w:tc>
        <w:tc>
          <w:tcPr>
            <w:tcW w:w="368" w:type="pct"/>
            <w:tcBorders>
              <w:top w:val="nil"/>
              <w:left w:val="nil"/>
              <w:bottom w:val="nil"/>
              <w:right w:val="single" w:sz="8" w:space="0" w:color="auto"/>
            </w:tcBorders>
            <w:shd w:val="clear" w:color="auto" w:fill="auto"/>
            <w:vAlign w:val="center"/>
            <w:hideMark/>
          </w:tcPr>
          <w:p w14:paraId="5976190D" w14:textId="77777777" w:rsidR="003D7AD4" w:rsidRPr="005914B6" w:rsidRDefault="003D7AD4" w:rsidP="00945683">
            <w:pPr>
              <w:jc w:val="center"/>
              <w:rPr>
                <w:rFonts w:cs="Arial"/>
                <w:color w:val="000000"/>
                <w:sz w:val="18"/>
                <w:szCs w:val="18"/>
                <w:lang w:eastAsia="es-PE"/>
              </w:rPr>
            </w:pPr>
            <w:r w:rsidRPr="005914B6">
              <w:rPr>
                <w:rFonts w:cs="Arial"/>
                <w:color w:val="000000"/>
                <w:sz w:val="18"/>
                <w:szCs w:val="18"/>
                <w:lang w:eastAsia="es-PE"/>
              </w:rPr>
              <w:t>16.000</w:t>
            </w:r>
          </w:p>
        </w:tc>
        <w:tc>
          <w:tcPr>
            <w:tcW w:w="360" w:type="pct"/>
            <w:tcBorders>
              <w:top w:val="nil"/>
              <w:left w:val="nil"/>
              <w:bottom w:val="nil"/>
              <w:right w:val="double" w:sz="6" w:space="0" w:color="auto"/>
            </w:tcBorders>
            <w:shd w:val="clear" w:color="auto" w:fill="auto"/>
            <w:vAlign w:val="center"/>
            <w:hideMark/>
          </w:tcPr>
          <w:p w14:paraId="22ABF39F" w14:textId="77777777" w:rsidR="003D7AD4" w:rsidRPr="005914B6" w:rsidRDefault="003D7AD4" w:rsidP="00945683">
            <w:pPr>
              <w:jc w:val="center"/>
              <w:rPr>
                <w:rFonts w:cs="Arial"/>
                <w:color w:val="000000"/>
                <w:sz w:val="18"/>
                <w:szCs w:val="18"/>
                <w:lang w:eastAsia="es-PE"/>
              </w:rPr>
            </w:pPr>
          </w:p>
        </w:tc>
        <w:tc>
          <w:tcPr>
            <w:tcW w:w="409" w:type="pct"/>
            <w:tcBorders>
              <w:top w:val="nil"/>
              <w:left w:val="nil"/>
              <w:bottom w:val="nil"/>
              <w:right w:val="double" w:sz="6" w:space="0" w:color="auto"/>
            </w:tcBorders>
            <w:shd w:val="clear" w:color="auto" w:fill="auto"/>
            <w:vAlign w:val="center"/>
            <w:hideMark/>
          </w:tcPr>
          <w:p w14:paraId="39ADE3D1"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16.000</w:t>
            </w:r>
          </w:p>
        </w:tc>
        <w:tc>
          <w:tcPr>
            <w:tcW w:w="1789" w:type="pct"/>
            <w:tcBorders>
              <w:top w:val="nil"/>
              <w:left w:val="nil"/>
              <w:bottom w:val="nil"/>
              <w:right w:val="single" w:sz="8" w:space="0" w:color="auto"/>
            </w:tcBorders>
            <w:shd w:val="clear" w:color="auto" w:fill="auto"/>
            <w:vAlign w:val="center"/>
            <w:hideMark/>
          </w:tcPr>
          <w:p w14:paraId="5F09A696" w14:textId="57F2A817" w:rsidR="003D7AD4" w:rsidRPr="005914B6" w:rsidRDefault="003D7AD4" w:rsidP="00945683">
            <w:pPr>
              <w:rPr>
                <w:rFonts w:cs="Arial"/>
                <w:color w:val="000000"/>
                <w:sz w:val="16"/>
                <w:szCs w:val="16"/>
                <w:lang w:eastAsia="es-PE"/>
              </w:rPr>
            </w:pPr>
            <w:r w:rsidRPr="005914B6">
              <w:rPr>
                <w:rFonts w:cs="Arial"/>
                <w:color w:val="000000"/>
                <w:sz w:val="16"/>
                <w:szCs w:val="16"/>
                <w:lang w:eastAsia="es-PE"/>
              </w:rPr>
              <w:t xml:space="preserve">Pasajes 1 persona ida y vuelta -&gt; </w:t>
            </w:r>
            <w:r w:rsidR="00835B98" w:rsidRPr="005914B6">
              <w:rPr>
                <w:rFonts w:cs="Arial"/>
                <w:color w:val="000000"/>
                <w:sz w:val="16"/>
                <w:szCs w:val="16"/>
                <w:lang w:eastAsia="es-PE"/>
              </w:rPr>
              <w:t>US$</w:t>
            </w:r>
            <w:r w:rsidRPr="005914B6">
              <w:rPr>
                <w:rFonts w:cs="Arial"/>
                <w:color w:val="000000"/>
                <w:sz w:val="16"/>
                <w:szCs w:val="16"/>
                <w:lang w:eastAsia="es-PE"/>
              </w:rPr>
              <w:t>. 800</w:t>
            </w:r>
            <w:r w:rsidRPr="005914B6">
              <w:rPr>
                <w:rFonts w:cs="Arial"/>
                <w:color w:val="000000"/>
                <w:sz w:val="16"/>
                <w:szCs w:val="16"/>
                <w:lang w:eastAsia="es-PE"/>
              </w:rPr>
              <w:br/>
              <w:t xml:space="preserve">Total pasajes (8 personas)-&gt; </w:t>
            </w:r>
            <w:r w:rsidR="00835B98" w:rsidRPr="005914B6">
              <w:rPr>
                <w:rFonts w:cs="Arial"/>
                <w:color w:val="000000"/>
                <w:sz w:val="16"/>
                <w:szCs w:val="16"/>
                <w:lang w:eastAsia="es-PE"/>
              </w:rPr>
              <w:t>US$</w:t>
            </w:r>
            <w:r w:rsidRPr="005914B6">
              <w:rPr>
                <w:rFonts w:cs="Arial"/>
                <w:color w:val="000000"/>
                <w:sz w:val="16"/>
                <w:szCs w:val="16"/>
                <w:lang w:eastAsia="es-PE"/>
              </w:rPr>
              <w:t>. 6400</w:t>
            </w:r>
            <w:r w:rsidRPr="005914B6">
              <w:rPr>
                <w:rFonts w:cs="Arial"/>
                <w:color w:val="000000"/>
                <w:sz w:val="16"/>
                <w:szCs w:val="16"/>
                <w:lang w:eastAsia="es-PE"/>
              </w:rPr>
              <w:br/>
              <w:t xml:space="preserve">Viático 1 persona por 1 día -&gt; </w:t>
            </w:r>
            <w:r w:rsidR="00835B98" w:rsidRPr="005914B6">
              <w:rPr>
                <w:rFonts w:cs="Arial"/>
                <w:color w:val="000000"/>
                <w:sz w:val="16"/>
                <w:szCs w:val="16"/>
                <w:lang w:eastAsia="es-PE"/>
              </w:rPr>
              <w:t>US$</w:t>
            </w:r>
            <w:r w:rsidRPr="005914B6">
              <w:rPr>
                <w:rFonts w:cs="Arial"/>
                <w:color w:val="000000"/>
                <w:sz w:val="16"/>
                <w:szCs w:val="16"/>
                <w:lang w:eastAsia="es-PE"/>
              </w:rPr>
              <w:t xml:space="preserve"> 240</w:t>
            </w:r>
            <w:r w:rsidRPr="005914B6">
              <w:rPr>
                <w:rFonts w:cs="Arial"/>
                <w:color w:val="000000"/>
                <w:sz w:val="16"/>
                <w:szCs w:val="16"/>
                <w:lang w:eastAsia="es-PE"/>
              </w:rPr>
              <w:br/>
              <w:t xml:space="preserve">Viático 1 persona por 5 días -&gt; </w:t>
            </w:r>
            <w:r w:rsidR="00835B98" w:rsidRPr="005914B6">
              <w:rPr>
                <w:rFonts w:cs="Arial"/>
                <w:color w:val="000000"/>
                <w:sz w:val="16"/>
                <w:szCs w:val="16"/>
                <w:lang w:eastAsia="es-PE"/>
              </w:rPr>
              <w:t>US$</w:t>
            </w:r>
            <w:r w:rsidRPr="005914B6">
              <w:rPr>
                <w:rFonts w:cs="Arial"/>
                <w:color w:val="000000"/>
                <w:sz w:val="16"/>
                <w:szCs w:val="16"/>
                <w:lang w:eastAsia="es-PE"/>
              </w:rPr>
              <w:t xml:space="preserve"> 1200</w:t>
            </w:r>
            <w:r w:rsidRPr="005914B6">
              <w:rPr>
                <w:rFonts w:cs="Arial"/>
                <w:color w:val="000000"/>
                <w:sz w:val="16"/>
                <w:szCs w:val="16"/>
                <w:lang w:eastAsia="es-PE"/>
              </w:rPr>
              <w:br/>
              <w:t xml:space="preserve">Total Viáticos (8 personas por 5 días) -&gt; </w:t>
            </w:r>
            <w:r w:rsidR="00835B98" w:rsidRPr="005914B6">
              <w:rPr>
                <w:rFonts w:cs="Arial"/>
                <w:color w:val="000000"/>
                <w:sz w:val="16"/>
                <w:szCs w:val="16"/>
                <w:lang w:eastAsia="es-PE"/>
              </w:rPr>
              <w:t>US$</w:t>
            </w:r>
            <w:r w:rsidRPr="005914B6">
              <w:rPr>
                <w:rFonts w:cs="Arial"/>
                <w:color w:val="000000"/>
                <w:sz w:val="16"/>
                <w:szCs w:val="16"/>
                <w:lang w:eastAsia="es-PE"/>
              </w:rPr>
              <w:t>. 9600</w:t>
            </w:r>
            <w:r w:rsidRPr="005914B6">
              <w:rPr>
                <w:rFonts w:cs="Arial"/>
                <w:color w:val="000000"/>
                <w:sz w:val="16"/>
                <w:szCs w:val="16"/>
                <w:lang w:eastAsia="es-PE"/>
              </w:rPr>
              <w:br/>
              <w:t xml:space="preserve">Total pasajes y viáticos -&gt; </w:t>
            </w:r>
            <w:r w:rsidR="00835B98" w:rsidRPr="005914B6">
              <w:rPr>
                <w:rFonts w:cs="Arial"/>
                <w:color w:val="000000"/>
                <w:sz w:val="16"/>
                <w:szCs w:val="16"/>
                <w:lang w:eastAsia="es-PE"/>
              </w:rPr>
              <w:t>US$</w:t>
            </w:r>
            <w:r w:rsidRPr="005914B6">
              <w:rPr>
                <w:rFonts w:cs="Arial"/>
                <w:color w:val="000000"/>
                <w:sz w:val="16"/>
                <w:szCs w:val="16"/>
                <w:lang w:eastAsia="es-PE"/>
              </w:rPr>
              <w:t>. 16000</w:t>
            </w:r>
          </w:p>
        </w:tc>
      </w:tr>
      <w:tr w:rsidR="003D7AD4" w:rsidRPr="005914B6" w14:paraId="28ACEAA0" w14:textId="77777777" w:rsidTr="00945683">
        <w:trPr>
          <w:trHeight w:val="20"/>
        </w:trPr>
        <w:tc>
          <w:tcPr>
            <w:tcW w:w="1353" w:type="pct"/>
            <w:tcBorders>
              <w:top w:val="nil"/>
              <w:left w:val="single" w:sz="8" w:space="0" w:color="auto"/>
              <w:bottom w:val="single" w:sz="8" w:space="0" w:color="auto"/>
              <w:right w:val="single" w:sz="8" w:space="0" w:color="auto"/>
            </w:tcBorders>
            <w:shd w:val="clear" w:color="000000" w:fill="BFBFBF"/>
            <w:vAlign w:val="center"/>
            <w:hideMark/>
          </w:tcPr>
          <w:p w14:paraId="4DD32530"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Total presupuesto</w:t>
            </w:r>
          </w:p>
        </w:tc>
        <w:tc>
          <w:tcPr>
            <w:tcW w:w="378" w:type="pct"/>
            <w:tcBorders>
              <w:top w:val="nil"/>
              <w:left w:val="nil"/>
              <w:bottom w:val="single" w:sz="8" w:space="0" w:color="auto"/>
              <w:right w:val="single" w:sz="8" w:space="0" w:color="auto"/>
            </w:tcBorders>
            <w:shd w:val="clear" w:color="000000" w:fill="BFBFBF"/>
            <w:vAlign w:val="center"/>
            <w:hideMark/>
          </w:tcPr>
          <w:p w14:paraId="384683C5"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22.400</w:t>
            </w:r>
          </w:p>
        </w:tc>
        <w:tc>
          <w:tcPr>
            <w:tcW w:w="343" w:type="pct"/>
            <w:tcBorders>
              <w:top w:val="nil"/>
              <w:left w:val="nil"/>
              <w:bottom w:val="single" w:sz="8" w:space="0" w:color="auto"/>
              <w:right w:val="single" w:sz="8" w:space="0" w:color="auto"/>
            </w:tcBorders>
            <w:shd w:val="clear" w:color="000000" w:fill="BFBFBF"/>
            <w:vAlign w:val="center"/>
            <w:hideMark/>
          </w:tcPr>
          <w:p w14:paraId="0439F489"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3.000</w:t>
            </w:r>
          </w:p>
        </w:tc>
        <w:tc>
          <w:tcPr>
            <w:tcW w:w="368" w:type="pct"/>
            <w:tcBorders>
              <w:top w:val="nil"/>
              <w:left w:val="nil"/>
              <w:bottom w:val="single" w:sz="8" w:space="0" w:color="auto"/>
              <w:right w:val="single" w:sz="8" w:space="0" w:color="auto"/>
            </w:tcBorders>
            <w:shd w:val="clear" w:color="000000" w:fill="BFBFBF"/>
            <w:vAlign w:val="center"/>
            <w:hideMark/>
          </w:tcPr>
          <w:p w14:paraId="3E66E8B0"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19.000</w:t>
            </w:r>
          </w:p>
        </w:tc>
        <w:tc>
          <w:tcPr>
            <w:tcW w:w="360" w:type="pct"/>
            <w:tcBorders>
              <w:top w:val="nil"/>
              <w:left w:val="nil"/>
              <w:bottom w:val="single" w:sz="8" w:space="0" w:color="auto"/>
              <w:right w:val="double" w:sz="6" w:space="0" w:color="auto"/>
            </w:tcBorders>
            <w:shd w:val="clear" w:color="000000" w:fill="BFBFBF"/>
            <w:vAlign w:val="center"/>
            <w:hideMark/>
          </w:tcPr>
          <w:p w14:paraId="0CF97544"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6.000</w:t>
            </w:r>
          </w:p>
        </w:tc>
        <w:tc>
          <w:tcPr>
            <w:tcW w:w="409" w:type="pct"/>
            <w:tcBorders>
              <w:top w:val="nil"/>
              <w:left w:val="nil"/>
              <w:bottom w:val="single" w:sz="8" w:space="0" w:color="auto"/>
              <w:right w:val="double" w:sz="6" w:space="0" w:color="auto"/>
            </w:tcBorders>
            <w:shd w:val="clear" w:color="000000" w:fill="BFBFBF"/>
            <w:vAlign w:val="center"/>
            <w:hideMark/>
          </w:tcPr>
          <w:p w14:paraId="59147690" w14:textId="77777777" w:rsidR="003D7AD4" w:rsidRPr="005914B6" w:rsidRDefault="003D7AD4" w:rsidP="00945683">
            <w:pPr>
              <w:jc w:val="center"/>
              <w:rPr>
                <w:rFonts w:cs="Arial"/>
                <w:b/>
                <w:bCs/>
                <w:color w:val="000000"/>
                <w:sz w:val="18"/>
                <w:szCs w:val="18"/>
                <w:lang w:eastAsia="es-PE"/>
              </w:rPr>
            </w:pPr>
            <w:r w:rsidRPr="005914B6">
              <w:rPr>
                <w:rFonts w:cs="Arial"/>
                <w:b/>
                <w:bCs/>
                <w:color w:val="000000"/>
                <w:sz w:val="18"/>
                <w:szCs w:val="18"/>
                <w:lang w:eastAsia="es-PE"/>
              </w:rPr>
              <w:t>50.400</w:t>
            </w:r>
          </w:p>
        </w:tc>
        <w:tc>
          <w:tcPr>
            <w:tcW w:w="1789" w:type="pct"/>
            <w:tcBorders>
              <w:top w:val="nil"/>
              <w:left w:val="nil"/>
              <w:bottom w:val="single" w:sz="8" w:space="0" w:color="auto"/>
              <w:right w:val="single" w:sz="8" w:space="0" w:color="auto"/>
            </w:tcBorders>
            <w:shd w:val="clear" w:color="000000" w:fill="BFBFBF"/>
            <w:vAlign w:val="center"/>
            <w:hideMark/>
          </w:tcPr>
          <w:p w14:paraId="01154962" w14:textId="77777777" w:rsidR="003D7AD4" w:rsidRPr="005914B6" w:rsidRDefault="003D7AD4" w:rsidP="00945683">
            <w:pPr>
              <w:rPr>
                <w:rFonts w:ascii="Times New Roman" w:hAnsi="Times New Roman"/>
                <w:color w:val="000000"/>
                <w:lang w:eastAsia="es-PE"/>
              </w:rPr>
            </w:pPr>
            <w:r w:rsidRPr="005914B6">
              <w:rPr>
                <w:rFonts w:ascii="Times New Roman" w:hAnsi="Times New Roman"/>
                <w:color w:val="000000"/>
                <w:lang w:eastAsia="es-PE"/>
              </w:rPr>
              <w:t> </w:t>
            </w:r>
          </w:p>
        </w:tc>
      </w:tr>
    </w:tbl>
    <w:p w14:paraId="0CB1D48C" w14:textId="77777777" w:rsidR="003D7AD4" w:rsidRPr="005914B6" w:rsidRDefault="003D7AD4" w:rsidP="003D7AD4">
      <w:pPr>
        <w:ind w:right="-1"/>
        <w:rPr>
          <w:rFonts w:cs="Arial"/>
          <w:sz w:val="18"/>
          <w:szCs w:val="18"/>
        </w:rPr>
      </w:pPr>
    </w:p>
    <w:p w14:paraId="4FBD7D91" w14:textId="1B4A843C" w:rsidR="00CD16B2" w:rsidRPr="005914B6" w:rsidRDefault="000F10C1" w:rsidP="000F10C1">
      <w:pPr>
        <w:jc w:val="center"/>
        <w:rPr>
          <w:rFonts w:cs="Arial"/>
          <w:b/>
        </w:rPr>
      </w:pPr>
      <w:r w:rsidRPr="005914B6">
        <w:rPr>
          <w:rFonts w:cs="Arial"/>
          <w:b/>
        </w:rPr>
        <w:t>***</w:t>
      </w:r>
    </w:p>
    <w:sectPr w:rsidR="00CD16B2" w:rsidRPr="005914B6" w:rsidSect="000B3771">
      <w:headerReference w:type="default" r:id="rId9"/>
      <w:headerReference w:type="first" r:id="rId10"/>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BB49" w14:textId="77777777" w:rsidR="00A46992" w:rsidRDefault="00A46992" w:rsidP="002537E1">
      <w:pPr>
        <w:spacing w:after="0" w:line="240" w:lineRule="auto"/>
      </w:pPr>
      <w:r>
        <w:separator/>
      </w:r>
    </w:p>
  </w:endnote>
  <w:endnote w:type="continuationSeparator" w:id="0">
    <w:p w14:paraId="0821251B" w14:textId="77777777" w:rsidR="00A46992" w:rsidRDefault="00A46992" w:rsidP="0025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502E" w14:textId="77777777" w:rsidR="00A46992" w:rsidRDefault="00A46992" w:rsidP="002537E1">
      <w:pPr>
        <w:spacing w:after="0" w:line="240" w:lineRule="auto"/>
      </w:pPr>
      <w:r>
        <w:separator/>
      </w:r>
    </w:p>
  </w:footnote>
  <w:footnote w:type="continuationSeparator" w:id="0">
    <w:p w14:paraId="6D4F698A" w14:textId="77777777" w:rsidR="00A46992" w:rsidRDefault="00A46992" w:rsidP="0025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145"/>
      <w:docPartObj>
        <w:docPartGallery w:val="Page Numbers (Top of Page)"/>
        <w:docPartUnique/>
      </w:docPartObj>
    </w:sdtPr>
    <w:sdtEndPr/>
    <w:sdtContent>
      <w:p w14:paraId="71BB8650" w14:textId="39D6A7BE" w:rsidR="009C1679" w:rsidRDefault="009C1679">
        <w:pPr>
          <w:pStyle w:val="Encabezado"/>
          <w:jc w:val="center"/>
        </w:pPr>
        <w:r>
          <w:t>-</w:t>
        </w:r>
        <w:r>
          <w:fldChar w:fldCharType="begin"/>
        </w:r>
        <w:r>
          <w:instrText xml:space="preserve"> PAGE   \* MERGEFORMAT </w:instrText>
        </w:r>
        <w:r>
          <w:fldChar w:fldCharType="separate"/>
        </w:r>
        <w:r w:rsidR="009D1149">
          <w:rPr>
            <w:noProof/>
          </w:rPr>
          <w:t>7</w:t>
        </w:r>
        <w:r>
          <w:rPr>
            <w:noProof/>
          </w:rPr>
          <w:fldChar w:fldCharType="end"/>
        </w:r>
        <w:r>
          <w:t>-</w:t>
        </w:r>
      </w:p>
    </w:sdtContent>
  </w:sdt>
  <w:p w14:paraId="71BB8651" w14:textId="77777777" w:rsidR="009C1679" w:rsidRDefault="009C16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8652" w14:textId="77777777" w:rsidR="00C87B1E" w:rsidRDefault="00C87B1E" w:rsidP="00C87B1E">
    <w:pPr>
      <w:pStyle w:val="Encabezado"/>
      <w:jc w:val="center"/>
    </w:pPr>
  </w:p>
  <w:p w14:paraId="71BB8653" w14:textId="77777777" w:rsidR="00C87B1E" w:rsidRDefault="00C87B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ED2"/>
    <w:multiLevelType w:val="hybridMultilevel"/>
    <w:tmpl w:val="989C01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D86212"/>
    <w:multiLevelType w:val="hybridMultilevel"/>
    <w:tmpl w:val="17D6B9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5F1160"/>
    <w:multiLevelType w:val="hybridMultilevel"/>
    <w:tmpl w:val="80C21E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B012463"/>
    <w:multiLevelType w:val="hybridMultilevel"/>
    <w:tmpl w:val="238ACD18"/>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2821CF3"/>
    <w:multiLevelType w:val="hybridMultilevel"/>
    <w:tmpl w:val="BC6E700C"/>
    <w:lvl w:ilvl="0" w:tplc="923474AC">
      <w:start w:val="1"/>
      <w:numFmt w:val="decimal"/>
      <w:lvlText w:val="[%1]."/>
      <w:lvlJc w:val="left"/>
      <w:pPr>
        <w:ind w:left="1440" w:hanging="360"/>
      </w:pPr>
      <w:rPr>
        <w:sz w:val="18"/>
        <w:szCs w:val="18"/>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636168D"/>
    <w:multiLevelType w:val="hybridMultilevel"/>
    <w:tmpl w:val="8C784AFC"/>
    <w:lvl w:ilvl="0" w:tplc="28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29BA7C9F"/>
    <w:multiLevelType w:val="hybridMultilevel"/>
    <w:tmpl w:val="DA78AA26"/>
    <w:lvl w:ilvl="0" w:tplc="60BA316E">
      <w:start w:val="1"/>
      <w:numFmt w:val="lowerLetter"/>
      <w:lvlText w:val="%1)"/>
      <w:lvlJc w:val="left"/>
      <w:pPr>
        <w:ind w:left="653" w:hanging="360"/>
      </w:pPr>
      <w:rPr>
        <w:rFonts w:hint="default"/>
      </w:rPr>
    </w:lvl>
    <w:lvl w:ilvl="1" w:tplc="280A0019" w:tentative="1">
      <w:start w:val="1"/>
      <w:numFmt w:val="lowerLetter"/>
      <w:lvlText w:val="%2."/>
      <w:lvlJc w:val="left"/>
      <w:pPr>
        <w:ind w:left="1373" w:hanging="360"/>
      </w:pPr>
    </w:lvl>
    <w:lvl w:ilvl="2" w:tplc="280A001B" w:tentative="1">
      <w:start w:val="1"/>
      <w:numFmt w:val="lowerRoman"/>
      <w:lvlText w:val="%3."/>
      <w:lvlJc w:val="right"/>
      <w:pPr>
        <w:ind w:left="2093" w:hanging="180"/>
      </w:pPr>
    </w:lvl>
    <w:lvl w:ilvl="3" w:tplc="280A000F" w:tentative="1">
      <w:start w:val="1"/>
      <w:numFmt w:val="decimal"/>
      <w:lvlText w:val="%4."/>
      <w:lvlJc w:val="left"/>
      <w:pPr>
        <w:ind w:left="2813" w:hanging="360"/>
      </w:pPr>
    </w:lvl>
    <w:lvl w:ilvl="4" w:tplc="280A0019" w:tentative="1">
      <w:start w:val="1"/>
      <w:numFmt w:val="lowerLetter"/>
      <w:lvlText w:val="%5."/>
      <w:lvlJc w:val="left"/>
      <w:pPr>
        <w:ind w:left="3533" w:hanging="360"/>
      </w:pPr>
    </w:lvl>
    <w:lvl w:ilvl="5" w:tplc="280A001B" w:tentative="1">
      <w:start w:val="1"/>
      <w:numFmt w:val="lowerRoman"/>
      <w:lvlText w:val="%6."/>
      <w:lvlJc w:val="right"/>
      <w:pPr>
        <w:ind w:left="4253" w:hanging="180"/>
      </w:pPr>
    </w:lvl>
    <w:lvl w:ilvl="6" w:tplc="280A000F" w:tentative="1">
      <w:start w:val="1"/>
      <w:numFmt w:val="decimal"/>
      <w:lvlText w:val="%7."/>
      <w:lvlJc w:val="left"/>
      <w:pPr>
        <w:ind w:left="4973" w:hanging="360"/>
      </w:pPr>
    </w:lvl>
    <w:lvl w:ilvl="7" w:tplc="280A0019" w:tentative="1">
      <w:start w:val="1"/>
      <w:numFmt w:val="lowerLetter"/>
      <w:lvlText w:val="%8."/>
      <w:lvlJc w:val="left"/>
      <w:pPr>
        <w:ind w:left="5693" w:hanging="360"/>
      </w:pPr>
    </w:lvl>
    <w:lvl w:ilvl="8" w:tplc="280A001B" w:tentative="1">
      <w:start w:val="1"/>
      <w:numFmt w:val="lowerRoman"/>
      <w:lvlText w:val="%9."/>
      <w:lvlJc w:val="right"/>
      <w:pPr>
        <w:ind w:left="6413" w:hanging="180"/>
      </w:pPr>
    </w:lvl>
  </w:abstractNum>
  <w:abstractNum w:abstractNumId="7"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331C6C36"/>
    <w:multiLevelType w:val="hybridMultilevel"/>
    <w:tmpl w:val="D2602342"/>
    <w:lvl w:ilvl="0" w:tplc="64B4D562">
      <w:start w:val="1"/>
      <w:numFmt w:val="lowerLetter"/>
      <w:lvlText w:val="%1)"/>
      <w:lvlJc w:val="left"/>
      <w:pPr>
        <w:ind w:left="512" w:hanging="360"/>
      </w:pPr>
      <w:rPr>
        <w:rFonts w:hint="default"/>
      </w:rPr>
    </w:lvl>
    <w:lvl w:ilvl="1" w:tplc="280A0019" w:tentative="1">
      <w:start w:val="1"/>
      <w:numFmt w:val="lowerLetter"/>
      <w:lvlText w:val="%2."/>
      <w:lvlJc w:val="left"/>
      <w:pPr>
        <w:ind w:left="1232" w:hanging="360"/>
      </w:pPr>
    </w:lvl>
    <w:lvl w:ilvl="2" w:tplc="280A001B" w:tentative="1">
      <w:start w:val="1"/>
      <w:numFmt w:val="lowerRoman"/>
      <w:lvlText w:val="%3."/>
      <w:lvlJc w:val="right"/>
      <w:pPr>
        <w:ind w:left="1952" w:hanging="180"/>
      </w:pPr>
    </w:lvl>
    <w:lvl w:ilvl="3" w:tplc="280A000F" w:tentative="1">
      <w:start w:val="1"/>
      <w:numFmt w:val="decimal"/>
      <w:lvlText w:val="%4."/>
      <w:lvlJc w:val="left"/>
      <w:pPr>
        <w:ind w:left="2672" w:hanging="360"/>
      </w:pPr>
    </w:lvl>
    <w:lvl w:ilvl="4" w:tplc="280A0019" w:tentative="1">
      <w:start w:val="1"/>
      <w:numFmt w:val="lowerLetter"/>
      <w:lvlText w:val="%5."/>
      <w:lvlJc w:val="left"/>
      <w:pPr>
        <w:ind w:left="3392" w:hanging="360"/>
      </w:pPr>
    </w:lvl>
    <w:lvl w:ilvl="5" w:tplc="280A001B" w:tentative="1">
      <w:start w:val="1"/>
      <w:numFmt w:val="lowerRoman"/>
      <w:lvlText w:val="%6."/>
      <w:lvlJc w:val="right"/>
      <w:pPr>
        <w:ind w:left="4112" w:hanging="180"/>
      </w:pPr>
    </w:lvl>
    <w:lvl w:ilvl="6" w:tplc="280A000F" w:tentative="1">
      <w:start w:val="1"/>
      <w:numFmt w:val="decimal"/>
      <w:lvlText w:val="%7."/>
      <w:lvlJc w:val="left"/>
      <w:pPr>
        <w:ind w:left="4832" w:hanging="360"/>
      </w:pPr>
    </w:lvl>
    <w:lvl w:ilvl="7" w:tplc="280A0019" w:tentative="1">
      <w:start w:val="1"/>
      <w:numFmt w:val="lowerLetter"/>
      <w:lvlText w:val="%8."/>
      <w:lvlJc w:val="left"/>
      <w:pPr>
        <w:ind w:left="5552" w:hanging="360"/>
      </w:pPr>
    </w:lvl>
    <w:lvl w:ilvl="8" w:tplc="280A001B" w:tentative="1">
      <w:start w:val="1"/>
      <w:numFmt w:val="lowerRoman"/>
      <w:lvlText w:val="%9."/>
      <w:lvlJc w:val="right"/>
      <w:pPr>
        <w:ind w:left="6272" w:hanging="180"/>
      </w:pPr>
    </w:lvl>
  </w:abstractNum>
  <w:abstractNum w:abstractNumId="9" w15:restartNumberingAfterBreak="0">
    <w:nsid w:val="40826BDA"/>
    <w:multiLevelType w:val="multilevel"/>
    <w:tmpl w:val="40A8FF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2629C5"/>
    <w:multiLevelType w:val="hybridMultilevel"/>
    <w:tmpl w:val="610C9E0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4D9D4138"/>
    <w:multiLevelType w:val="hybridMultilevel"/>
    <w:tmpl w:val="7C22985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639F0BE3"/>
    <w:multiLevelType w:val="hybridMultilevel"/>
    <w:tmpl w:val="7062F05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ECE7EB0"/>
    <w:multiLevelType w:val="hybridMultilevel"/>
    <w:tmpl w:val="BC86D6C8"/>
    <w:lvl w:ilvl="0" w:tplc="AF0863C4">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 w:numId="9">
    <w:abstractNumId w:val="14"/>
  </w:num>
  <w:num w:numId="10">
    <w:abstractNumId w:val="6"/>
  </w:num>
  <w:num w:numId="11">
    <w:abstractNumId w:val="8"/>
  </w:num>
  <w:num w:numId="12">
    <w:abstractNumId w:val="13"/>
  </w:num>
  <w:num w:numId="13">
    <w:abstractNumId w:val="10"/>
  </w:num>
  <w:num w:numId="14">
    <w:abstractNumId w:val="9"/>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PE"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E1"/>
    <w:rsid w:val="000025C8"/>
    <w:rsid w:val="00002BE5"/>
    <w:rsid w:val="000045BA"/>
    <w:rsid w:val="0000661D"/>
    <w:rsid w:val="00006EF4"/>
    <w:rsid w:val="00013A4D"/>
    <w:rsid w:val="00014708"/>
    <w:rsid w:val="00014A64"/>
    <w:rsid w:val="00032859"/>
    <w:rsid w:val="00041678"/>
    <w:rsid w:val="00042265"/>
    <w:rsid w:val="00043325"/>
    <w:rsid w:val="00043630"/>
    <w:rsid w:val="00043B60"/>
    <w:rsid w:val="00046259"/>
    <w:rsid w:val="00046363"/>
    <w:rsid w:val="0005189A"/>
    <w:rsid w:val="00052116"/>
    <w:rsid w:val="00052F67"/>
    <w:rsid w:val="00062D23"/>
    <w:rsid w:val="00065FEC"/>
    <w:rsid w:val="000719FE"/>
    <w:rsid w:val="00080224"/>
    <w:rsid w:val="000807CB"/>
    <w:rsid w:val="00082BE2"/>
    <w:rsid w:val="000948BD"/>
    <w:rsid w:val="000A0093"/>
    <w:rsid w:val="000A556A"/>
    <w:rsid w:val="000A64B6"/>
    <w:rsid w:val="000B22D5"/>
    <w:rsid w:val="000B3771"/>
    <w:rsid w:val="000C0AEC"/>
    <w:rsid w:val="000C1023"/>
    <w:rsid w:val="000D476C"/>
    <w:rsid w:val="000D6734"/>
    <w:rsid w:val="000D7A8C"/>
    <w:rsid w:val="000E3914"/>
    <w:rsid w:val="000F10C1"/>
    <w:rsid w:val="000F151D"/>
    <w:rsid w:val="000F2A70"/>
    <w:rsid w:val="000F7206"/>
    <w:rsid w:val="00100AD7"/>
    <w:rsid w:val="001043A5"/>
    <w:rsid w:val="00105666"/>
    <w:rsid w:val="00112A85"/>
    <w:rsid w:val="00114C08"/>
    <w:rsid w:val="0011590E"/>
    <w:rsid w:val="00122531"/>
    <w:rsid w:val="00123524"/>
    <w:rsid w:val="00125E5C"/>
    <w:rsid w:val="001272BA"/>
    <w:rsid w:val="00127908"/>
    <w:rsid w:val="00136B02"/>
    <w:rsid w:val="001451F9"/>
    <w:rsid w:val="00146D0E"/>
    <w:rsid w:val="00157456"/>
    <w:rsid w:val="0016799D"/>
    <w:rsid w:val="00167CD9"/>
    <w:rsid w:val="00170747"/>
    <w:rsid w:val="00180A0D"/>
    <w:rsid w:val="00181316"/>
    <w:rsid w:val="00184D02"/>
    <w:rsid w:val="0018629B"/>
    <w:rsid w:val="00197710"/>
    <w:rsid w:val="001A1026"/>
    <w:rsid w:val="001A37E3"/>
    <w:rsid w:val="001A3DD0"/>
    <w:rsid w:val="001A4463"/>
    <w:rsid w:val="001A6BD7"/>
    <w:rsid w:val="001B0FD6"/>
    <w:rsid w:val="001B3139"/>
    <w:rsid w:val="001B7E8B"/>
    <w:rsid w:val="001C5937"/>
    <w:rsid w:val="001D0648"/>
    <w:rsid w:val="001D2286"/>
    <w:rsid w:val="001F22AB"/>
    <w:rsid w:val="001F49E6"/>
    <w:rsid w:val="001F5695"/>
    <w:rsid w:val="001F69E2"/>
    <w:rsid w:val="001F74AF"/>
    <w:rsid w:val="002002EE"/>
    <w:rsid w:val="00204477"/>
    <w:rsid w:val="00211130"/>
    <w:rsid w:val="002131EB"/>
    <w:rsid w:val="00215EE0"/>
    <w:rsid w:val="00216B72"/>
    <w:rsid w:val="00217B20"/>
    <w:rsid w:val="00220C93"/>
    <w:rsid w:val="00224139"/>
    <w:rsid w:val="00224D38"/>
    <w:rsid w:val="002303E0"/>
    <w:rsid w:val="002307AF"/>
    <w:rsid w:val="00230D2E"/>
    <w:rsid w:val="00233734"/>
    <w:rsid w:val="0023398C"/>
    <w:rsid w:val="00235FE5"/>
    <w:rsid w:val="00237CF7"/>
    <w:rsid w:val="00251C6C"/>
    <w:rsid w:val="002537E1"/>
    <w:rsid w:val="00261374"/>
    <w:rsid w:val="00266A36"/>
    <w:rsid w:val="00283B04"/>
    <w:rsid w:val="0028599E"/>
    <w:rsid w:val="00285F6E"/>
    <w:rsid w:val="002868BE"/>
    <w:rsid w:val="002871B7"/>
    <w:rsid w:val="0029016B"/>
    <w:rsid w:val="00294CF8"/>
    <w:rsid w:val="002B3ACD"/>
    <w:rsid w:val="002B41F8"/>
    <w:rsid w:val="002B7CA0"/>
    <w:rsid w:val="002C1856"/>
    <w:rsid w:val="002C5B84"/>
    <w:rsid w:val="002D2B1F"/>
    <w:rsid w:val="002D6A1C"/>
    <w:rsid w:val="002E3184"/>
    <w:rsid w:val="002F6339"/>
    <w:rsid w:val="002F729E"/>
    <w:rsid w:val="002F7E06"/>
    <w:rsid w:val="003032DE"/>
    <w:rsid w:val="00303B2A"/>
    <w:rsid w:val="0031466E"/>
    <w:rsid w:val="00314F19"/>
    <w:rsid w:val="00315E5F"/>
    <w:rsid w:val="00322576"/>
    <w:rsid w:val="00325EB5"/>
    <w:rsid w:val="003338B1"/>
    <w:rsid w:val="00336420"/>
    <w:rsid w:val="00347F04"/>
    <w:rsid w:val="00351A97"/>
    <w:rsid w:val="0036053B"/>
    <w:rsid w:val="00361002"/>
    <w:rsid w:val="003654C4"/>
    <w:rsid w:val="003661EB"/>
    <w:rsid w:val="00376F57"/>
    <w:rsid w:val="0038165B"/>
    <w:rsid w:val="00383EA0"/>
    <w:rsid w:val="00390514"/>
    <w:rsid w:val="003A3E02"/>
    <w:rsid w:val="003B2D8E"/>
    <w:rsid w:val="003B40B5"/>
    <w:rsid w:val="003B582D"/>
    <w:rsid w:val="003B7704"/>
    <w:rsid w:val="003C2AC8"/>
    <w:rsid w:val="003C32D4"/>
    <w:rsid w:val="003C7AFC"/>
    <w:rsid w:val="003D7AD4"/>
    <w:rsid w:val="003E1F25"/>
    <w:rsid w:val="003E5634"/>
    <w:rsid w:val="003E5AF6"/>
    <w:rsid w:val="003F4521"/>
    <w:rsid w:val="003F577E"/>
    <w:rsid w:val="003F71D2"/>
    <w:rsid w:val="0040002E"/>
    <w:rsid w:val="00403060"/>
    <w:rsid w:val="00412771"/>
    <w:rsid w:val="00413AC1"/>
    <w:rsid w:val="00414A22"/>
    <w:rsid w:val="00414F4E"/>
    <w:rsid w:val="00414FE6"/>
    <w:rsid w:val="00422541"/>
    <w:rsid w:val="004235B5"/>
    <w:rsid w:val="004256C1"/>
    <w:rsid w:val="00425D81"/>
    <w:rsid w:val="00433A24"/>
    <w:rsid w:val="00447818"/>
    <w:rsid w:val="00450182"/>
    <w:rsid w:val="0045550D"/>
    <w:rsid w:val="004616BF"/>
    <w:rsid w:val="00464D15"/>
    <w:rsid w:val="00465879"/>
    <w:rsid w:val="00472CD8"/>
    <w:rsid w:val="004736A3"/>
    <w:rsid w:val="00477D70"/>
    <w:rsid w:val="00483059"/>
    <w:rsid w:val="004A2F11"/>
    <w:rsid w:val="004A3901"/>
    <w:rsid w:val="004A4300"/>
    <w:rsid w:val="004B0A5C"/>
    <w:rsid w:val="004C1EBB"/>
    <w:rsid w:val="004C2636"/>
    <w:rsid w:val="004D03E3"/>
    <w:rsid w:val="004D1413"/>
    <w:rsid w:val="004D4F31"/>
    <w:rsid w:val="004D69B4"/>
    <w:rsid w:val="004E4636"/>
    <w:rsid w:val="004F4FE0"/>
    <w:rsid w:val="004F5854"/>
    <w:rsid w:val="00502BE1"/>
    <w:rsid w:val="005054CF"/>
    <w:rsid w:val="00513AFF"/>
    <w:rsid w:val="0051482D"/>
    <w:rsid w:val="005207B4"/>
    <w:rsid w:val="00520B1C"/>
    <w:rsid w:val="00523696"/>
    <w:rsid w:val="00525662"/>
    <w:rsid w:val="0053570E"/>
    <w:rsid w:val="00541B84"/>
    <w:rsid w:val="00545C5C"/>
    <w:rsid w:val="005512D1"/>
    <w:rsid w:val="00551ADA"/>
    <w:rsid w:val="00563537"/>
    <w:rsid w:val="005715B6"/>
    <w:rsid w:val="00572C3E"/>
    <w:rsid w:val="00576346"/>
    <w:rsid w:val="005823AF"/>
    <w:rsid w:val="005831C7"/>
    <w:rsid w:val="00586D37"/>
    <w:rsid w:val="005914B6"/>
    <w:rsid w:val="005A09A0"/>
    <w:rsid w:val="005A3330"/>
    <w:rsid w:val="005C2DA6"/>
    <w:rsid w:val="005C5CDA"/>
    <w:rsid w:val="005C683B"/>
    <w:rsid w:val="005C6F0E"/>
    <w:rsid w:val="005C74E7"/>
    <w:rsid w:val="005C7665"/>
    <w:rsid w:val="005D276D"/>
    <w:rsid w:val="005D717D"/>
    <w:rsid w:val="005F3D70"/>
    <w:rsid w:val="00605E96"/>
    <w:rsid w:val="00624C24"/>
    <w:rsid w:val="0063260F"/>
    <w:rsid w:val="00634CF4"/>
    <w:rsid w:val="00645E97"/>
    <w:rsid w:val="00646B81"/>
    <w:rsid w:val="00650EC7"/>
    <w:rsid w:val="00656ADD"/>
    <w:rsid w:val="00656FC0"/>
    <w:rsid w:val="0066141D"/>
    <w:rsid w:val="00663004"/>
    <w:rsid w:val="00663AC3"/>
    <w:rsid w:val="00666BE0"/>
    <w:rsid w:val="00666C01"/>
    <w:rsid w:val="00667126"/>
    <w:rsid w:val="006676E3"/>
    <w:rsid w:val="00671EF3"/>
    <w:rsid w:val="0067363B"/>
    <w:rsid w:val="00684068"/>
    <w:rsid w:val="00694218"/>
    <w:rsid w:val="0069669D"/>
    <w:rsid w:val="006A0DF1"/>
    <w:rsid w:val="006A2D50"/>
    <w:rsid w:val="006A3497"/>
    <w:rsid w:val="006A4A37"/>
    <w:rsid w:val="006A7510"/>
    <w:rsid w:val="006B73CC"/>
    <w:rsid w:val="006C16AA"/>
    <w:rsid w:val="006C1802"/>
    <w:rsid w:val="006C221E"/>
    <w:rsid w:val="006D0177"/>
    <w:rsid w:val="006D03D3"/>
    <w:rsid w:val="006D1578"/>
    <w:rsid w:val="006E0B15"/>
    <w:rsid w:val="006E5127"/>
    <w:rsid w:val="006E7C22"/>
    <w:rsid w:val="006F0A50"/>
    <w:rsid w:val="006F1720"/>
    <w:rsid w:val="006F4C65"/>
    <w:rsid w:val="00703C45"/>
    <w:rsid w:val="007053BB"/>
    <w:rsid w:val="007055B9"/>
    <w:rsid w:val="007108EB"/>
    <w:rsid w:val="00711A27"/>
    <w:rsid w:val="00716A07"/>
    <w:rsid w:val="0072512A"/>
    <w:rsid w:val="007303C6"/>
    <w:rsid w:val="007406E3"/>
    <w:rsid w:val="00743378"/>
    <w:rsid w:val="007479C1"/>
    <w:rsid w:val="00751820"/>
    <w:rsid w:val="0076414D"/>
    <w:rsid w:val="0076684A"/>
    <w:rsid w:val="0078016C"/>
    <w:rsid w:val="00780311"/>
    <w:rsid w:val="00784167"/>
    <w:rsid w:val="00784316"/>
    <w:rsid w:val="00784D56"/>
    <w:rsid w:val="00785E34"/>
    <w:rsid w:val="00792E2E"/>
    <w:rsid w:val="0079665B"/>
    <w:rsid w:val="007A0B0E"/>
    <w:rsid w:val="007A0B86"/>
    <w:rsid w:val="007A0D22"/>
    <w:rsid w:val="007A412D"/>
    <w:rsid w:val="007A5D24"/>
    <w:rsid w:val="007B050D"/>
    <w:rsid w:val="007B26E6"/>
    <w:rsid w:val="007C264E"/>
    <w:rsid w:val="007C6CD3"/>
    <w:rsid w:val="007D15D7"/>
    <w:rsid w:val="007D38C8"/>
    <w:rsid w:val="007D4403"/>
    <w:rsid w:val="007E12B3"/>
    <w:rsid w:val="007E2323"/>
    <w:rsid w:val="007F23B8"/>
    <w:rsid w:val="00802336"/>
    <w:rsid w:val="00802F49"/>
    <w:rsid w:val="00803723"/>
    <w:rsid w:val="00804432"/>
    <w:rsid w:val="008143A9"/>
    <w:rsid w:val="008143B8"/>
    <w:rsid w:val="00822785"/>
    <w:rsid w:val="0083025E"/>
    <w:rsid w:val="00835A58"/>
    <w:rsid w:val="00835B98"/>
    <w:rsid w:val="00837D2F"/>
    <w:rsid w:val="00837E03"/>
    <w:rsid w:val="00837E06"/>
    <w:rsid w:val="008430F7"/>
    <w:rsid w:val="00845A59"/>
    <w:rsid w:val="00856DE1"/>
    <w:rsid w:val="00864B88"/>
    <w:rsid w:val="00867DB7"/>
    <w:rsid w:val="0087147C"/>
    <w:rsid w:val="0088317B"/>
    <w:rsid w:val="00891434"/>
    <w:rsid w:val="00894C03"/>
    <w:rsid w:val="008A0111"/>
    <w:rsid w:val="008A0CDF"/>
    <w:rsid w:val="008A174E"/>
    <w:rsid w:val="008A1A5F"/>
    <w:rsid w:val="008A2160"/>
    <w:rsid w:val="008C7939"/>
    <w:rsid w:val="008D2944"/>
    <w:rsid w:val="008D58EE"/>
    <w:rsid w:val="008D59EF"/>
    <w:rsid w:val="008E19AB"/>
    <w:rsid w:val="008E261A"/>
    <w:rsid w:val="008F0CAC"/>
    <w:rsid w:val="008F1F1D"/>
    <w:rsid w:val="008F6EA0"/>
    <w:rsid w:val="0090559E"/>
    <w:rsid w:val="00913C57"/>
    <w:rsid w:val="00927740"/>
    <w:rsid w:val="0093348D"/>
    <w:rsid w:val="00933F9E"/>
    <w:rsid w:val="00934FF4"/>
    <w:rsid w:val="009369B0"/>
    <w:rsid w:val="00941C44"/>
    <w:rsid w:val="009444E1"/>
    <w:rsid w:val="009462F9"/>
    <w:rsid w:val="00957053"/>
    <w:rsid w:val="0095750E"/>
    <w:rsid w:val="00960B19"/>
    <w:rsid w:val="0097359A"/>
    <w:rsid w:val="00974026"/>
    <w:rsid w:val="0097531D"/>
    <w:rsid w:val="009766CC"/>
    <w:rsid w:val="0097792B"/>
    <w:rsid w:val="00980FB8"/>
    <w:rsid w:val="0098563A"/>
    <w:rsid w:val="009A5A02"/>
    <w:rsid w:val="009C1679"/>
    <w:rsid w:val="009C2C17"/>
    <w:rsid w:val="009C4D21"/>
    <w:rsid w:val="009D022B"/>
    <w:rsid w:val="009D1149"/>
    <w:rsid w:val="009D2C8B"/>
    <w:rsid w:val="009D3F12"/>
    <w:rsid w:val="009D74B1"/>
    <w:rsid w:val="009D7EFE"/>
    <w:rsid w:val="009E53FB"/>
    <w:rsid w:val="009F4BB0"/>
    <w:rsid w:val="009F53F5"/>
    <w:rsid w:val="00A039EC"/>
    <w:rsid w:val="00A060AC"/>
    <w:rsid w:val="00A063EB"/>
    <w:rsid w:val="00A115B9"/>
    <w:rsid w:val="00A1426B"/>
    <w:rsid w:val="00A219B0"/>
    <w:rsid w:val="00A25E67"/>
    <w:rsid w:val="00A2620D"/>
    <w:rsid w:val="00A276F5"/>
    <w:rsid w:val="00A342D4"/>
    <w:rsid w:val="00A344D9"/>
    <w:rsid w:val="00A359A9"/>
    <w:rsid w:val="00A36951"/>
    <w:rsid w:val="00A46992"/>
    <w:rsid w:val="00A534E9"/>
    <w:rsid w:val="00A54D0E"/>
    <w:rsid w:val="00A55C1D"/>
    <w:rsid w:val="00A62E5A"/>
    <w:rsid w:val="00A648AA"/>
    <w:rsid w:val="00A64B5C"/>
    <w:rsid w:val="00A73974"/>
    <w:rsid w:val="00A75CF2"/>
    <w:rsid w:val="00A8358B"/>
    <w:rsid w:val="00A83F53"/>
    <w:rsid w:val="00A90ACA"/>
    <w:rsid w:val="00A91F92"/>
    <w:rsid w:val="00A9594E"/>
    <w:rsid w:val="00A973D9"/>
    <w:rsid w:val="00AA2DA9"/>
    <w:rsid w:val="00AA744B"/>
    <w:rsid w:val="00AB4307"/>
    <w:rsid w:val="00AB4CFB"/>
    <w:rsid w:val="00AB500C"/>
    <w:rsid w:val="00AB6370"/>
    <w:rsid w:val="00AB6AE9"/>
    <w:rsid w:val="00AC3723"/>
    <w:rsid w:val="00AC7DFB"/>
    <w:rsid w:val="00AD3006"/>
    <w:rsid w:val="00AD3F7E"/>
    <w:rsid w:val="00AD5DDA"/>
    <w:rsid w:val="00AF4DEF"/>
    <w:rsid w:val="00B0151C"/>
    <w:rsid w:val="00B015BE"/>
    <w:rsid w:val="00B06850"/>
    <w:rsid w:val="00B07A7C"/>
    <w:rsid w:val="00B12F30"/>
    <w:rsid w:val="00B31570"/>
    <w:rsid w:val="00B33197"/>
    <w:rsid w:val="00B34D4B"/>
    <w:rsid w:val="00B4134E"/>
    <w:rsid w:val="00B50140"/>
    <w:rsid w:val="00B571E0"/>
    <w:rsid w:val="00B707EB"/>
    <w:rsid w:val="00B70A2E"/>
    <w:rsid w:val="00B72A53"/>
    <w:rsid w:val="00B929FA"/>
    <w:rsid w:val="00BA08F7"/>
    <w:rsid w:val="00BB4C0A"/>
    <w:rsid w:val="00BB7023"/>
    <w:rsid w:val="00BB71A7"/>
    <w:rsid w:val="00BD55C0"/>
    <w:rsid w:val="00BD6025"/>
    <w:rsid w:val="00BD6B97"/>
    <w:rsid w:val="00BE0986"/>
    <w:rsid w:val="00BE6AD5"/>
    <w:rsid w:val="00BF1305"/>
    <w:rsid w:val="00BF1835"/>
    <w:rsid w:val="00BF6533"/>
    <w:rsid w:val="00C00932"/>
    <w:rsid w:val="00C06D76"/>
    <w:rsid w:val="00C13507"/>
    <w:rsid w:val="00C15C6B"/>
    <w:rsid w:val="00C16688"/>
    <w:rsid w:val="00C16DD2"/>
    <w:rsid w:val="00C22938"/>
    <w:rsid w:val="00C34640"/>
    <w:rsid w:val="00C3755E"/>
    <w:rsid w:val="00C435F7"/>
    <w:rsid w:val="00C5375A"/>
    <w:rsid w:val="00C61466"/>
    <w:rsid w:val="00C634FA"/>
    <w:rsid w:val="00C67CB1"/>
    <w:rsid w:val="00C70E44"/>
    <w:rsid w:val="00C77248"/>
    <w:rsid w:val="00C845EE"/>
    <w:rsid w:val="00C87923"/>
    <w:rsid w:val="00C87B1E"/>
    <w:rsid w:val="00C9189D"/>
    <w:rsid w:val="00C94022"/>
    <w:rsid w:val="00C94F1B"/>
    <w:rsid w:val="00C96A70"/>
    <w:rsid w:val="00CA0E8D"/>
    <w:rsid w:val="00CA2DE2"/>
    <w:rsid w:val="00CA2F9D"/>
    <w:rsid w:val="00CB3538"/>
    <w:rsid w:val="00CB6347"/>
    <w:rsid w:val="00CC2258"/>
    <w:rsid w:val="00CC2776"/>
    <w:rsid w:val="00CC4172"/>
    <w:rsid w:val="00CC57A3"/>
    <w:rsid w:val="00CD04E7"/>
    <w:rsid w:val="00CD16B2"/>
    <w:rsid w:val="00CD28F0"/>
    <w:rsid w:val="00CD4CDB"/>
    <w:rsid w:val="00CD5246"/>
    <w:rsid w:val="00CD68C9"/>
    <w:rsid w:val="00CE3170"/>
    <w:rsid w:val="00CE5469"/>
    <w:rsid w:val="00D0369A"/>
    <w:rsid w:val="00D06BF1"/>
    <w:rsid w:val="00D1436B"/>
    <w:rsid w:val="00D25CA1"/>
    <w:rsid w:val="00D46564"/>
    <w:rsid w:val="00D4682C"/>
    <w:rsid w:val="00D50177"/>
    <w:rsid w:val="00D64BA2"/>
    <w:rsid w:val="00D665B0"/>
    <w:rsid w:val="00D76F36"/>
    <w:rsid w:val="00D8555D"/>
    <w:rsid w:val="00D862FF"/>
    <w:rsid w:val="00DA01ED"/>
    <w:rsid w:val="00DA2DE8"/>
    <w:rsid w:val="00DA7A69"/>
    <w:rsid w:val="00DB26D9"/>
    <w:rsid w:val="00DB2937"/>
    <w:rsid w:val="00DB2D7C"/>
    <w:rsid w:val="00DB419E"/>
    <w:rsid w:val="00DD1C92"/>
    <w:rsid w:val="00DD5791"/>
    <w:rsid w:val="00DE19AC"/>
    <w:rsid w:val="00DE2044"/>
    <w:rsid w:val="00DE6CF5"/>
    <w:rsid w:val="00DF4CD8"/>
    <w:rsid w:val="00E046A7"/>
    <w:rsid w:val="00E059A6"/>
    <w:rsid w:val="00E06AB5"/>
    <w:rsid w:val="00E10879"/>
    <w:rsid w:val="00E1185A"/>
    <w:rsid w:val="00E24A8B"/>
    <w:rsid w:val="00E2566D"/>
    <w:rsid w:val="00E27515"/>
    <w:rsid w:val="00E40E6F"/>
    <w:rsid w:val="00E44270"/>
    <w:rsid w:val="00E55AAD"/>
    <w:rsid w:val="00E561DB"/>
    <w:rsid w:val="00E5680B"/>
    <w:rsid w:val="00E56F93"/>
    <w:rsid w:val="00E62C51"/>
    <w:rsid w:val="00E63179"/>
    <w:rsid w:val="00E64C89"/>
    <w:rsid w:val="00E66A3B"/>
    <w:rsid w:val="00E676EF"/>
    <w:rsid w:val="00E701A8"/>
    <w:rsid w:val="00E769D9"/>
    <w:rsid w:val="00E801B6"/>
    <w:rsid w:val="00E82ED2"/>
    <w:rsid w:val="00E82FDA"/>
    <w:rsid w:val="00E85F7C"/>
    <w:rsid w:val="00E86A01"/>
    <w:rsid w:val="00E90008"/>
    <w:rsid w:val="00E94988"/>
    <w:rsid w:val="00EA16FA"/>
    <w:rsid w:val="00EA2460"/>
    <w:rsid w:val="00EA4993"/>
    <w:rsid w:val="00EA5593"/>
    <w:rsid w:val="00EB10EC"/>
    <w:rsid w:val="00EB125B"/>
    <w:rsid w:val="00EB4308"/>
    <w:rsid w:val="00EB44E9"/>
    <w:rsid w:val="00EB7A4B"/>
    <w:rsid w:val="00EC0870"/>
    <w:rsid w:val="00EC1687"/>
    <w:rsid w:val="00EC1868"/>
    <w:rsid w:val="00EC261C"/>
    <w:rsid w:val="00ED0E75"/>
    <w:rsid w:val="00ED1AA8"/>
    <w:rsid w:val="00EE19E4"/>
    <w:rsid w:val="00EE2632"/>
    <w:rsid w:val="00EE78AC"/>
    <w:rsid w:val="00EF4486"/>
    <w:rsid w:val="00EF606E"/>
    <w:rsid w:val="00EF732F"/>
    <w:rsid w:val="00EF7C6A"/>
    <w:rsid w:val="00F00D20"/>
    <w:rsid w:val="00F020D4"/>
    <w:rsid w:val="00F064B6"/>
    <w:rsid w:val="00F137A7"/>
    <w:rsid w:val="00F22D12"/>
    <w:rsid w:val="00F26DEE"/>
    <w:rsid w:val="00F3159C"/>
    <w:rsid w:val="00F3383B"/>
    <w:rsid w:val="00F4075B"/>
    <w:rsid w:val="00F40B0D"/>
    <w:rsid w:val="00F46CB4"/>
    <w:rsid w:val="00F507D1"/>
    <w:rsid w:val="00F57603"/>
    <w:rsid w:val="00F659B1"/>
    <w:rsid w:val="00F663E9"/>
    <w:rsid w:val="00F6728C"/>
    <w:rsid w:val="00F70A6C"/>
    <w:rsid w:val="00F716ED"/>
    <w:rsid w:val="00F726F0"/>
    <w:rsid w:val="00F82521"/>
    <w:rsid w:val="00F82B4F"/>
    <w:rsid w:val="00F86937"/>
    <w:rsid w:val="00F900DF"/>
    <w:rsid w:val="00F90B49"/>
    <w:rsid w:val="00F9293C"/>
    <w:rsid w:val="00F95182"/>
    <w:rsid w:val="00F96107"/>
    <w:rsid w:val="00FA35F2"/>
    <w:rsid w:val="00FB0762"/>
    <w:rsid w:val="00FB113F"/>
    <w:rsid w:val="00FB1E25"/>
    <w:rsid w:val="00FB2D27"/>
    <w:rsid w:val="00FB44B2"/>
    <w:rsid w:val="00FB5E71"/>
    <w:rsid w:val="00FC2BA7"/>
    <w:rsid w:val="00FC595D"/>
    <w:rsid w:val="00FC7171"/>
    <w:rsid w:val="00FE3F51"/>
    <w:rsid w:val="00FE4EE1"/>
    <w:rsid w:val="00FE5BCE"/>
    <w:rsid w:val="00FF1A16"/>
    <w:rsid w:val="00FF1A8B"/>
    <w:rsid w:val="00FF2D2C"/>
    <w:rsid w:val="00FF2E55"/>
    <w:rsid w:val="00FF55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84EB"/>
  <w15:docId w15:val="{060A373E-9F77-43B8-B595-5D13423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E1"/>
  </w:style>
  <w:style w:type="paragraph" w:styleId="Ttulo1">
    <w:name w:val="heading 1"/>
    <w:basedOn w:val="Normal"/>
    <w:next w:val="Normal"/>
    <w:link w:val="Ttulo1Car"/>
    <w:qFormat/>
    <w:rsid w:val="002307AF"/>
    <w:pPr>
      <w:keepNext/>
      <w:spacing w:after="0" w:line="240" w:lineRule="auto"/>
      <w:jc w:val="center"/>
      <w:outlineLvl w:val="0"/>
    </w:pPr>
    <w:rPr>
      <w:rFonts w:ascii="Arial" w:eastAsia="Times New Roman" w:hAnsi="Arial" w:cs="Times New Roman"/>
      <w:b/>
      <w:sz w:val="24"/>
      <w:szCs w:val="20"/>
      <w:u w:val="single"/>
      <w:lang w:val="es-ES" w:eastAsia="es-PE"/>
    </w:rPr>
  </w:style>
  <w:style w:type="paragraph" w:styleId="Ttulo4">
    <w:name w:val="heading 4"/>
    <w:basedOn w:val="Normal"/>
    <w:next w:val="Normal"/>
    <w:link w:val="Ttulo4Car"/>
    <w:qFormat/>
    <w:rsid w:val="002307AF"/>
    <w:pPr>
      <w:keepNext/>
      <w:tabs>
        <w:tab w:val="left" w:pos="426"/>
      </w:tabs>
      <w:spacing w:after="0" w:line="240" w:lineRule="auto"/>
      <w:jc w:val="center"/>
      <w:outlineLvl w:val="3"/>
    </w:pPr>
    <w:rPr>
      <w:rFonts w:ascii="Arial" w:eastAsia="Times New Roman" w:hAnsi="Arial" w:cs="Times New Roman"/>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537E1"/>
    <w:pPr>
      <w:spacing w:line="240" w:lineRule="auto"/>
    </w:pPr>
    <w:rPr>
      <w:sz w:val="20"/>
      <w:szCs w:val="20"/>
    </w:rPr>
  </w:style>
  <w:style w:type="character" w:customStyle="1" w:styleId="TextocomentarioCar">
    <w:name w:val="Texto comentario Car"/>
    <w:basedOn w:val="Fuentedeprrafopredeter"/>
    <w:link w:val="Textocomentario"/>
    <w:uiPriority w:val="99"/>
    <w:rsid w:val="002537E1"/>
    <w:rPr>
      <w:sz w:val="20"/>
      <w:szCs w:val="20"/>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2537E1"/>
    <w:pPr>
      <w:ind w:left="720"/>
      <w:contextualSpacing/>
    </w:pPr>
  </w:style>
  <w:style w:type="character" w:styleId="Refdecomentario">
    <w:name w:val="annotation reference"/>
    <w:basedOn w:val="Fuentedeprrafopredeter"/>
    <w:uiPriority w:val="99"/>
    <w:semiHidden/>
    <w:unhideWhenUsed/>
    <w:rsid w:val="002537E1"/>
    <w:rPr>
      <w:sz w:val="16"/>
      <w:szCs w:val="16"/>
    </w:rPr>
  </w:style>
  <w:style w:type="table" w:styleId="Tablaconcuadrcula">
    <w:name w:val="Table Grid"/>
    <w:basedOn w:val="Tablanormal"/>
    <w:uiPriority w:val="59"/>
    <w:rsid w:val="002537E1"/>
    <w:pPr>
      <w:spacing w:after="0" w:line="240" w:lineRule="auto"/>
      <w:ind w:left="839"/>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37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7E1"/>
    <w:rPr>
      <w:rFonts w:ascii="Tahoma" w:hAnsi="Tahoma" w:cs="Tahoma"/>
      <w:sz w:val="16"/>
      <w:szCs w:val="16"/>
    </w:rPr>
  </w:style>
  <w:style w:type="paragraph" w:styleId="Encabezado">
    <w:name w:val="header"/>
    <w:basedOn w:val="Normal"/>
    <w:link w:val="EncabezadoCar"/>
    <w:uiPriority w:val="99"/>
    <w:unhideWhenUsed/>
    <w:rsid w:val="00B01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51C"/>
  </w:style>
  <w:style w:type="paragraph" w:styleId="Piedepgina">
    <w:name w:val="footer"/>
    <w:basedOn w:val="Normal"/>
    <w:link w:val="PiedepginaCar"/>
    <w:uiPriority w:val="99"/>
    <w:unhideWhenUsed/>
    <w:rsid w:val="00B01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51C"/>
  </w:style>
  <w:style w:type="paragraph" w:styleId="Asuntodelcomentario">
    <w:name w:val="annotation subject"/>
    <w:basedOn w:val="Textocomentario"/>
    <w:next w:val="Textocomentario"/>
    <w:link w:val="AsuntodelcomentarioCar"/>
    <w:uiPriority w:val="99"/>
    <w:semiHidden/>
    <w:unhideWhenUsed/>
    <w:rsid w:val="00FB113F"/>
    <w:rPr>
      <w:b/>
      <w:bCs/>
    </w:rPr>
  </w:style>
  <w:style w:type="character" w:customStyle="1" w:styleId="AsuntodelcomentarioCar">
    <w:name w:val="Asunto del comentario Car"/>
    <w:basedOn w:val="TextocomentarioCar"/>
    <w:link w:val="Asuntodelcomentario"/>
    <w:uiPriority w:val="99"/>
    <w:semiHidden/>
    <w:rsid w:val="00FB113F"/>
    <w:rPr>
      <w:b/>
      <w:bCs/>
      <w:sz w:val="20"/>
      <w:szCs w:val="20"/>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FB5E71"/>
  </w:style>
  <w:style w:type="paragraph" w:customStyle="1" w:styleId="Default">
    <w:name w:val="Default"/>
    <w:rsid w:val="008430F7"/>
    <w:pPr>
      <w:autoSpaceDE w:val="0"/>
      <w:autoSpaceDN w:val="0"/>
      <w:adjustRightInd w:val="0"/>
      <w:spacing w:after="0" w:line="240" w:lineRule="auto"/>
    </w:pPr>
    <w:rPr>
      <w:rFonts w:ascii="Arial" w:eastAsiaTheme="minorEastAsia" w:hAnsi="Arial" w:cs="Arial"/>
      <w:color w:val="000000"/>
      <w:sz w:val="24"/>
      <w:szCs w:val="24"/>
      <w:lang w:eastAsia="es-PE"/>
    </w:rPr>
  </w:style>
  <w:style w:type="paragraph" w:styleId="Textonotapie">
    <w:name w:val="footnote text"/>
    <w:basedOn w:val="Normal"/>
    <w:link w:val="TextonotapieCar"/>
    <w:uiPriority w:val="99"/>
    <w:semiHidden/>
    <w:unhideWhenUsed/>
    <w:rsid w:val="009575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750E"/>
    <w:rPr>
      <w:sz w:val="20"/>
      <w:szCs w:val="20"/>
    </w:rPr>
  </w:style>
  <w:style w:type="character" w:styleId="Refdenotaalpie">
    <w:name w:val="footnote reference"/>
    <w:basedOn w:val="Fuentedeprrafopredeter"/>
    <w:uiPriority w:val="99"/>
    <w:semiHidden/>
    <w:unhideWhenUsed/>
    <w:rsid w:val="0095750E"/>
    <w:rPr>
      <w:vertAlign w:val="superscript"/>
    </w:rPr>
  </w:style>
  <w:style w:type="character" w:customStyle="1" w:styleId="Ttulo1Car">
    <w:name w:val="Título 1 Car"/>
    <w:basedOn w:val="Fuentedeprrafopredeter"/>
    <w:link w:val="Ttulo1"/>
    <w:rsid w:val="002307AF"/>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2307AF"/>
    <w:rPr>
      <w:rFonts w:ascii="Arial" w:eastAsia="Times New Roman" w:hAnsi="Arial" w:cs="Times New Roman"/>
      <w:sz w:val="24"/>
      <w:szCs w:val="20"/>
      <w:lang w:val="es-ES" w:eastAsia="es-PE"/>
    </w:rPr>
  </w:style>
  <w:style w:type="paragraph" w:customStyle="1" w:styleId="Estilo2">
    <w:name w:val="Estilo2"/>
    <w:basedOn w:val="Normal"/>
    <w:rsid w:val="002307AF"/>
    <w:pPr>
      <w:spacing w:after="0" w:line="240" w:lineRule="auto"/>
      <w:jc w:val="both"/>
    </w:pPr>
    <w:rPr>
      <w:rFonts w:ascii="Arial" w:eastAsia="Times New Roman" w:hAnsi="Arial" w:cs="Times New Roman"/>
      <w:sz w:val="24"/>
      <w:szCs w:val="20"/>
      <w:lang w:val="es-ES" w:eastAsia="es-PE"/>
    </w:rPr>
  </w:style>
  <w:style w:type="paragraph" w:styleId="Ttulo">
    <w:name w:val="Title"/>
    <w:basedOn w:val="Normal"/>
    <w:link w:val="TtuloCar"/>
    <w:qFormat/>
    <w:rsid w:val="002307AF"/>
    <w:pPr>
      <w:spacing w:after="0" w:line="240" w:lineRule="auto"/>
      <w:jc w:val="center"/>
    </w:pPr>
    <w:rPr>
      <w:rFonts w:ascii="Times New Roman" w:eastAsia="Times New Roman" w:hAnsi="Times New Roman" w:cs="Times New Roman"/>
      <w:sz w:val="24"/>
      <w:szCs w:val="20"/>
      <w:lang w:val="es-ES" w:eastAsia="es-PE"/>
    </w:rPr>
  </w:style>
  <w:style w:type="character" w:customStyle="1" w:styleId="TtuloCar">
    <w:name w:val="Título Car"/>
    <w:basedOn w:val="Fuentedeprrafopredeter"/>
    <w:link w:val="Ttulo"/>
    <w:rsid w:val="002307AF"/>
    <w:rPr>
      <w:rFonts w:ascii="Times New Roman" w:eastAsia="Times New Roman" w:hAnsi="Times New Roman" w:cs="Times New Roman"/>
      <w:sz w:val="24"/>
      <w:szCs w:val="20"/>
      <w:lang w:val="es-ES" w:eastAsia="es-PE"/>
    </w:rPr>
  </w:style>
  <w:style w:type="paragraph" w:styleId="NormalWeb">
    <w:name w:val="Normal (Web)"/>
    <w:basedOn w:val="Normal"/>
    <w:uiPriority w:val="99"/>
    <w:unhideWhenUsed/>
    <w:rsid w:val="00AC7DF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1B0FD6"/>
    <w:pPr>
      <w:spacing w:after="0" w:line="240" w:lineRule="auto"/>
    </w:pPr>
  </w:style>
  <w:style w:type="character" w:styleId="nfasis">
    <w:name w:val="Emphasis"/>
    <w:basedOn w:val="Fuentedeprrafopredeter"/>
    <w:uiPriority w:val="20"/>
    <w:qFormat/>
    <w:rsid w:val="00E86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999">
      <w:bodyDiv w:val="1"/>
      <w:marLeft w:val="0"/>
      <w:marRight w:val="0"/>
      <w:marTop w:val="0"/>
      <w:marBottom w:val="0"/>
      <w:divBdr>
        <w:top w:val="none" w:sz="0" w:space="0" w:color="auto"/>
        <w:left w:val="none" w:sz="0" w:space="0" w:color="auto"/>
        <w:bottom w:val="none" w:sz="0" w:space="0" w:color="auto"/>
        <w:right w:val="none" w:sz="0" w:space="0" w:color="auto"/>
      </w:divBdr>
    </w:div>
    <w:div w:id="438188019">
      <w:bodyDiv w:val="1"/>
      <w:marLeft w:val="0"/>
      <w:marRight w:val="0"/>
      <w:marTop w:val="0"/>
      <w:marBottom w:val="0"/>
      <w:divBdr>
        <w:top w:val="none" w:sz="0" w:space="0" w:color="auto"/>
        <w:left w:val="none" w:sz="0" w:space="0" w:color="auto"/>
        <w:bottom w:val="none" w:sz="0" w:space="0" w:color="auto"/>
        <w:right w:val="none" w:sz="0" w:space="0" w:color="auto"/>
      </w:divBdr>
    </w:div>
    <w:div w:id="13564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A640-A44C-4630-BB3F-50F2E9B1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2482</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Nuvia Reinoso</dc:creator>
  <cp:lastModifiedBy>Maria Avila Moreno</cp:lastModifiedBy>
  <cp:revision>3</cp:revision>
  <cp:lastPrinted>2020-02-13T22:19:00Z</cp:lastPrinted>
  <dcterms:created xsi:type="dcterms:W3CDTF">2024-02-01T13:32:00Z</dcterms:created>
  <dcterms:modified xsi:type="dcterms:W3CDTF">2024-02-01T13:37:00Z</dcterms:modified>
</cp:coreProperties>
</file>