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DB652" w14:textId="77777777" w:rsidR="00B772FA" w:rsidRPr="001D52FE" w:rsidRDefault="00B772FA" w:rsidP="00B772FA">
      <w:pPr>
        <w:ind w:left="708" w:hanging="708"/>
        <w:rPr>
          <w:rFonts w:ascii="Arial" w:hAnsi="Arial" w:cs="Arial"/>
          <w:noProof/>
          <w:sz w:val="22"/>
          <w:szCs w:val="22"/>
        </w:rPr>
      </w:pPr>
      <w:r w:rsidRPr="001D52FE">
        <w:rPr>
          <w:rFonts w:ascii="Arial" w:hAnsi="Arial" w:cs="Arial"/>
          <w:noProof/>
          <w:sz w:val="22"/>
          <w:szCs w:val="22"/>
          <w:lang w:eastAsia="es-PE"/>
        </w:rPr>
        <w:drawing>
          <wp:inline distT="0" distB="0" distL="0" distR="0" wp14:anchorId="1026486A" wp14:editId="27B4C1CF">
            <wp:extent cx="1847850" cy="44098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GCA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4069" cy="444857"/>
                    </a:xfrm>
                    <a:prstGeom prst="rect">
                      <a:avLst/>
                    </a:prstGeom>
                  </pic:spPr>
                </pic:pic>
              </a:graphicData>
            </a:graphic>
          </wp:inline>
        </w:drawing>
      </w:r>
    </w:p>
    <w:p w14:paraId="5FB842AD" w14:textId="77777777" w:rsidR="00B772FA" w:rsidRPr="001D52FE" w:rsidRDefault="00B772FA" w:rsidP="00B772FA">
      <w:pPr>
        <w:ind w:left="708" w:hanging="708"/>
        <w:rPr>
          <w:rFonts w:ascii="Arial" w:hAnsi="Arial" w:cs="Arial"/>
          <w:noProof/>
          <w:sz w:val="22"/>
          <w:szCs w:val="22"/>
        </w:rPr>
      </w:pPr>
    </w:p>
    <w:p w14:paraId="3AE2CD5A" w14:textId="77777777" w:rsidR="00B772FA" w:rsidRPr="001D52FE" w:rsidRDefault="00B772FA" w:rsidP="00B772FA">
      <w:pPr>
        <w:ind w:left="708" w:hanging="708"/>
        <w:rPr>
          <w:rFonts w:ascii="Arial" w:hAnsi="Arial" w:cs="Arial"/>
          <w:noProof/>
          <w:sz w:val="22"/>
          <w:szCs w:val="22"/>
        </w:rPr>
      </w:pPr>
    </w:p>
    <w:p w14:paraId="29ECBBC1" w14:textId="77777777" w:rsidR="00B772FA" w:rsidRPr="001D52FE" w:rsidRDefault="00B772FA" w:rsidP="00B772FA">
      <w:pPr>
        <w:ind w:left="708" w:hanging="708"/>
        <w:rPr>
          <w:rFonts w:ascii="Arial" w:hAnsi="Arial" w:cs="Arial"/>
          <w:noProof/>
          <w:sz w:val="22"/>
          <w:szCs w:val="22"/>
        </w:rPr>
      </w:pPr>
    </w:p>
    <w:p w14:paraId="79EBAE95" w14:textId="77777777" w:rsidR="00B772FA" w:rsidRPr="001D52FE" w:rsidRDefault="00B772FA" w:rsidP="00B772FA">
      <w:pPr>
        <w:spacing w:line="260" w:lineRule="exact"/>
        <w:ind w:right="-1"/>
        <w:jc w:val="left"/>
        <w:rPr>
          <w:rFonts w:ascii="Arial" w:hAnsi="Arial" w:cs="Arial"/>
          <w:sz w:val="22"/>
          <w:szCs w:val="22"/>
        </w:rPr>
      </w:pPr>
    </w:p>
    <w:p w14:paraId="6195714E" w14:textId="1A513549" w:rsidR="00B772FA" w:rsidRPr="001D52FE" w:rsidRDefault="00B772FA" w:rsidP="00B772FA">
      <w:pPr>
        <w:spacing w:line="260" w:lineRule="exact"/>
        <w:ind w:right="-1"/>
        <w:jc w:val="center"/>
        <w:rPr>
          <w:rFonts w:ascii="Arial" w:hAnsi="Arial" w:cs="Arial"/>
          <w:b/>
          <w:sz w:val="22"/>
          <w:szCs w:val="22"/>
          <w:u w:val="single"/>
        </w:rPr>
      </w:pPr>
      <w:r w:rsidRPr="001D52FE">
        <w:rPr>
          <w:rFonts w:ascii="Arial" w:hAnsi="Arial" w:cs="Arial"/>
          <w:b/>
          <w:sz w:val="22"/>
          <w:szCs w:val="22"/>
          <w:u w:val="single"/>
        </w:rPr>
        <w:t>RESOLUCIÓN N°</w:t>
      </w:r>
      <w:r w:rsidR="00D03AA8">
        <w:rPr>
          <w:rFonts w:ascii="Arial" w:hAnsi="Arial" w:cs="Arial"/>
          <w:b/>
          <w:sz w:val="22"/>
          <w:szCs w:val="22"/>
          <w:u w:val="single"/>
        </w:rPr>
        <w:t xml:space="preserve"> 2360</w:t>
      </w:r>
    </w:p>
    <w:p w14:paraId="3D289BD2" w14:textId="77777777" w:rsidR="00B772FA" w:rsidRPr="001D52FE" w:rsidRDefault="00B772FA" w:rsidP="00B772FA">
      <w:pPr>
        <w:pStyle w:val="Ttulo4"/>
        <w:ind w:left="4961"/>
        <w:rPr>
          <w:rFonts w:ascii="Arial" w:hAnsi="Arial" w:cs="Arial"/>
          <w:b/>
          <w:i w:val="0"/>
          <w:color w:val="auto"/>
          <w:sz w:val="22"/>
          <w:szCs w:val="22"/>
          <w:u w:val="single"/>
        </w:rPr>
      </w:pPr>
    </w:p>
    <w:p w14:paraId="32F01D6E" w14:textId="20C1548D" w:rsidR="00B772FA" w:rsidRPr="001D52FE" w:rsidRDefault="00A5119D" w:rsidP="0070569D">
      <w:pPr>
        <w:ind w:left="4253"/>
        <w:rPr>
          <w:rFonts w:ascii="Arial" w:hAnsi="Arial" w:cs="Arial"/>
          <w:sz w:val="22"/>
          <w:szCs w:val="22"/>
        </w:rPr>
      </w:pPr>
      <w:r w:rsidRPr="00A5119D">
        <w:rPr>
          <w:rFonts w:ascii="Arial" w:hAnsi="Arial" w:cs="Arial"/>
          <w:sz w:val="22"/>
          <w:szCs w:val="22"/>
        </w:rPr>
        <w:t xml:space="preserve">Resuelve inadmitir el reclamo interpuesto por </w:t>
      </w:r>
      <w:bookmarkStart w:id="0" w:name="_Hlk132740586"/>
      <w:r w:rsidRPr="00A5119D">
        <w:rPr>
          <w:rFonts w:ascii="Arial" w:hAnsi="Arial" w:cs="Arial"/>
          <w:sz w:val="22"/>
          <w:szCs w:val="22"/>
        </w:rPr>
        <w:t xml:space="preserve">el señor Efraín Armando López </w:t>
      </w:r>
      <w:proofErr w:type="spellStart"/>
      <w:r w:rsidRPr="00A5119D">
        <w:rPr>
          <w:rFonts w:ascii="Arial" w:hAnsi="Arial" w:cs="Arial"/>
          <w:sz w:val="22"/>
          <w:szCs w:val="22"/>
        </w:rPr>
        <w:t>Amarís</w:t>
      </w:r>
      <w:proofErr w:type="spellEnd"/>
      <w:r w:rsidRPr="00A5119D">
        <w:rPr>
          <w:rFonts w:ascii="Arial" w:hAnsi="Arial" w:cs="Arial"/>
          <w:sz w:val="22"/>
          <w:szCs w:val="22"/>
        </w:rPr>
        <w:t xml:space="preserve">, </w:t>
      </w:r>
      <w:bookmarkStart w:id="1" w:name="_Hlk120520682"/>
      <w:bookmarkEnd w:id="0"/>
      <w:r w:rsidRPr="00A5119D">
        <w:rPr>
          <w:rFonts w:ascii="Arial" w:hAnsi="Arial" w:cs="Arial"/>
          <w:sz w:val="22"/>
          <w:szCs w:val="22"/>
        </w:rPr>
        <w:t>en contra de la República de</w:t>
      </w:r>
      <w:bookmarkEnd w:id="1"/>
      <w:r w:rsidRPr="00A5119D">
        <w:rPr>
          <w:rFonts w:ascii="Arial" w:hAnsi="Arial" w:cs="Arial"/>
          <w:sz w:val="22"/>
          <w:szCs w:val="22"/>
        </w:rPr>
        <w:t xml:space="preserve"> Colombia (Instituto Nacional de Vigilancia Medicamentos y Alimentos INVIMA) por presunto incumplimiento de la Decisión 833 – Armonización de Legislaciones en materia de Productos Cosméticos</w:t>
      </w:r>
    </w:p>
    <w:p w14:paraId="40A5C40D" w14:textId="77777777" w:rsidR="00B772FA" w:rsidRPr="001D52FE" w:rsidRDefault="00B772FA" w:rsidP="00B772FA">
      <w:pPr>
        <w:ind w:left="708" w:hanging="708"/>
        <w:rPr>
          <w:rFonts w:ascii="Arial" w:hAnsi="Arial" w:cs="Arial"/>
          <w:sz w:val="22"/>
          <w:szCs w:val="22"/>
        </w:rPr>
      </w:pPr>
    </w:p>
    <w:p w14:paraId="325EFE51" w14:textId="77777777" w:rsidR="00B772FA" w:rsidRPr="001D52FE" w:rsidRDefault="00B772FA" w:rsidP="00B772FA">
      <w:pPr>
        <w:tabs>
          <w:tab w:val="left" w:pos="0"/>
        </w:tabs>
        <w:spacing w:line="260" w:lineRule="exact"/>
        <w:rPr>
          <w:rFonts w:ascii="Arial" w:hAnsi="Arial" w:cs="Arial"/>
          <w:b/>
          <w:sz w:val="22"/>
          <w:szCs w:val="22"/>
        </w:rPr>
      </w:pPr>
      <w:r w:rsidRPr="001D52FE">
        <w:rPr>
          <w:rFonts w:ascii="Arial" w:hAnsi="Arial" w:cs="Arial"/>
          <w:b/>
          <w:sz w:val="22"/>
          <w:szCs w:val="22"/>
        </w:rPr>
        <w:t>LA SECRETARÍA GENERAL DE LA COMUNIDAD ANDINA;</w:t>
      </w:r>
    </w:p>
    <w:p w14:paraId="014F29DE" w14:textId="77777777" w:rsidR="00B772FA" w:rsidRPr="001D52FE" w:rsidRDefault="00B772FA" w:rsidP="00B772FA">
      <w:pPr>
        <w:tabs>
          <w:tab w:val="left" w:pos="426"/>
        </w:tabs>
        <w:spacing w:line="260" w:lineRule="exact"/>
        <w:rPr>
          <w:rFonts w:ascii="Arial" w:hAnsi="Arial" w:cs="Arial"/>
          <w:sz w:val="22"/>
          <w:szCs w:val="22"/>
        </w:rPr>
      </w:pPr>
    </w:p>
    <w:p w14:paraId="5202265A" w14:textId="77777777" w:rsidR="00A5119D" w:rsidRPr="00D037CD" w:rsidRDefault="00B772FA" w:rsidP="00A5119D">
      <w:pPr>
        <w:rPr>
          <w:color w:val="000000" w:themeColor="text1"/>
        </w:rPr>
      </w:pPr>
      <w:r w:rsidRPr="001D52FE">
        <w:rPr>
          <w:rFonts w:ascii="Arial" w:hAnsi="Arial" w:cs="Arial"/>
          <w:b/>
          <w:sz w:val="22"/>
          <w:szCs w:val="22"/>
        </w:rPr>
        <w:t>VISTOS:</w:t>
      </w:r>
      <w:r w:rsidRPr="001D52FE">
        <w:rPr>
          <w:rFonts w:ascii="Arial" w:hAnsi="Arial" w:cs="Arial"/>
          <w:sz w:val="22"/>
          <w:szCs w:val="22"/>
        </w:rPr>
        <w:t xml:space="preserve"> </w:t>
      </w:r>
      <w:r w:rsidR="00A5119D" w:rsidRPr="00A5119D">
        <w:rPr>
          <w:rFonts w:ascii="Arial" w:hAnsi="Arial" w:cs="Arial"/>
          <w:color w:val="000000" w:themeColor="text1"/>
          <w:sz w:val="22"/>
          <w:szCs w:val="22"/>
          <w:lang w:val="es-ES"/>
        </w:rPr>
        <w:t>Los artículos 29, 30, 34 y 39 del Acuerdo de Cartagena, el Tratado de Creación del Tribunal de Justicia de la Comunidad Andina y la Decisión 623 Reglamento de la Fase Prejudicial de la Acción de Incumplimiento; y,</w:t>
      </w:r>
    </w:p>
    <w:p w14:paraId="5505E537" w14:textId="378639AA" w:rsidR="00B772FA" w:rsidRPr="001D52FE" w:rsidRDefault="00B772FA" w:rsidP="00B772FA">
      <w:pPr>
        <w:tabs>
          <w:tab w:val="left" w:pos="426"/>
        </w:tabs>
        <w:ind w:right="-86"/>
        <w:rPr>
          <w:rFonts w:ascii="Arial" w:hAnsi="Arial" w:cs="Arial"/>
          <w:sz w:val="22"/>
          <w:szCs w:val="22"/>
        </w:rPr>
      </w:pPr>
    </w:p>
    <w:p w14:paraId="5E375854" w14:textId="77777777" w:rsidR="00B772FA" w:rsidRPr="001D52FE" w:rsidRDefault="00B772FA" w:rsidP="00B772FA">
      <w:pPr>
        <w:tabs>
          <w:tab w:val="left" w:pos="426"/>
        </w:tabs>
        <w:ind w:right="-86"/>
        <w:rPr>
          <w:rFonts w:ascii="Arial" w:hAnsi="Arial" w:cs="Arial"/>
          <w:sz w:val="22"/>
          <w:szCs w:val="22"/>
        </w:rPr>
      </w:pPr>
    </w:p>
    <w:p w14:paraId="0C4482A8" w14:textId="77777777" w:rsidR="00B772FA" w:rsidRPr="001D52FE" w:rsidRDefault="00B772FA" w:rsidP="00B772FA">
      <w:pPr>
        <w:tabs>
          <w:tab w:val="left" w:pos="426"/>
        </w:tabs>
        <w:ind w:right="-86"/>
        <w:rPr>
          <w:rFonts w:ascii="Arial" w:hAnsi="Arial" w:cs="Arial"/>
          <w:b/>
          <w:sz w:val="22"/>
          <w:szCs w:val="22"/>
        </w:rPr>
      </w:pPr>
      <w:r w:rsidRPr="001D52FE">
        <w:rPr>
          <w:rFonts w:ascii="Arial" w:hAnsi="Arial" w:cs="Arial"/>
          <w:b/>
          <w:sz w:val="22"/>
          <w:szCs w:val="22"/>
        </w:rPr>
        <w:t>CONSIDERANDO:</w:t>
      </w:r>
    </w:p>
    <w:p w14:paraId="3B552F56" w14:textId="77777777" w:rsidR="00B772FA" w:rsidRPr="001D52FE" w:rsidRDefault="00B772FA" w:rsidP="00B772FA">
      <w:pPr>
        <w:rPr>
          <w:rFonts w:ascii="Arial" w:hAnsi="Arial" w:cs="Arial"/>
          <w:sz w:val="22"/>
          <w:szCs w:val="22"/>
        </w:rPr>
      </w:pPr>
    </w:p>
    <w:p w14:paraId="4E05DAF2" w14:textId="77777777" w:rsidR="008866F5" w:rsidRPr="001D52FE" w:rsidRDefault="00B772FA" w:rsidP="00331627">
      <w:pPr>
        <w:pStyle w:val="Ttulo2"/>
        <w:numPr>
          <w:ilvl w:val="0"/>
          <w:numId w:val="1"/>
        </w:numPr>
        <w:spacing w:before="0"/>
        <w:ind w:left="0" w:hanging="142"/>
        <w:rPr>
          <w:rFonts w:ascii="Arial" w:hAnsi="Arial" w:cs="Arial"/>
          <w:b/>
          <w:color w:val="auto"/>
          <w:sz w:val="22"/>
          <w:szCs w:val="22"/>
          <w:u w:val="single"/>
        </w:rPr>
      </w:pPr>
      <w:bookmarkStart w:id="2" w:name="_Toc101721529"/>
      <w:r w:rsidRPr="001D52FE">
        <w:rPr>
          <w:rFonts w:ascii="Arial" w:hAnsi="Arial" w:cs="Arial"/>
          <w:b/>
          <w:color w:val="auto"/>
          <w:sz w:val="22"/>
          <w:szCs w:val="22"/>
          <w:u w:val="single"/>
        </w:rPr>
        <w:t>ANTECEDENTES</w:t>
      </w:r>
      <w:bookmarkEnd w:id="2"/>
    </w:p>
    <w:p w14:paraId="51AD548C" w14:textId="7F6D2328" w:rsidR="008866F5" w:rsidRDefault="008866F5" w:rsidP="008866F5">
      <w:pPr>
        <w:ind w:left="851" w:hanging="851"/>
        <w:rPr>
          <w:rFonts w:ascii="Arial" w:hAnsi="Arial" w:cs="Arial"/>
          <w:color w:val="000000" w:themeColor="text1"/>
          <w:sz w:val="22"/>
          <w:szCs w:val="22"/>
        </w:rPr>
      </w:pPr>
    </w:p>
    <w:p w14:paraId="18EAA33B" w14:textId="77777777" w:rsidR="0070569D" w:rsidRPr="001D52FE" w:rsidRDefault="0070569D" w:rsidP="008866F5">
      <w:pPr>
        <w:ind w:left="851" w:hanging="851"/>
        <w:rPr>
          <w:rFonts w:ascii="Arial" w:hAnsi="Arial" w:cs="Arial"/>
          <w:color w:val="000000" w:themeColor="text1"/>
          <w:sz w:val="22"/>
          <w:szCs w:val="22"/>
        </w:rPr>
      </w:pPr>
    </w:p>
    <w:p w14:paraId="40A76724" w14:textId="335BCEB5" w:rsidR="0077252A" w:rsidRPr="0070569D" w:rsidRDefault="0077252A" w:rsidP="0077252A">
      <w:pPr>
        <w:pStyle w:val="Prrafodelista"/>
        <w:ind w:left="0"/>
        <w:rPr>
          <w:rFonts w:ascii="Arial" w:hAnsi="Arial" w:cs="Arial"/>
          <w:b/>
          <w:bCs/>
          <w:i/>
          <w:iCs/>
          <w:color w:val="000000" w:themeColor="text1"/>
          <w:sz w:val="22"/>
          <w:szCs w:val="22"/>
          <w:lang w:val="es-ES"/>
        </w:rPr>
      </w:pPr>
      <w:r w:rsidRPr="0070569D">
        <w:rPr>
          <w:rFonts w:ascii="Arial" w:hAnsi="Arial" w:cs="Arial"/>
          <w:b/>
          <w:bCs/>
          <w:i/>
          <w:iCs/>
          <w:color w:val="000000" w:themeColor="text1"/>
          <w:sz w:val="22"/>
          <w:szCs w:val="22"/>
          <w:lang w:val="es-ES"/>
        </w:rPr>
        <w:t>Reclamo</w:t>
      </w:r>
    </w:p>
    <w:p w14:paraId="3409090C" w14:textId="77777777" w:rsidR="0077252A" w:rsidRPr="001D52FE" w:rsidRDefault="0077252A" w:rsidP="0077252A">
      <w:pPr>
        <w:pStyle w:val="Prrafodelista"/>
        <w:ind w:left="0"/>
        <w:rPr>
          <w:rFonts w:ascii="Arial" w:hAnsi="Arial" w:cs="Arial"/>
          <w:color w:val="000000" w:themeColor="text1"/>
          <w:sz w:val="22"/>
          <w:szCs w:val="22"/>
          <w:lang w:val="es-ES"/>
        </w:rPr>
      </w:pPr>
    </w:p>
    <w:p w14:paraId="1D690271" w14:textId="574A8AE5" w:rsidR="00DE5139" w:rsidRPr="001D52FE" w:rsidRDefault="00A5119D" w:rsidP="00712F4F">
      <w:pPr>
        <w:pStyle w:val="Prrafodelista"/>
        <w:numPr>
          <w:ilvl w:val="0"/>
          <w:numId w:val="2"/>
        </w:numPr>
        <w:ind w:left="0" w:hanging="567"/>
        <w:rPr>
          <w:rFonts w:ascii="Arial" w:hAnsi="Arial" w:cs="Arial"/>
          <w:color w:val="000000" w:themeColor="text1"/>
          <w:sz w:val="22"/>
          <w:szCs w:val="22"/>
          <w:lang w:val="es-ES"/>
        </w:rPr>
      </w:pPr>
      <w:r w:rsidRPr="00A5119D">
        <w:rPr>
          <w:rFonts w:ascii="Arial" w:hAnsi="Arial" w:cs="Arial"/>
          <w:color w:val="000000" w:themeColor="text1"/>
          <w:sz w:val="22"/>
          <w:szCs w:val="22"/>
          <w:lang w:val="es-ES"/>
        </w:rPr>
        <w:t xml:space="preserve">Que, el 20 de septiembre de 2023 la Secretaría General de la Comunidad Andina (en adelante SGCAN) recibió el reclamo presentado por el señor Efraín Armando López </w:t>
      </w:r>
      <w:proofErr w:type="spellStart"/>
      <w:r w:rsidRPr="00A5119D">
        <w:rPr>
          <w:rFonts w:ascii="Arial" w:hAnsi="Arial" w:cs="Arial"/>
          <w:color w:val="000000" w:themeColor="text1"/>
          <w:sz w:val="22"/>
          <w:szCs w:val="22"/>
          <w:lang w:val="es-ES"/>
        </w:rPr>
        <w:t>Amarís</w:t>
      </w:r>
      <w:proofErr w:type="spellEnd"/>
      <w:r w:rsidRPr="00A5119D">
        <w:rPr>
          <w:rFonts w:ascii="Arial" w:hAnsi="Arial" w:cs="Arial"/>
          <w:color w:val="000000" w:themeColor="text1"/>
          <w:sz w:val="22"/>
          <w:szCs w:val="22"/>
          <w:lang w:val="es-ES"/>
        </w:rPr>
        <w:t>, señalando que es abogado en ejercicio y actúa en nombre propio, identificado con cédula de ciudadanía No. 1.082.967.276</w:t>
      </w:r>
      <w:r w:rsidRPr="00A5119D">
        <w:rPr>
          <w:rFonts w:ascii="Arial" w:hAnsi="Arial" w:cs="Arial"/>
          <w:color w:val="000000" w:themeColor="text1"/>
          <w:sz w:val="22"/>
          <w:szCs w:val="22"/>
          <w:lang w:val="es-ES"/>
        </w:rPr>
        <w:footnoteReference w:id="1"/>
      </w:r>
      <w:r w:rsidRPr="00A5119D">
        <w:rPr>
          <w:rFonts w:ascii="Arial" w:hAnsi="Arial" w:cs="Arial"/>
          <w:color w:val="000000" w:themeColor="text1"/>
          <w:sz w:val="22"/>
          <w:szCs w:val="22"/>
          <w:lang w:val="es-ES"/>
        </w:rPr>
        <w:t xml:space="preserve"> (en adelante, reclamante)</w:t>
      </w:r>
      <w:r w:rsidR="00965AAF" w:rsidRPr="001D52FE">
        <w:rPr>
          <w:rFonts w:ascii="Arial" w:hAnsi="Arial" w:cs="Arial"/>
          <w:color w:val="000000" w:themeColor="text1"/>
          <w:sz w:val="22"/>
          <w:szCs w:val="22"/>
          <w:lang w:val="es-ES"/>
        </w:rPr>
        <w:t>.</w:t>
      </w:r>
    </w:p>
    <w:p w14:paraId="7A58909F" w14:textId="77777777" w:rsidR="00DE5139" w:rsidRPr="001D52FE" w:rsidRDefault="00DE5139" w:rsidP="00712F4F">
      <w:pPr>
        <w:pStyle w:val="Prrafodelista"/>
        <w:ind w:left="0" w:hanging="567"/>
        <w:rPr>
          <w:rFonts w:ascii="Arial" w:hAnsi="Arial" w:cs="Arial"/>
          <w:color w:val="000000" w:themeColor="text1"/>
          <w:sz w:val="22"/>
          <w:szCs w:val="22"/>
          <w:lang w:val="es-ES"/>
        </w:rPr>
      </w:pPr>
    </w:p>
    <w:p w14:paraId="402A2C32" w14:textId="2C771F53" w:rsidR="00D0576E" w:rsidRPr="001D52FE" w:rsidRDefault="00A5119D" w:rsidP="00712F4F">
      <w:pPr>
        <w:pStyle w:val="Prrafodelista"/>
        <w:numPr>
          <w:ilvl w:val="0"/>
          <w:numId w:val="2"/>
        </w:numPr>
        <w:ind w:left="0" w:hanging="567"/>
        <w:rPr>
          <w:rFonts w:ascii="Arial" w:hAnsi="Arial" w:cs="Arial"/>
          <w:color w:val="000000" w:themeColor="text1"/>
          <w:sz w:val="22"/>
          <w:szCs w:val="22"/>
          <w:lang w:val="es-ES"/>
        </w:rPr>
      </w:pPr>
      <w:r w:rsidRPr="00A5119D">
        <w:rPr>
          <w:rFonts w:ascii="Arial" w:hAnsi="Arial" w:cs="Arial"/>
          <w:color w:val="000000" w:themeColor="text1"/>
          <w:sz w:val="22"/>
          <w:szCs w:val="22"/>
          <w:lang w:val="es-ES"/>
        </w:rPr>
        <w:t xml:space="preserve">El reclamo señalado fue interpuesto por el abogado López </w:t>
      </w:r>
      <w:proofErr w:type="spellStart"/>
      <w:r w:rsidRPr="00A5119D">
        <w:rPr>
          <w:rFonts w:ascii="Arial" w:hAnsi="Arial" w:cs="Arial"/>
          <w:color w:val="000000" w:themeColor="text1"/>
          <w:sz w:val="22"/>
          <w:szCs w:val="22"/>
          <w:lang w:val="es-ES"/>
        </w:rPr>
        <w:t>Amarís</w:t>
      </w:r>
      <w:proofErr w:type="spellEnd"/>
      <w:r w:rsidRPr="00A5119D">
        <w:rPr>
          <w:rFonts w:ascii="Arial" w:hAnsi="Arial" w:cs="Arial"/>
          <w:color w:val="000000" w:themeColor="text1"/>
          <w:sz w:val="22"/>
          <w:szCs w:val="22"/>
          <w:lang w:val="es-ES"/>
        </w:rPr>
        <w:t xml:space="preserve"> en contra de la República de Colombia (Instituto Nacional de Vigilancia Medicamentos y Alimentos INVIMA), por presunto incumplimiento del artículo 9 de la Decisión 833 – Armonización de Legislaciones en materia de Productos Cosméticos, en razón a la expedición de la Circular Externa 1000-01-23 del 16 de enero de 2023, referida a los titulares de Notificaciones Sanitarias Obligatorias – NSO, fabricantes e importadores de productos cosméticos que contienen ingredientes derivados de cannabis, el cual acompaña con cuatro (4) documentos adjuntos</w:t>
      </w:r>
      <w:r w:rsidRPr="00A5119D">
        <w:rPr>
          <w:rStyle w:val="Refdenotaalpie"/>
          <w:rFonts w:ascii="Arial" w:hAnsi="Arial" w:cs="Arial"/>
          <w:color w:val="000000" w:themeColor="text1"/>
        </w:rPr>
        <w:footnoteReference w:id="2"/>
      </w:r>
      <w:r w:rsidR="00544404" w:rsidRPr="00A5119D">
        <w:rPr>
          <w:rFonts w:ascii="Arial" w:hAnsi="Arial" w:cs="Arial"/>
          <w:color w:val="000000" w:themeColor="text1"/>
          <w:sz w:val="22"/>
          <w:szCs w:val="22"/>
        </w:rPr>
        <w:t>.</w:t>
      </w:r>
    </w:p>
    <w:p w14:paraId="2CEE50C8" w14:textId="77777777" w:rsidR="00D0576E" w:rsidRPr="001D52FE" w:rsidRDefault="00D0576E" w:rsidP="00712F4F">
      <w:pPr>
        <w:pStyle w:val="Prrafodelista"/>
        <w:ind w:hanging="567"/>
        <w:rPr>
          <w:rFonts w:ascii="Arial" w:hAnsi="Arial" w:cs="Arial"/>
          <w:color w:val="000000" w:themeColor="text1"/>
          <w:sz w:val="22"/>
          <w:szCs w:val="22"/>
        </w:rPr>
      </w:pPr>
    </w:p>
    <w:p w14:paraId="703B165C" w14:textId="5D557504" w:rsidR="001450C2" w:rsidRPr="00A5119D" w:rsidRDefault="00A5119D" w:rsidP="00712F4F">
      <w:pPr>
        <w:pStyle w:val="Prrafodelista"/>
        <w:numPr>
          <w:ilvl w:val="0"/>
          <w:numId w:val="2"/>
        </w:numPr>
        <w:ind w:left="0" w:hanging="567"/>
        <w:rPr>
          <w:rFonts w:ascii="Arial" w:hAnsi="Arial" w:cs="Arial"/>
          <w:color w:val="000000" w:themeColor="text1"/>
          <w:sz w:val="22"/>
          <w:szCs w:val="22"/>
        </w:rPr>
      </w:pPr>
      <w:r w:rsidRPr="00A5119D">
        <w:rPr>
          <w:rFonts w:ascii="Arial" w:hAnsi="Arial" w:cs="Arial"/>
          <w:color w:val="000000" w:themeColor="text1"/>
          <w:sz w:val="22"/>
          <w:szCs w:val="22"/>
        </w:rPr>
        <w:t xml:space="preserve">El reclamante interpone reclamo de incumplimiento indicando que con las  medidas tomadas por la República de Colombia contenidas en la Circular Externa 1000-001-23 del </w:t>
      </w:r>
      <w:r w:rsidRPr="00A5119D">
        <w:rPr>
          <w:rFonts w:ascii="Arial" w:hAnsi="Arial" w:cs="Arial"/>
          <w:color w:val="000000" w:themeColor="text1"/>
          <w:sz w:val="22"/>
          <w:szCs w:val="22"/>
        </w:rPr>
        <w:lastRenderedPageBreak/>
        <w:t>16 de enero de 2023</w:t>
      </w:r>
      <w:r w:rsidRPr="00A5119D">
        <w:rPr>
          <w:rFonts w:ascii="Arial" w:hAnsi="Arial" w:cs="Arial"/>
          <w:color w:val="000000" w:themeColor="text1"/>
          <w:sz w:val="22"/>
          <w:szCs w:val="22"/>
        </w:rPr>
        <w:footnoteReference w:id="3"/>
      </w:r>
      <w:r w:rsidRPr="00A5119D">
        <w:rPr>
          <w:rFonts w:ascii="Arial" w:hAnsi="Arial" w:cs="Arial"/>
          <w:color w:val="000000" w:themeColor="text1"/>
          <w:sz w:val="22"/>
          <w:szCs w:val="22"/>
        </w:rPr>
        <w:t xml:space="preserve"> expedida por la Dirección General INVIMA por medio de la Dirección de Cosméticos, Aseo, Plaguicidas y Productos de Higiene Doméstica del Instituto Nacional de Vigilancia de Medicamentos y Alimentos INVIMA de la República de Colombia,  se crearon requisitos supracomunitarios para la emisión del código de notificación sanitaria obligatoria (NSO), </w:t>
      </w:r>
      <w:bookmarkStart w:id="4" w:name="_GoBack"/>
      <w:bookmarkEnd w:id="4"/>
      <w:r w:rsidRPr="00A5119D">
        <w:rPr>
          <w:rFonts w:ascii="Arial" w:hAnsi="Arial" w:cs="Arial"/>
          <w:color w:val="000000" w:themeColor="text1"/>
          <w:sz w:val="22"/>
          <w:szCs w:val="22"/>
        </w:rPr>
        <w:t>siendo estos requisitos nuevos, adicionales a los expuestos en el artículo 9 de la Decisión 833</w:t>
      </w:r>
    </w:p>
    <w:p w14:paraId="2AD60C8E" w14:textId="77777777" w:rsidR="00D0576E" w:rsidRPr="001D52FE" w:rsidRDefault="00D0576E" w:rsidP="00712F4F">
      <w:pPr>
        <w:pStyle w:val="Prrafodelista"/>
        <w:ind w:hanging="567"/>
        <w:rPr>
          <w:rFonts w:ascii="Arial" w:hAnsi="Arial" w:cs="Arial"/>
          <w:color w:val="000000" w:themeColor="text1"/>
          <w:sz w:val="22"/>
          <w:szCs w:val="22"/>
        </w:rPr>
      </w:pPr>
    </w:p>
    <w:p w14:paraId="356399A3" w14:textId="06078801" w:rsidR="009E2669" w:rsidRPr="00A5119D" w:rsidRDefault="00A5119D" w:rsidP="00712F4F">
      <w:pPr>
        <w:pStyle w:val="Prrafodelista"/>
        <w:numPr>
          <w:ilvl w:val="0"/>
          <w:numId w:val="2"/>
        </w:numPr>
        <w:ind w:left="0" w:hanging="567"/>
        <w:rPr>
          <w:rFonts w:ascii="Arial" w:hAnsi="Arial" w:cs="Arial"/>
          <w:color w:val="000000" w:themeColor="text1"/>
          <w:sz w:val="22"/>
          <w:szCs w:val="22"/>
          <w:lang w:val="es-ES"/>
        </w:rPr>
      </w:pPr>
      <w:r w:rsidRPr="00A5119D">
        <w:rPr>
          <w:rFonts w:ascii="Arial" w:hAnsi="Arial" w:cs="Arial"/>
          <w:color w:val="000000" w:themeColor="text1"/>
          <w:sz w:val="22"/>
          <w:szCs w:val="22"/>
        </w:rPr>
        <w:t xml:space="preserve">Sostiene el reclamante, en particular respecto de la medida que presuntamente constituye un incumplimiento,  que </w:t>
      </w:r>
      <w:r w:rsidRPr="00A5119D">
        <w:rPr>
          <w:rFonts w:ascii="Arial" w:hAnsi="Arial" w:cs="Arial"/>
          <w:i/>
          <w:iCs/>
          <w:color w:val="000000" w:themeColor="text1"/>
          <w:sz w:val="22"/>
          <w:szCs w:val="22"/>
        </w:rPr>
        <w:t xml:space="preserve">“el Invima en la Circular Externa 1000-01-23 </w:t>
      </w:r>
      <w:r w:rsidRPr="00A5119D">
        <w:rPr>
          <w:rFonts w:ascii="Arial" w:hAnsi="Arial" w:cs="Arial"/>
          <w:i/>
          <w:iCs/>
          <w:color w:val="000000" w:themeColor="text1"/>
          <w:sz w:val="22"/>
          <w:szCs w:val="22"/>
          <w:lang w:val="es-CO"/>
        </w:rPr>
        <w:t>pasó por alto las obligaciones comunitarias y adicionó requisitos para la asignación de la NSO cuando se tratare de cosméticos a base de derivados de cannabis</w:t>
      </w:r>
      <w:r w:rsidRPr="00A5119D">
        <w:rPr>
          <w:rStyle w:val="Refdenotaalpie"/>
          <w:rFonts w:ascii="Arial" w:hAnsi="Arial" w:cs="Arial"/>
          <w:i/>
          <w:iCs/>
          <w:color w:val="000000" w:themeColor="text1"/>
          <w:sz w:val="22"/>
          <w:szCs w:val="22"/>
          <w:lang w:val="es-CO"/>
        </w:rPr>
        <w:footnoteReference w:id="4"/>
      </w:r>
      <w:r w:rsidRPr="00A5119D">
        <w:rPr>
          <w:rFonts w:ascii="Arial" w:hAnsi="Arial" w:cs="Arial"/>
          <w:i/>
          <w:iCs/>
          <w:color w:val="000000" w:themeColor="text1"/>
          <w:sz w:val="22"/>
          <w:szCs w:val="22"/>
          <w:lang w:val="es-CO"/>
        </w:rPr>
        <w:t>”</w:t>
      </w:r>
      <w:r w:rsidRPr="00A5119D">
        <w:rPr>
          <w:rFonts w:ascii="Arial" w:hAnsi="Arial" w:cs="Arial"/>
          <w:color w:val="000000" w:themeColor="text1"/>
          <w:sz w:val="22"/>
          <w:szCs w:val="22"/>
          <w:lang w:val="es-CO"/>
        </w:rPr>
        <w:t xml:space="preserve">, argumentando que </w:t>
      </w:r>
      <w:r w:rsidRPr="00A5119D">
        <w:rPr>
          <w:rFonts w:ascii="Arial" w:hAnsi="Arial" w:cs="Arial"/>
          <w:i/>
          <w:iCs/>
          <w:color w:val="000000" w:themeColor="text1"/>
          <w:sz w:val="22"/>
          <w:szCs w:val="22"/>
          <w:lang w:val="es-CO"/>
        </w:rPr>
        <w:t>“sobre los requisitos para la asignación del código de NSO la CAN reguló de forma completa las exigencias que se deben cumplir, no dejando a interpretaciones ni a la creación de requisitos complementarios</w:t>
      </w:r>
      <w:r w:rsidRPr="00A5119D">
        <w:rPr>
          <w:rStyle w:val="Refdenotaalpie"/>
          <w:rFonts w:ascii="Arial" w:hAnsi="Arial" w:cs="Arial"/>
          <w:i/>
          <w:iCs/>
          <w:color w:val="000000" w:themeColor="text1"/>
          <w:sz w:val="22"/>
          <w:szCs w:val="22"/>
          <w:lang w:val="es-CO"/>
        </w:rPr>
        <w:footnoteReference w:id="5"/>
      </w:r>
      <w:r w:rsidRPr="00A5119D">
        <w:rPr>
          <w:rFonts w:ascii="Arial" w:hAnsi="Arial" w:cs="Arial"/>
          <w:i/>
          <w:iCs/>
          <w:color w:val="000000" w:themeColor="text1"/>
          <w:sz w:val="22"/>
          <w:szCs w:val="22"/>
          <w:lang w:val="es-CO"/>
        </w:rPr>
        <w:t>”</w:t>
      </w:r>
      <w:r w:rsidRPr="00A5119D">
        <w:rPr>
          <w:rFonts w:ascii="Arial" w:hAnsi="Arial" w:cs="Arial"/>
          <w:color w:val="000000" w:themeColor="text1"/>
          <w:sz w:val="22"/>
          <w:szCs w:val="22"/>
          <w:lang w:val="es-CO"/>
        </w:rPr>
        <w:t xml:space="preserve"> y presenta en paralelo comparativo los requisitos del artículo 9 de la Decisión 833 con los creados por el INVIMA mediante la citada Circular</w:t>
      </w:r>
      <w:r w:rsidRPr="00A5119D">
        <w:rPr>
          <w:rFonts w:ascii="Arial" w:hAnsi="Arial" w:cs="Arial"/>
          <w:color w:val="000000" w:themeColor="text1"/>
          <w:vertAlign w:val="superscript"/>
          <w:lang w:val="es-CO"/>
        </w:rPr>
        <w:footnoteReference w:id="6"/>
      </w:r>
    </w:p>
    <w:p w14:paraId="425B587E" w14:textId="77777777" w:rsidR="00E56012" w:rsidRPr="001D52FE" w:rsidRDefault="00E56012" w:rsidP="00712F4F">
      <w:pPr>
        <w:pStyle w:val="Prrafodelista"/>
        <w:ind w:hanging="567"/>
        <w:rPr>
          <w:rFonts w:ascii="Arial" w:hAnsi="Arial" w:cs="Arial"/>
          <w:color w:val="000000" w:themeColor="text1"/>
          <w:sz w:val="22"/>
          <w:szCs w:val="22"/>
          <w:lang w:val="es-ES"/>
        </w:rPr>
      </w:pPr>
    </w:p>
    <w:p w14:paraId="13F0571F" w14:textId="5E3F0635" w:rsidR="00E56012" w:rsidRPr="001D52FE" w:rsidRDefault="00A5119D" w:rsidP="00712F4F">
      <w:pPr>
        <w:pStyle w:val="Prrafodelista"/>
        <w:numPr>
          <w:ilvl w:val="0"/>
          <w:numId w:val="2"/>
        </w:numPr>
        <w:ind w:left="0" w:hanging="567"/>
        <w:rPr>
          <w:rFonts w:ascii="Arial" w:hAnsi="Arial" w:cs="Arial"/>
          <w:sz w:val="22"/>
          <w:szCs w:val="22"/>
        </w:rPr>
      </w:pPr>
      <w:r w:rsidRPr="00A5119D">
        <w:rPr>
          <w:rFonts w:ascii="Arial" w:hAnsi="Arial" w:cs="Arial"/>
          <w:color w:val="000000" w:themeColor="text1"/>
          <w:sz w:val="22"/>
          <w:szCs w:val="22"/>
        </w:rPr>
        <w:t>Señala el reclamante que</w:t>
      </w:r>
      <w:r w:rsidRPr="00A5119D">
        <w:rPr>
          <w:rFonts w:ascii="Arial" w:hAnsi="Arial" w:cs="Arial"/>
          <w:i/>
          <w:color w:val="000000" w:themeColor="text1"/>
          <w:sz w:val="22"/>
          <w:szCs w:val="22"/>
        </w:rPr>
        <w:t xml:space="preserve"> “(…) la regulación andina que a la fecha regula los requisitos para poner los cosméticos en el mercado es la Decisión 833, la cual, como exigencias para que las autoridades sanitarias nacionales otorguen la NSO y se pueda comercializar el producto cosmético en la subregión andina (…)</w:t>
      </w:r>
      <w:r w:rsidRPr="00A5119D">
        <w:rPr>
          <w:rFonts w:ascii="Arial" w:hAnsi="Arial" w:cs="Arial"/>
          <w:i/>
          <w:color w:val="000000" w:themeColor="text1"/>
          <w:sz w:val="22"/>
          <w:szCs w:val="22"/>
          <w:vertAlign w:val="superscript"/>
        </w:rPr>
        <w:footnoteReference w:id="7"/>
      </w:r>
      <w:r w:rsidRPr="00A5119D">
        <w:rPr>
          <w:rFonts w:ascii="Arial" w:hAnsi="Arial" w:cs="Arial"/>
          <w:i/>
          <w:color w:val="000000" w:themeColor="text1"/>
          <w:sz w:val="22"/>
          <w:szCs w:val="22"/>
        </w:rPr>
        <w:t>”</w:t>
      </w:r>
      <w:r w:rsidRPr="00A5119D">
        <w:rPr>
          <w:rFonts w:ascii="Arial" w:hAnsi="Arial" w:cs="Arial"/>
          <w:color w:val="000000" w:themeColor="text1"/>
          <w:sz w:val="22"/>
          <w:szCs w:val="22"/>
        </w:rPr>
        <w:t>y a continuación lista los requisitos del artículo 9</w:t>
      </w:r>
      <w:r w:rsidRPr="00A5119D">
        <w:rPr>
          <w:rStyle w:val="Refdenotaalpie"/>
          <w:rFonts w:ascii="Arial" w:hAnsi="Arial" w:cs="Arial"/>
          <w:color w:val="000000" w:themeColor="text1"/>
          <w:sz w:val="22"/>
          <w:szCs w:val="22"/>
        </w:rPr>
        <w:footnoteReference w:id="8"/>
      </w:r>
      <w:r w:rsidRPr="00A5119D">
        <w:rPr>
          <w:rFonts w:ascii="Arial" w:hAnsi="Arial" w:cs="Arial"/>
          <w:iCs/>
          <w:color w:val="000000" w:themeColor="text1"/>
          <w:sz w:val="22"/>
          <w:szCs w:val="22"/>
        </w:rPr>
        <w:t xml:space="preserve">. Así mismo, cita el artículo 10 de la Decisión 833 indicando que éste </w:t>
      </w:r>
      <w:r w:rsidRPr="00A5119D">
        <w:rPr>
          <w:rFonts w:ascii="Arial" w:hAnsi="Arial" w:cs="Arial"/>
          <w:i/>
          <w:color w:val="000000" w:themeColor="text1"/>
          <w:sz w:val="22"/>
          <w:szCs w:val="22"/>
        </w:rPr>
        <w:t xml:space="preserve">“señala que </w:t>
      </w:r>
      <w:r w:rsidRPr="00A5119D">
        <w:rPr>
          <w:rFonts w:ascii="Arial" w:hAnsi="Arial" w:cs="Arial"/>
          <w:i/>
          <w:color w:val="000000" w:themeColor="text1"/>
          <w:sz w:val="22"/>
          <w:szCs w:val="22"/>
        </w:rPr>
        <w:lastRenderedPageBreak/>
        <w:t>la autoridad nacional competente, en el caso de Colombia el Invima, al recibir la NSO acompañada de la información exigida por el artículo 9, sin mayor trámite asignará el código de identificación</w:t>
      </w:r>
      <w:r w:rsidRPr="00A5119D">
        <w:rPr>
          <w:rFonts w:ascii="Arial" w:hAnsi="Arial" w:cs="Arial"/>
          <w:i/>
          <w:color w:val="000000" w:themeColor="text1"/>
          <w:sz w:val="22"/>
          <w:szCs w:val="22"/>
          <w:vertAlign w:val="superscript"/>
        </w:rPr>
        <w:footnoteReference w:id="9"/>
      </w:r>
      <w:r w:rsidRPr="00A5119D">
        <w:rPr>
          <w:rFonts w:ascii="Arial" w:hAnsi="Arial" w:cs="Arial"/>
          <w:i/>
          <w:color w:val="000000" w:themeColor="text1"/>
          <w:sz w:val="22"/>
          <w:szCs w:val="22"/>
        </w:rPr>
        <w:t xml:space="preserve">” </w:t>
      </w:r>
      <w:r w:rsidRPr="00A5119D">
        <w:rPr>
          <w:rFonts w:ascii="Arial" w:hAnsi="Arial" w:cs="Arial"/>
          <w:iCs/>
          <w:color w:val="000000" w:themeColor="text1"/>
          <w:sz w:val="22"/>
          <w:szCs w:val="22"/>
        </w:rPr>
        <w:t>y que, el artículo 19 de la citada Decisión, para el trámite de reconocimiento de las NSO requiere acreditar los requisitos del artículo 9</w:t>
      </w:r>
      <w:r>
        <w:rPr>
          <w:rFonts w:ascii="Arial" w:hAnsi="Arial" w:cs="Arial"/>
          <w:iCs/>
          <w:color w:val="000000" w:themeColor="text1"/>
          <w:sz w:val="22"/>
          <w:szCs w:val="22"/>
        </w:rPr>
        <w:t>.</w:t>
      </w:r>
    </w:p>
    <w:p w14:paraId="064AF3F7" w14:textId="77777777" w:rsidR="00E56012" w:rsidRPr="001D52FE" w:rsidRDefault="00E56012" w:rsidP="00E56012">
      <w:pPr>
        <w:pStyle w:val="Sinespaciado"/>
        <w:rPr>
          <w:rFonts w:ascii="Arial" w:hAnsi="Arial" w:cs="Arial"/>
          <w:lang w:val="es-PE"/>
        </w:rPr>
      </w:pPr>
    </w:p>
    <w:p w14:paraId="1F029D5A" w14:textId="60A6E868" w:rsidR="00E56012" w:rsidRPr="00A5119D" w:rsidRDefault="00A5119D" w:rsidP="00712F4F">
      <w:pPr>
        <w:pStyle w:val="Prrafodelista"/>
        <w:numPr>
          <w:ilvl w:val="0"/>
          <w:numId w:val="2"/>
        </w:numPr>
        <w:ind w:left="0" w:hanging="567"/>
        <w:rPr>
          <w:rFonts w:ascii="Arial" w:hAnsi="Arial" w:cs="Arial"/>
          <w:color w:val="000000" w:themeColor="text1"/>
          <w:sz w:val="22"/>
          <w:szCs w:val="22"/>
          <w:lang w:val="es-ES"/>
        </w:rPr>
      </w:pPr>
      <w:r w:rsidRPr="00A5119D">
        <w:rPr>
          <w:rFonts w:ascii="Arial" w:hAnsi="Arial" w:cs="Arial"/>
          <w:color w:val="000000" w:themeColor="text1"/>
          <w:sz w:val="22"/>
          <w:szCs w:val="22"/>
        </w:rPr>
        <w:t xml:space="preserve">Continúa el reclamante indicando que </w:t>
      </w:r>
      <w:r w:rsidRPr="00A5119D">
        <w:rPr>
          <w:rFonts w:ascii="Arial" w:hAnsi="Arial" w:cs="Arial"/>
          <w:iCs/>
          <w:color w:val="000000" w:themeColor="text1"/>
          <w:sz w:val="22"/>
          <w:szCs w:val="22"/>
          <w:lang w:val="es-ES"/>
        </w:rPr>
        <w:t>“</w:t>
      </w:r>
      <w:r w:rsidRPr="00A5119D">
        <w:rPr>
          <w:rFonts w:ascii="Arial" w:hAnsi="Arial" w:cs="Arial"/>
          <w:i/>
          <w:color w:val="000000" w:themeColor="text1"/>
          <w:sz w:val="22"/>
          <w:szCs w:val="22"/>
          <w:lang w:val="es-ES"/>
        </w:rPr>
        <w:t>Tanto el Tratado del TJCA como en la jurisprudencia del tribunal se encuentra expresamente prohibido a los países miembros la creación de requisitos no contemplados por las normas comunitarias, en materias que se encuentren de alguna manera reguladas por la CAN</w:t>
      </w:r>
      <w:r w:rsidRPr="00A5119D">
        <w:rPr>
          <w:rFonts w:ascii="Arial" w:hAnsi="Arial" w:cs="Arial"/>
          <w:i/>
          <w:color w:val="000000" w:themeColor="text1"/>
          <w:sz w:val="22"/>
          <w:szCs w:val="22"/>
          <w:vertAlign w:val="superscript"/>
          <w:lang w:val="es-ES"/>
        </w:rPr>
        <w:footnoteReference w:id="10"/>
      </w:r>
      <w:r w:rsidRPr="00A5119D">
        <w:rPr>
          <w:rFonts w:ascii="Arial" w:hAnsi="Arial" w:cs="Arial"/>
          <w:i/>
          <w:color w:val="000000" w:themeColor="text1"/>
          <w:sz w:val="22"/>
          <w:szCs w:val="22"/>
          <w:lang w:val="es-ES"/>
        </w:rPr>
        <w:t>”</w:t>
      </w:r>
      <w:r w:rsidRPr="00A5119D">
        <w:rPr>
          <w:rFonts w:ascii="Arial" w:hAnsi="Arial" w:cs="Arial"/>
          <w:iCs/>
          <w:color w:val="000000" w:themeColor="text1"/>
          <w:sz w:val="22"/>
          <w:szCs w:val="22"/>
          <w:lang w:val="es-ES"/>
        </w:rPr>
        <w:t xml:space="preserve"> y para ello cita la Decisión 472 y jurisprudencia del TJCAN; además complementa su argumento expresando su entendimiento sobre el principio de complemento indispensable, indicando que </w:t>
      </w:r>
      <w:r w:rsidRPr="00A5119D">
        <w:rPr>
          <w:rFonts w:ascii="Arial" w:hAnsi="Arial" w:cs="Arial"/>
          <w:i/>
          <w:color w:val="000000" w:themeColor="text1"/>
          <w:sz w:val="22"/>
          <w:szCs w:val="22"/>
          <w:lang w:val="es-ES"/>
        </w:rPr>
        <w:t>“el cual permite expedir normas a nivel nacional sobre un asunto comunitario cuando sea necesario para su correcta aplicación, este mismo axioma es de aplicación excepcional y restringida y para que sea aplicable debe versar sobre asuntos completamente no regulados por la CAN (…)</w:t>
      </w:r>
      <w:r w:rsidRPr="00A5119D">
        <w:rPr>
          <w:rFonts w:ascii="Arial" w:hAnsi="Arial" w:cs="Arial"/>
          <w:i/>
          <w:color w:val="000000" w:themeColor="text1"/>
          <w:sz w:val="22"/>
          <w:szCs w:val="22"/>
          <w:vertAlign w:val="superscript"/>
          <w:lang w:val="es-ES"/>
        </w:rPr>
        <w:footnoteReference w:id="11"/>
      </w:r>
      <w:r w:rsidRPr="00A5119D">
        <w:rPr>
          <w:rFonts w:ascii="Arial" w:hAnsi="Arial" w:cs="Arial"/>
          <w:i/>
          <w:color w:val="000000" w:themeColor="text1"/>
          <w:sz w:val="22"/>
          <w:szCs w:val="22"/>
          <w:lang w:val="es-ES"/>
        </w:rPr>
        <w:t>”</w:t>
      </w:r>
    </w:p>
    <w:p w14:paraId="6126EC99" w14:textId="77777777" w:rsidR="00A63BFB" w:rsidRPr="001D52FE" w:rsidRDefault="00A63BFB" w:rsidP="00712F4F">
      <w:pPr>
        <w:pStyle w:val="Prrafodelista"/>
        <w:ind w:hanging="567"/>
        <w:rPr>
          <w:rFonts w:ascii="Arial" w:hAnsi="Arial" w:cs="Arial"/>
          <w:color w:val="000000" w:themeColor="text1"/>
          <w:sz w:val="22"/>
          <w:szCs w:val="22"/>
          <w:lang w:val="es-ES"/>
        </w:rPr>
      </w:pPr>
    </w:p>
    <w:p w14:paraId="554125D7" w14:textId="3279B9C0" w:rsidR="00E957C6" w:rsidRPr="00A5119D" w:rsidRDefault="00A5119D" w:rsidP="00712F4F">
      <w:pPr>
        <w:pStyle w:val="Prrafodelista"/>
        <w:numPr>
          <w:ilvl w:val="0"/>
          <w:numId w:val="2"/>
        </w:numPr>
        <w:ind w:left="0" w:hanging="567"/>
        <w:rPr>
          <w:rFonts w:ascii="Arial" w:hAnsi="Arial" w:cs="Arial"/>
          <w:sz w:val="22"/>
          <w:szCs w:val="22"/>
        </w:rPr>
      </w:pPr>
      <w:r w:rsidRPr="00A5119D">
        <w:rPr>
          <w:rFonts w:ascii="Arial" w:hAnsi="Arial" w:cs="Arial"/>
          <w:color w:val="000000" w:themeColor="text1"/>
          <w:sz w:val="22"/>
          <w:szCs w:val="22"/>
        </w:rPr>
        <w:t xml:space="preserve">Adicionalmente aduce el reclamante que </w:t>
      </w:r>
      <w:r w:rsidRPr="00A5119D">
        <w:rPr>
          <w:rFonts w:ascii="Arial" w:hAnsi="Arial" w:cs="Arial"/>
          <w:i/>
          <w:color w:val="000000" w:themeColor="text1"/>
          <w:sz w:val="22"/>
          <w:szCs w:val="22"/>
          <w:lang w:val="es-ES"/>
        </w:rPr>
        <w:t>“sobre los requisitos para la asignación del código de NSO la CAN reguló de forma completa las exigencias que se deben cumplir, no dejando lugar a interpretaciones ni a la creación de requisitos complementarios. Ahora, el Invima en la Circular Externa 1000-01-23 pasó por alto las obligaciones comunitarias y adicionó requisitos para la asignación de la NSO cuando se tratare de cosméticos a base de derivados de cannabis</w:t>
      </w:r>
      <w:r w:rsidRPr="00A5119D">
        <w:rPr>
          <w:rFonts w:ascii="Arial" w:hAnsi="Arial" w:cs="Arial"/>
          <w:i/>
          <w:color w:val="000000" w:themeColor="text1"/>
          <w:sz w:val="22"/>
          <w:szCs w:val="22"/>
          <w:vertAlign w:val="superscript"/>
          <w:lang w:val="es-ES"/>
        </w:rPr>
        <w:footnoteReference w:id="12"/>
      </w:r>
      <w:r w:rsidRPr="00A5119D">
        <w:rPr>
          <w:rFonts w:ascii="Arial" w:hAnsi="Arial" w:cs="Arial"/>
          <w:i/>
          <w:color w:val="000000" w:themeColor="text1"/>
          <w:sz w:val="22"/>
          <w:szCs w:val="22"/>
          <w:lang w:val="es-ES"/>
        </w:rPr>
        <w:t>”</w:t>
      </w:r>
    </w:p>
    <w:p w14:paraId="3F559E98" w14:textId="77777777" w:rsidR="00E957C6" w:rsidRPr="001D52FE" w:rsidRDefault="00E957C6" w:rsidP="00712F4F">
      <w:pPr>
        <w:pStyle w:val="Prrafodelista"/>
        <w:ind w:hanging="567"/>
        <w:rPr>
          <w:rFonts w:ascii="Arial" w:hAnsi="Arial" w:cs="Arial"/>
          <w:color w:val="000000" w:themeColor="text1"/>
          <w:sz w:val="22"/>
          <w:szCs w:val="22"/>
          <w:lang w:val="es-ES"/>
        </w:rPr>
      </w:pPr>
    </w:p>
    <w:p w14:paraId="579FEE07" w14:textId="7FE15001" w:rsidR="0077252A" w:rsidRPr="0070569D" w:rsidRDefault="0077252A" w:rsidP="00712F4F">
      <w:pPr>
        <w:pStyle w:val="Prrafodelista"/>
        <w:ind w:left="0"/>
        <w:rPr>
          <w:rFonts w:ascii="Arial" w:hAnsi="Arial" w:cs="Arial"/>
          <w:b/>
          <w:bCs/>
          <w:i/>
          <w:iCs/>
          <w:color w:val="000000" w:themeColor="text1"/>
          <w:sz w:val="22"/>
          <w:szCs w:val="22"/>
          <w:lang w:val="es-ES"/>
        </w:rPr>
      </w:pPr>
      <w:r w:rsidRPr="0070569D">
        <w:rPr>
          <w:rFonts w:ascii="Arial" w:hAnsi="Arial" w:cs="Arial"/>
          <w:b/>
          <w:bCs/>
          <w:i/>
          <w:iCs/>
          <w:color w:val="000000" w:themeColor="text1"/>
          <w:sz w:val="22"/>
          <w:szCs w:val="22"/>
          <w:lang w:val="es-ES"/>
        </w:rPr>
        <w:t>Análisis de Admisibilidad</w:t>
      </w:r>
    </w:p>
    <w:p w14:paraId="2D7B73E9" w14:textId="77777777" w:rsidR="0077252A" w:rsidRPr="001D52FE" w:rsidRDefault="0077252A" w:rsidP="00712F4F">
      <w:pPr>
        <w:pStyle w:val="Prrafodelista"/>
        <w:ind w:hanging="567"/>
        <w:rPr>
          <w:rFonts w:ascii="Arial" w:hAnsi="Arial" w:cs="Arial"/>
          <w:color w:val="000000" w:themeColor="text1"/>
          <w:sz w:val="22"/>
          <w:szCs w:val="22"/>
          <w:lang w:val="es-ES"/>
        </w:rPr>
      </w:pPr>
    </w:p>
    <w:p w14:paraId="019B497B" w14:textId="3DCD93CE" w:rsidR="00E957C6" w:rsidRPr="00A5119D" w:rsidRDefault="00A5119D" w:rsidP="00712F4F">
      <w:pPr>
        <w:pStyle w:val="Prrafodelista"/>
        <w:numPr>
          <w:ilvl w:val="0"/>
          <w:numId w:val="2"/>
        </w:numPr>
        <w:ind w:left="0" w:hanging="567"/>
        <w:rPr>
          <w:rFonts w:ascii="Arial" w:hAnsi="Arial" w:cs="Arial"/>
          <w:color w:val="000000" w:themeColor="text1"/>
          <w:sz w:val="22"/>
          <w:szCs w:val="22"/>
          <w:lang w:val="es-ES"/>
        </w:rPr>
      </w:pPr>
      <w:r w:rsidRPr="00A5119D">
        <w:rPr>
          <w:rFonts w:ascii="Arial" w:hAnsi="Arial" w:cs="Arial"/>
          <w:color w:val="000000" w:themeColor="text1"/>
          <w:sz w:val="22"/>
          <w:szCs w:val="22"/>
        </w:rPr>
        <w:t>Dentro del procedimiento de la Fase Prejudicial de Incumplimiento, conforme la Decisión 623 que establece el Análisis de Admisibilidad a fin de determinar si el reclamo cumple o no los requisitos del artículo 14, la Secretaría General de la Comunidad Andina emitió la comunicación SG/E/SJ/1778/2023 de fecha 25 de setiembre de 2023</w:t>
      </w:r>
      <w:r w:rsidR="00E957C6" w:rsidRPr="00A5119D">
        <w:rPr>
          <w:rFonts w:ascii="Arial" w:hAnsi="Arial" w:cs="Arial"/>
          <w:color w:val="000000" w:themeColor="text1"/>
          <w:sz w:val="22"/>
          <w:szCs w:val="22"/>
        </w:rPr>
        <w:t xml:space="preserve">. </w:t>
      </w:r>
    </w:p>
    <w:p w14:paraId="7C7AD832" w14:textId="77777777" w:rsidR="007713CF" w:rsidRPr="001D52FE" w:rsidRDefault="007713CF" w:rsidP="00712F4F">
      <w:pPr>
        <w:pStyle w:val="Prrafodelista"/>
        <w:ind w:hanging="567"/>
        <w:rPr>
          <w:rFonts w:ascii="Arial" w:hAnsi="Arial" w:cs="Arial"/>
          <w:color w:val="000000" w:themeColor="text1"/>
          <w:sz w:val="22"/>
          <w:szCs w:val="22"/>
        </w:rPr>
      </w:pPr>
    </w:p>
    <w:p w14:paraId="2D7BABCE" w14:textId="657FF16A" w:rsidR="007713CF" w:rsidRDefault="00A5119D" w:rsidP="00712F4F">
      <w:pPr>
        <w:pStyle w:val="Prrafodelista"/>
        <w:numPr>
          <w:ilvl w:val="0"/>
          <w:numId w:val="2"/>
        </w:numPr>
        <w:ind w:left="0" w:hanging="567"/>
        <w:rPr>
          <w:rFonts w:ascii="Arial" w:hAnsi="Arial" w:cs="Arial"/>
          <w:color w:val="000000" w:themeColor="text1"/>
          <w:sz w:val="22"/>
          <w:szCs w:val="22"/>
        </w:rPr>
      </w:pPr>
      <w:r w:rsidRPr="00A5119D">
        <w:rPr>
          <w:rFonts w:ascii="Arial" w:hAnsi="Arial" w:cs="Arial"/>
          <w:color w:val="000000" w:themeColor="text1"/>
          <w:sz w:val="22"/>
          <w:szCs w:val="22"/>
        </w:rPr>
        <w:t>En este contexto, en la citada comunicación se concluyó que la reclamación presentada se encuentra incompleta y es insuficiente para el análisis de admisibilidad, por lo que conforme a lo dispuesto por el artículo 15 de la Decisión 623, se le confirió un plazo de 15 días hábiles para aclarar, subsanar y remitir la documentación necesaria, según lo indicado en el literal a) del análisis de admisibilidad, así: a) Identificación completa de la reclamante, su acreditación y la afectación de sus derechos: Se solicitó documento legal que acredite su condición como titular de NSO, fabricante, comercializador o importador de productos cosméticos y aclaración de su interés legítimo y afectación de sus derechos</w:t>
      </w:r>
      <w:r w:rsidR="007713CF" w:rsidRPr="001D52FE">
        <w:rPr>
          <w:rFonts w:ascii="Arial" w:hAnsi="Arial" w:cs="Arial"/>
          <w:color w:val="000000" w:themeColor="text1"/>
          <w:sz w:val="22"/>
          <w:szCs w:val="22"/>
        </w:rPr>
        <w:t>.</w:t>
      </w:r>
    </w:p>
    <w:p w14:paraId="2EA2A3B2" w14:textId="77777777" w:rsidR="00A5119D" w:rsidRPr="00A5119D" w:rsidRDefault="00A5119D" w:rsidP="00712F4F">
      <w:pPr>
        <w:pStyle w:val="Prrafodelista"/>
        <w:ind w:hanging="567"/>
        <w:rPr>
          <w:rFonts w:ascii="Arial" w:hAnsi="Arial" w:cs="Arial"/>
          <w:color w:val="000000" w:themeColor="text1"/>
          <w:sz w:val="22"/>
          <w:szCs w:val="22"/>
        </w:rPr>
      </w:pPr>
    </w:p>
    <w:p w14:paraId="785D4EBD" w14:textId="6264F89A" w:rsidR="00A5119D" w:rsidRPr="00A5119D" w:rsidRDefault="00A5119D" w:rsidP="00712F4F">
      <w:pPr>
        <w:pStyle w:val="Prrafodelista"/>
        <w:numPr>
          <w:ilvl w:val="0"/>
          <w:numId w:val="2"/>
        </w:numPr>
        <w:ind w:left="0" w:hanging="567"/>
        <w:rPr>
          <w:rFonts w:ascii="Arial" w:hAnsi="Arial" w:cs="Arial"/>
          <w:color w:val="000000" w:themeColor="text1"/>
          <w:sz w:val="20"/>
          <w:szCs w:val="20"/>
        </w:rPr>
      </w:pPr>
      <w:r w:rsidRPr="00A5119D">
        <w:rPr>
          <w:rFonts w:ascii="Arial" w:hAnsi="Arial" w:cs="Arial"/>
          <w:bCs/>
          <w:iCs/>
          <w:color w:val="000000" w:themeColor="text1"/>
          <w:sz w:val="22"/>
          <w:szCs w:val="22"/>
        </w:rPr>
        <w:t>Dentro del plazo otorgado, el reclamante no presentó escrito de subsanación de observaciones</w:t>
      </w:r>
    </w:p>
    <w:p w14:paraId="4909DCF4" w14:textId="77777777" w:rsidR="009E2669" w:rsidRPr="001D52FE" w:rsidRDefault="009E2669" w:rsidP="009E2669">
      <w:pPr>
        <w:pStyle w:val="Prrafodelista"/>
        <w:rPr>
          <w:rFonts w:ascii="Arial" w:hAnsi="Arial" w:cs="Arial"/>
          <w:color w:val="000000" w:themeColor="text1"/>
          <w:sz w:val="22"/>
          <w:szCs w:val="22"/>
        </w:rPr>
      </w:pPr>
    </w:p>
    <w:p w14:paraId="0BD2269D" w14:textId="265464FE" w:rsidR="000D706A" w:rsidRPr="001D52FE" w:rsidRDefault="000D706A" w:rsidP="000D706A">
      <w:pPr>
        <w:pStyle w:val="Ttulo2"/>
        <w:numPr>
          <w:ilvl w:val="0"/>
          <w:numId w:val="1"/>
        </w:numPr>
        <w:spacing w:before="0"/>
        <w:ind w:left="0" w:hanging="142"/>
        <w:rPr>
          <w:rFonts w:ascii="Arial" w:hAnsi="Arial" w:cs="Arial"/>
          <w:b/>
          <w:color w:val="auto"/>
          <w:sz w:val="22"/>
          <w:szCs w:val="22"/>
          <w:u w:val="single"/>
        </w:rPr>
      </w:pPr>
      <w:r w:rsidRPr="001D52FE">
        <w:rPr>
          <w:rFonts w:ascii="Arial" w:hAnsi="Arial" w:cs="Arial"/>
          <w:b/>
          <w:color w:val="auto"/>
          <w:sz w:val="22"/>
          <w:szCs w:val="22"/>
          <w:u w:val="single"/>
        </w:rPr>
        <w:lastRenderedPageBreak/>
        <w:t>MARCO JURÍDICO</w:t>
      </w:r>
      <w:r w:rsidR="008B0FA6" w:rsidRPr="001D52FE">
        <w:rPr>
          <w:rFonts w:ascii="Arial" w:hAnsi="Arial" w:cs="Arial"/>
          <w:b/>
          <w:color w:val="auto"/>
          <w:sz w:val="22"/>
          <w:szCs w:val="22"/>
          <w:u w:val="single"/>
        </w:rPr>
        <w:t xml:space="preserve"> DE LA FASE PREJUDICIAL</w:t>
      </w:r>
    </w:p>
    <w:p w14:paraId="4A2D9CDA" w14:textId="124D7E04" w:rsidR="000D706A" w:rsidRDefault="000D706A" w:rsidP="000D706A">
      <w:pPr>
        <w:rPr>
          <w:rFonts w:ascii="Arial" w:hAnsi="Arial" w:cs="Arial"/>
          <w:color w:val="000000" w:themeColor="text1"/>
          <w:sz w:val="22"/>
          <w:szCs w:val="22"/>
        </w:rPr>
      </w:pPr>
    </w:p>
    <w:p w14:paraId="41E814A7" w14:textId="77777777" w:rsidR="0070569D" w:rsidRPr="001D52FE" w:rsidRDefault="0070569D" w:rsidP="000D706A">
      <w:pPr>
        <w:rPr>
          <w:rFonts w:ascii="Arial" w:hAnsi="Arial" w:cs="Arial"/>
          <w:color w:val="000000" w:themeColor="text1"/>
          <w:sz w:val="22"/>
          <w:szCs w:val="22"/>
        </w:rPr>
      </w:pPr>
    </w:p>
    <w:p w14:paraId="6897DB8B" w14:textId="60BF90BE" w:rsidR="001819AF" w:rsidRPr="00A5119D" w:rsidRDefault="00A5119D" w:rsidP="00712F4F">
      <w:pPr>
        <w:pStyle w:val="Prrafodelista"/>
        <w:numPr>
          <w:ilvl w:val="0"/>
          <w:numId w:val="2"/>
        </w:numPr>
        <w:ind w:left="0" w:hanging="567"/>
        <w:rPr>
          <w:rFonts w:ascii="Arial" w:hAnsi="Arial" w:cs="Arial"/>
          <w:color w:val="000000" w:themeColor="text1"/>
          <w:sz w:val="22"/>
          <w:szCs w:val="22"/>
        </w:rPr>
      </w:pPr>
      <w:r w:rsidRPr="00A5119D">
        <w:rPr>
          <w:rFonts w:ascii="Arial" w:hAnsi="Arial" w:cs="Arial"/>
          <w:color w:val="000000" w:themeColor="text1"/>
          <w:sz w:val="22"/>
          <w:szCs w:val="22"/>
        </w:rPr>
        <w:t>El acuerdo de Cartagena establece en su artículo 29 que la Secretaría General de la Comunidad Andina se expresa a través de Resoluciones y el artículo 30 del mismo cuerpo legal comunitario dispone que este órgano comunitario vela por la aplicación del ordenamiento jurídico de la Comunidad Andina</w:t>
      </w:r>
      <w:r w:rsidR="001819AF" w:rsidRPr="00A5119D">
        <w:rPr>
          <w:rFonts w:ascii="Arial" w:hAnsi="Arial" w:cs="Arial"/>
          <w:color w:val="000000" w:themeColor="text1"/>
          <w:sz w:val="22"/>
          <w:szCs w:val="22"/>
        </w:rPr>
        <w:t>.</w:t>
      </w:r>
    </w:p>
    <w:p w14:paraId="2B35BF06" w14:textId="77777777" w:rsidR="001819AF" w:rsidRPr="001D52FE" w:rsidRDefault="001819AF" w:rsidP="00712F4F">
      <w:pPr>
        <w:pStyle w:val="Prrafodelista"/>
        <w:ind w:left="0" w:hanging="567"/>
        <w:rPr>
          <w:rFonts w:ascii="Arial" w:hAnsi="Arial" w:cs="Arial"/>
          <w:color w:val="000000" w:themeColor="text1"/>
          <w:sz w:val="22"/>
          <w:szCs w:val="22"/>
          <w:lang w:val="es-ES"/>
        </w:rPr>
      </w:pPr>
    </w:p>
    <w:p w14:paraId="51A38A81" w14:textId="300F00F0" w:rsidR="000D706A" w:rsidRPr="00A5119D" w:rsidRDefault="00A5119D" w:rsidP="00712F4F">
      <w:pPr>
        <w:pStyle w:val="Prrafodelista"/>
        <w:numPr>
          <w:ilvl w:val="0"/>
          <w:numId w:val="2"/>
        </w:numPr>
        <w:ind w:left="0" w:hanging="567"/>
        <w:rPr>
          <w:rFonts w:ascii="Arial" w:hAnsi="Arial" w:cs="Arial"/>
          <w:color w:val="000000" w:themeColor="text1"/>
          <w:sz w:val="22"/>
          <w:szCs w:val="22"/>
          <w:lang w:val="es-ES"/>
        </w:rPr>
      </w:pPr>
      <w:r w:rsidRPr="00A5119D">
        <w:rPr>
          <w:rFonts w:ascii="Arial" w:hAnsi="Arial" w:cs="Arial"/>
          <w:color w:val="000000" w:themeColor="text1"/>
          <w:sz w:val="22"/>
          <w:szCs w:val="22"/>
        </w:rPr>
        <w:t>De conformidad con el artículo 25 del Tratado de Creación del Tribunal de Justicia de la Comunidad Andina (TCTJCA) y el artículo 13 de la Decisión 623, la Secretaría General de la Comunidad Andina es competente para conocer las reclamaciones por incumplimiento de la normativa comunitaria que le presenten las personas naturales o jurídicas que se sientan afectadas en sus derechos por un País Miembro</w:t>
      </w:r>
      <w:r w:rsidR="000D706A" w:rsidRPr="00A5119D">
        <w:rPr>
          <w:rFonts w:ascii="Arial" w:hAnsi="Arial" w:cs="Arial"/>
          <w:color w:val="000000" w:themeColor="text1"/>
          <w:sz w:val="22"/>
          <w:szCs w:val="22"/>
        </w:rPr>
        <w:t>.</w:t>
      </w:r>
    </w:p>
    <w:p w14:paraId="0A0546D1" w14:textId="77777777" w:rsidR="000D706A" w:rsidRPr="001D52FE" w:rsidRDefault="000D706A" w:rsidP="00712F4F">
      <w:pPr>
        <w:pStyle w:val="Prrafodelista"/>
        <w:ind w:hanging="567"/>
        <w:rPr>
          <w:rFonts w:ascii="Arial" w:hAnsi="Arial" w:cs="Arial"/>
          <w:color w:val="000000" w:themeColor="text1"/>
          <w:sz w:val="22"/>
          <w:szCs w:val="22"/>
        </w:rPr>
      </w:pPr>
    </w:p>
    <w:p w14:paraId="7BECB92F" w14:textId="4CC90AA9" w:rsidR="009316EB" w:rsidRPr="00A5119D" w:rsidRDefault="00A5119D" w:rsidP="00712F4F">
      <w:pPr>
        <w:pStyle w:val="Prrafodelista"/>
        <w:numPr>
          <w:ilvl w:val="0"/>
          <w:numId w:val="2"/>
        </w:numPr>
        <w:ind w:left="0" w:hanging="567"/>
        <w:rPr>
          <w:rFonts w:ascii="Arial" w:hAnsi="Arial" w:cs="Arial"/>
          <w:color w:val="000000" w:themeColor="text1"/>
          <w:sz w:val="22"/>
          <w:szCs w:val="22"/>
        </w:rPr>
      </w:pPr>
      <w:r w:rsidRPr="00A5119D">
        <w:rPr>
          <w:rFonts w:ascii="Arial" w:hAnsi="Arial" w:cs="Arial"/>
          <w:color w:val="000000" w:themeColor="text1"/>
          <w:sz w:val="22"/>
          <w:szCs w:val="22"/>
        </w:rPr>
        <w:t>En ese sentido, en esta fase prejudicial de la Acción de Incumplimiento, la Secretaría General de la Comunidad Andina se limita a emitir un Dictamen sobre el estado de cumplimiento de las obligaciones derivadas del ordenamiento jurídico de la Comunidad Andina que hubieren sido identificadas en el reclamo. Es decir, en el dictamen se establece únicamente si el País Miembro cumplió o incumplió sus obligaciones derivadas de las normas comunitarias y, en este último caso, se recomiendan las medidas para corregir el incumplimiento</w:t>
      </w:r>
      <w:r w:rsidR="009316EB" w:rsidRPr="00A5119D">
        <w:rPr>
          <w:rFonts w:ascii="Arial" w:hAnsi="Arial" w:cs="Arial"/>
          <w:color w:val="000000" w:themeColor="text1"/>
          <w:sz w:val="22"/>
          <w:szCs w:val="22"/>
        </w:rPr>
        <w:t>.</w:t>
      </w:r>
    </w:p>
    <w:p w14:paraId="43893423" w14:textId="77777777" w:rsidR="009316EB" w:rsidRPr="001D52FE" w:rsidRDefault="009316EB" w:rsidP="009316EB">
      <w:pPr>
        <w:pStyle w:val="Prrafodelista"/>
        <w:rPr>
          <w:rFonts w:ascii="Arial" w:hAnsi="Arial" w:cs="Arial"/>
          <w:color w:val="000000" w:themeColor="text1"/>
          <w:sz w:val="22"/>
          <w:szCs w:val="22"/>
        </w:rPr>
      </w:pPr>
    </w:p>
    <w:p w14:paraId="35D5B463" w14:textId="05703493" w:rsidR="008B0FA6" w:rsidRPr="001D52FE" w:rsidRDefault="00583CB0" w:rsidP="008B0FA6">
      <w:pPr>
        <w:pStyle w:val="Ttulo2"/>
        <w:numPr>
          <w:ilvl w:val="0"/>
          <w:numId w:val="1"/>
        </w:numPr>
        <w:spacing w:before="0"/>
        <w:ind w:left="0" w:hanging="142"/>
        <w:rPr>
          <w:rFonts w:ascii="Arial" w:hAnsi="Arial" w:cs="Arial"/>
          <w:b/>
          <w:bCs/>
          <w:color w:val="000000" w:themeColor="text1"/>
          <w:sz w:val="22"/>
          <w:szCs w:val="22"/>
        </w:rPr>
      </w:pPr>
      <w:r w:rsidRPr="001D52FE">
        <w:rPr>
          <w:rFonts w:ascii="Arial" w:hAnsi="Arial" w:cs="Arial"/>
          <w:b/>
          <w:bCs/>
          <w:color w:val="000000" w:themeColor="text1"/>
          <w:sz w:val="22"/>
          <w:szCs w:val="22"/>
        </w:rPr>
        <w:t>ANÁLISIS DE</w:t>
      </w:r>
      <w:r w:rsidR="008B0FA6" w:rsidRPr="001D52FE">
        <w:rPr>
          <w:rFonts w:ascii="Arial" w:hAnsi="Arial" w:cs="Arial"/>
          <w:b/>
          <w:bCs/>
          <w:color w:val="000000" w:themeColor="text1"/>
          <w:sz w:val="22"/>
          <w:szCs w:val="22"/>
        </w:rPr>
        <w:t xml:space="preserve"> LA SECRETARÍA GENERAL DE LA COMUNIDAD ANDINA</w:t>
      </w:r>
    </w:p>
    <w:p w14:paraId="63061491" w14:textId="77777777" w:rsidR="008B0FA6" w:rsidRPr="001D52FE" w:rsidRDefault="008B0FA6" w:rsidP="00194689">
      <w:pPr>
        <w:autoSpaceDE w:val="0"/>
        <w:autoSpaceDN w:val="0"/>
        <w:adjustRightInd w:val="0"/>
        <w:rPr>
          <w:rFonts w:ascii="Arial" w:hAnsi="Arial" w:cs="Arial"/>
          <w:sz w:val="22"/>
          <w:szCs w:val="22"/>
        </w:rPr>
      </w:pPr>
    </w:p>
    <w:p w14:paraId="3E51DAE9" w14:textId="3B4C3E7C" w:rsidR="00194689" w:rsidRPr="00A5119D" w:rsidRDefault="00A5119D" w:rsidP="00712F4F">
      <w:pPr>
        <w:pStyle w:val="Prrafodelista"/>
        <w:numPr>
          <w:ilvl w:val="0"/>
          <w:numId w:val="2"/>
        </w:numPr>
        <w:ind w:left="0" w:hanging="567"/>
        <w:rPr>
          <w:rFonts w:ascii="Arial" w:hAnsi="Arial" w:cs="Arial"/>
          <w:color w:val="000000" w:themeColor="text1"/>
          <w:sz w:val="22"/>
          <w:szCs w:val="22"/>
        </w:rPr>
      </w:pPr>
      <w:r w:rsidRPr="00A5119D">
        <w:rPr>
          <w:rFonts w:ascii="Arial" w:hAnsi="Arial" w:cs="Arial"/>
          <w:color w:val="000000" w:themeColor="text1"/>
          <w:sz w:val="22"/>
          <w:szCs w:val="22"/>
        </w:rPr>
        <w:t>En cumplimiento del artículo 14 de la Decisión 623 se realizó análisis de admisibilidad, a fin de determinar si el reclamo cumple o no los requisitos del artículo 14 de la Decisión 623 y en ese sentido se estableció que la reclamación presentada se encuentra incompleta y es insuficiente, en razón a que el reclamante no aportó información sobre su condición como titular de NSO, fabricante, comercializador o importador de productos cosméticos, así como  es necesario aclarar y acreditar su interés legítimo en el presente asunto, así como la afectación a sus derechos</w:t>
      </w:r>
      <w:r w:rsidR="00194689" w:rsidRPr="00A5119D">
        <w:rPr>
          <w:rFonts w:ascii="Arial" w:hAnsi="Arial" w:cs="Arial"/>
          <w:color w:val="000000" w:themeColor="text1"/>
          <w:sz w:val="22"/>
          <w:szCs w:val="22"/>
        </w:rPr>
        <w:t>.</w:t>
      </w:r>
    </w:p>
    <w:p w14:paraId="4026E114" w14:textId="77777777" w:rsidR="005768D0" w:rsidRPr="001D52FE" w:rsidRDefault="005768D0" w:rsidP="00712F4F">
      <w:pPr>
        <w:pStyle w:val="Prrafodelista"/>
        <w:ind w:left="0" w:hanging="567"/>
        <w:rPr>
          <w:rFonts w:ascii="Arial" w:hAnsi="Arial" w:cs="Arial"/>
          <w:color w:val="000000" w:themeColor="text1"/>
          <w:sz w:val="22"/>
          <w:szCs w:val="22"/>
        </w:rPr>
      </w:pPr>
    </w:p>
    <w:p w14:paraId="7CF864AA" w14:textId="7D8BD846" w:rsidR="00194689" w:rsidRPr="001D52FE" w:rsidRDefault="00A5119D" w:rsidP="00712F4F">
      <w:pPr>
        <w:pStyle w:val="Prrafodelista"/>
        <w:numPr>
          <w:ilvl w:val="0"/>
          <w:numId w:val="2"/>
        </w:numPr>
        <w:ind w:left="0" w:hanging="567"/>
        <w:rPr>
          <w:rFonts w:ascii="Arial" w:hAnsi="Arial" w:cs="Arial"/>
          <w:color w:val="000000" w:themeColor="text1"/>
          <w:sz w:val="22"/>
          <w:szCs w:val="22"/>
        </w:rPr>
      </w:pPr>
      <w:r w:rsidRPr="00A5119D">
        <w:rPr>
          <w:rFonts w:ascii="Arial" w:hAnsi="Arial" w:cs="Arial"/>
          <w:color w:val="000000" w:themeColor="text1"/>
          <w:sz w:val="22"/>
          <w:szCs w:val="22"/>
        </w:rPr>
        <w:t>Cabe indicar que corresponde a la parte reclamante acreditar su condición de estar siendo afectada en sus derechos por la medida o conducta de un País Miembro</w:t>
      </w:r>
      <w:r w:rsidR="00194689" w:rsidRPr="001D52FE">
        <w:rPr>
          <w:rFonts w:ascii="Arial" w:hAnsi="Arial" w:cs="Arial"/>
          <w:color w:val="000000" w:themeColor="text1"/>
          <w:sz w:val="22"/>
          <w:szCs w:val="22"/>
        </w:rPr>
        <w:t>.</w:t>
      </w:r>
    </w:p>
    <w:p w14:paraId="7E51AD8A" w14:textId="77777777" w:rsidR="005768D0" w:rsidRPr="001D52FE" w:rsidRDefault="005768D0" w:rsidP="00712F4F">
      <w:pPr>
        <w:pStyle w:val="Prrafodelista"/>
        <w:ind w:hanging="567"/>
        <w:rPr>
          <w:rFonts w:ascii="Arial" w:hAnsi="Arial" w:cs="Arial"/>
          <w:color w:val="000000" w:themeColor="text1"/>
          <w:sz w:val="22"/>
          <w:szCs w:val="22"/>
        </w:rPr>
      </w:pPr>
    </w:p>
    <w:p w14:paraId="508F4888" w14:textId="476E8E01" w:rsidR="005768D0" w:rsidRPr="001D52FE" w:rsidRDefault="00A5119D" w:rsidP="00712F4F">
      <w:pPr>
        <w:pStyle w:val="Prrafodelista"/>
        <w:numPr>
          <w:ilvl w:val="0"/>
          <w:numId w:val="2"/>
        </w:numPr>
        <w:ind w:left="0" w:hanging="567"/>
        <w:rPr>
          <w:rFonts w:ascii="Arial" w:hAnsi="Arial" w:cs="Arial"/>
          <w:color w:val="000000" w:themeColor="text1"/>
          <w:sz w:val="22"/>
          <w:szCs w:val="22"/>
        </w:rPr>
      </w:pPr>
      <w:r w:rsidRPr="00A5119D">
        <w:rPr>
          <w:rFonts w:ascii="Arial" w:hAnsi="Arial" w:cs="Arial"/>
          <w:color w:val="000000" w:themeColor="text1"/>
          <w:sz w:val="22"/>
          <w:szCs w:val="22"/>
        </w:rPr>
        <w:t>Al respecto, es preciso indicar que el Tribunal de Justicia de la Comunidad Andina (en adelante, TJCA) mediante auto del 24 de noviembre de 2017, en el marco del Proceso 03-AI-2017, ha establecido los criterios que los particulares deben demostrar con relación a la afectación de sus derechos en sus reclamos</w:t>
      </w:r>
      <w:r>
        <w:rPr>
          <w:rFonts w:ascii="Arial" w:hAnsi="Arial" w:cs="Arial"/>
          <w:color w:val="000000" w:themeColor="text1"/>
          <w:sz w:val="22"/>
          <w:szCs w:val="22"/>
        </w:rPr>
        <w:t>.</w:t>
      </w:r>
    </w:p>
    <w:p w14:paraId="23DE732B" w14:textId="77777777" w:rsidR="005768D0" w:rsidRPr="001D52FE" w:rsidRDefault="005768D0" w:rsidP="00712F4F">
      <w:pPr>
        <w:pStyle w:val="Prrafodelista"/>
        <w:ind w:hanging="567"/>
        <w:rPr>
          <w:rFonts w:ascii="Arial" w:hAnsi="Arial" w:cs="Arial"/>
          <w:sz w:val="22"/>
          <w:szCs w:val="22"/>
        </w:rPr>
      </w:pPr>
    </w:p>
    <w:p w14:paraId="081407C6" w14:textId="7FF09755" w:rsidR="00AD5D32" w:rsidRPr="001D52FE" w:rsidRDefault="00A5119D" w:rsidP="00712F4F">
      <w:pPr>
        <w:pStyle w:val="Prrafodelista"/>
        <w:numPr>
          <w:ilvl w:val="0"/>
          <w:numId w:val="2"/>
        </w:numPr>
        <w:ind w:left="0" w:hanging="567"/>
        <w:rPr>
          <w:rFonts w:ascii="Arial" w:hAnsi="Arial" w:cs="Arial"/>
          <w:color w:val="000000" w:themeColor="text1"/>
          <w:sz w:val="22"/>
          <w:szCs w:val="22"/>
        </w:rPr>
      </w:pPr>
      <w:r w:rsidRPr="00A5119D">
        <w:rPr>
          <w:rFonts w:ascii="Arial" w:hAnsi="Arial" w:cs="Arial"/>
          <w:color w:val="000000" w:themeColor="text1"/>
          <w:sz w:val="22"/>
          <w:szCs w:val="22"/>
        </w:rPr>
        <w:t>A tal efecto, de conformidad a lo dispuesto por los artículos 13 y 14 de la Decisión 623; el artículo 25 del TJCA y el referido Auto del Tribunal, para que un reclamo sea admitido, el demandante debe demostrar la afectación de un derecho actual, inmediato y directo</w:t>
      </w:r>
      <w:r w:rsidR="001F1630" w:rsidRPr="00A5119D">
        <w:rPr>
          <w:rFonts w:ascii="Arial" w:hAnsi="Arial" w:cs="Arial"/>
          <w:color w:val="000000" w:themeColor="text1"/>
          <w:sz w:val="22"/>
          <w:szCs w:val="22"/>
        </w:rPr>
        <w:t>.</w:t>
      </w:r>
    </w:p>
    <w:p w14:paraId="720DEC19" w14:textId="77777777" w:rsidR="001F1630" w:rsidRPr="001D52FE" w:rsidRDefault="001F1630" w:rsidP="00712F4F">
      <w:pPr>
        <w:pStyle w:val="Prrafodelista"/>
        <w:ind w:hanging="567"/>
        <w:rPr>
          <w:rFonts w:ascii="Arial" w:hAnsi="Arial" w:cs="Arial"/>
          <w:color w:val="000000" w:themeColor="text1"/>
          <w:sz w:val="22"/>
          <w:szCs w:val="22"/>
        </w:rPr>
      </w:pPr>
    </w:p>
    <w:p w14:paraId="4BB62532" w14:textId="6D926DD8" w:rsidR="00A202AE" w:rsidRPr="00A5119D" w:rsidRDefault="00A5119D" w:rsidP="00712F4F">
      <w:pPr>
        <w:pStyle w:val="Prrafodelista"/>
        <w:numPr>
          <w:ilvl w:val="0"/>
          <w:numId w:val="2"/>
        </w:numPr>
        <w:ind w:left="0" w:hanging="567"/>
        <w:rPr>
          <w:rFonts w:ascii="Arial" w:hAnsi="Arial" w:cs="Arial"/>
          <w:sz w:val="20"/>
          <w:szCs w:val="20"/>
        </w:rPr>
      </w:pPr>
      <w:r w:rsidRPr="00A5119D">
        <w:rPr>
          <w:rFonts w:ascii="Arial" w:hAnsi="Arial" w:cs="Arial"/>
          <w:color w:val="000000" w:themeColor="text1"/>
          <w:sz w:val="22"/>
          <w:szCs w:val="22"/>
        </w:rPr>
        <w:t>Por lo anterior, se concluye que a la Secretaría General de la Comunidad Andina no le es posible dilucidar la materia objeto del reclamo debido a que el reclamante no subsanó su escrito de reclamo aportando la información exigida y, en consecuencia,</w:t>
      </w:r>
    </w:p>
    <w:p w14:paraId="24DB6EA3" w14:textId="77777777" w:rsidR="00591679" w:rsidRPr="001D52FE" w:rsidRDefault="00591679" w:rsidP="00591679">
      <w:pPr>
        <w:pStyle w:val="Prrafodelista"/>
        <w:rPr>
          <w:rFonts w:ascii="Arial" w:hAnsi="Arial" w:cs="Arial"/>
          <w:sz w:val="22"/>
          <w:szCs w:val="22"/>
        </w:rPr>
      </w:pPr>
    </w:p>
    <w:p w14:paraId="6D971C5A" w14:textId="77777777" w:rsidR="00B772FA" w:rsidRPr="001D52FE" w:rsidRDefault="00B772FA" w:rsidP="00B772FA">
      <w:pPr>
        <w:tabs>
          <w:tab w:val="left" w:pos="426"/>
        </w:tabs>
        <w:jc w:val="center"/>
        <w:rPr>
          <w:rFonts w:ascii="Arial" w:hAnsi="Arial" w:cs="Arial"/>
          <w:b/>
          <w:sz w:val="22"/>
          <w:szCs w:val="22"/>
        </w:rPr>
      </w:pPr>
      <w:r w:rsidRPr="001D52FE">
        <w:rPr>
          <w:rFonts w:ascii="Arial" w:hAnsi="Arial" w:cs="Arial"/>
          <w:b/>
          <w:sz w:val="22"/>
          <w:szCs w:val="22"/>
        </w:rPr>
        <w:t>RESUELVE:</w:t>
      </w:r>
    </w:p>
    <w:p w14:paraId="59279EB5" w14:textId="77777777" w:rsidR="00B772FA" w:rsidRPr="001D52FE" w:rsidRDefault="00B772FA" w:rsidP="00B772FA">
      <w:pPr>
        <w:tabs>
          <w:tab w:val="left" w:pos="426"/>
        </w:tabs>
        <w:rPr>
          <w:rFonts w:ascii="Arial" w:hAnsi="Arial" w:cs="Arial"/>
          <w:b/>
          <w:sz w:val="22"/>
          <w:szCs w:val="22"/>
        </w:rPr>
      </w:pPr>
    </w:p>
    <w:p w14:paraId="6BB4633A" w14:textId="1EB0FD2C" w:rsidR="00A5119D" w:rsidRPr="00A5119D" w:rsidRDefault="00A5119D" w:rsidP="00A5119D">
      <w:pPr>
        <w:shd w:val="clear" w:color="auto" w:fill="FFFFFF"/>
        <w:spacing w:after="240"/>
        <w:contextualSpacing/>
        <w:textAlignment w:val="baseline"/>
        <w:rPr>
          <w:rFonts w:ascii="Arial" w:eastAsia="Times New Roman" w:hAnsi="Arial" w:cs="Arial"/>
          <w:color w:val="000000" w:themeColor="text1"/>
          <w:sz w:val="22"/>
          <w:szCs w:val="22"/>
          <w:lang w:eastAsia="es-PE"/>
        </w:rPr>
      </w:pPr>
      <w:r w:rsidRPr="00A5119D">
        <w:rPr>
          <w:rFonts w:ascii="Arial" w:eastAsia="Times New Roman" w:hAnsi="Arial" w:cs="Arial"/>
          <w:b/>
          <w:bCs/>
          <w:color w:val="000000" w:themeColor="text1"/>
          <w:sz w:val="22"/>
          <w:szCs w:val="22"/>
          <w:lang w:eastAsia="es-PE"/>
        </w:rPr>
        <w:t xml:space="preserve">Artículo </w:t>
      </w:r>
      <w:proofErr w:type="gramStart"/>
      <w:r w:rsidRPr="00A5119D">
        <w:rPr>
          <w:rFonts w:ascii="Arial" w:eastAsia="Times New Roman" w:hAnsi="Arial" w:cs="Arial"/>
          <w:b/>
          <w:bCs/>
          <w:color w:val="000000" w:themeColor="text1"/>
          <w:sz w:val="22"/>
          <w:szCs w:val="22"/>
          <w:lang w:eastAsia="es-PE"/>
        </w:rPr>
        <w:t>Único.-</w:t>
      </w:r>
      <w:proofErr w:type="gramEnd"/>
      <w:r w:rsidRPr="00A5119D">
        <w:rPr>
          <w:rFonts w:ascii="Arial" w:eastAsia="Times New Roman" w:hAnsi="Arial" w:cs="Arial"/>
          <w:color w:val="000000" w:themeColor="text1"/>
          <w:sz w:val="22"/>
          <w:szCs w:val="22"/>
          <w:lang w:eastAsia="es-PE"/>
        </w:rPr>
        <w:t xml:space="preserve"> Declarar inadmisible el reclamo presentado por el señor Efraín Armando López </w:t>
      </w:r>
      <w:proofErr w:type="spellStart"/>
      <w:r w:rsidRPr="00A5119D">
        <w:rPr>
          <w:rFonts w:ascii="Arial" w:eastAsia="Times New Roman" w:hAnsi="Arial" w:cs="Arial"/>
          <w:color w:val="000000" w:themeColor="text1"/>
          <w:sz w:val="22"/>
          <w:szCs w:val="22"/>
          <w:lang w:eastAsia="es-PE"/>
        </w:rPr>
        <w:t>Amarís</w:t>
      </w:r>
      <w:proofErr w:type="spellEnd"/>
      <w:r w:rsidRPr="00A5119D">
        <w:rPr>
          <w:rFonts w:ascii="Arial" w:eastAsia="Times New Roman" w:hAnsi="Arial" w:cs="Arial"/>
          <w:color w:val="000000" w:themeColor="text1"/>
          <w:sz w:val="22"/>
          <w:szCs w:val="22"/>
          <w:lang w:eastAsia="es-PE"/>
        </w:rPr>
        <w:t xml:space="preserve"> y disponer el archivo correspondiente.</w:t>
      </w:r>
    </w:p>
    <w:p w14:paraId="06ED458C" w14:textId="77777777" w:rsidR="00A5119D" w:rsidRPr="00A5119D" w:rsidRDefault="00A5119D" w:rsidP="00A5119D">
      <w:pPr>
        <w:shd w:val="clear" w:color="auto" w:fill="FFFFFF"/>
        <w:spacing w:after="240"/>
        <w:contextualSpacing/>
        <w:textAlignment w:val="baseline"/>
        <w:rPr>
          <w:rFonts w:ascii="Arial" w:eastAsia="Times New Roman" w:hAnsi="Arial" w:cs="Arial"/>
          <w:color w:val="000000" w:themeColor="text1"/>
          <w:sz w:val="22"/>
          <w:szCs w:val="22"/>
          <w:lang w:eastAsia="es-PE"/>
        </w:rPr>
      </w:pPr>
    </w:p>
    <w:p w14:paraId="024FA49B" w14:textId="77777777" w:rsidR="00A5119D" w:rsidRPr="00A5119D" w:rsidRDefault="00A5119D" w:rsidP="00A5119D">
      <w:pPr>
        <w:shd w:val="clear" w:color="auto" w:fill="FFFFFF"/>
        <w:spacing w:after="240"/>
        <w:contextualSpacing/>
        <w:textAlignment w:val="baseline"/>
        <w:rPr>
          <w:rFonts w:ascii="Arial" w:eastAsia="Times New Roman" w:hAnsi="Arial" w:cs="Arial"/>
          <w:color w:val="000000" w:themeColor="text1"/>
          <w:sz w:val="22"/>
          <w:szCs w:val="22"/>
          <w:lang w:eastAsia="es-PE"/>
        </w:rPr>
      </w:pPr>
      <w:r w:rsidRPr="00A5119D">
        <w:rPr>
          <w:rFonts w:ascii="Arial" w:eastAsia="Times New Roman" w:hAnsi="Arial" w:cs="Arial"/>
          <w:color w:val="000000" w:themeColor="text1"/>
          <w:sz w:val="22"/>
          <w:szCs w:val="22"/>
          <w:lang w:eastAsia="es-PE"/>
        </w:rPr>
        <w:t>Comuníquese al reclamante y a los Países Miembros la presente Resolución, la cual entrará en vigencia a partir de su fecha de publicación en la Gaceta Oficial del Acuerdo de Cartagena.</w:t>
      </w:r>
    </w:p>
    <w:p w14:paraId="446A7D97" w14:textId="77777777" w:rsidR="00A5119D" w:rsidRPr="00A5119D" w:rsidRDefault="00A5119D" w:rsidP="00A5119D">
      <w:pPr>
        <w:shd w:val="clear" w:color="auto" w:fill="FFFFFF"/>
        <w:spacing w:after="240"/>
        <w:contextualSpacing/>
        <w:textAlignment w:val="baseline"/>
        <w:rPr>
          <w:rFonts w:ascii="Arial" w:eastAsia="Times New Roman" w:hAnsi="Arial" w:cs="Arial"/>
          <w:color w:val="000000" w:themeColor="text1"/>
          <w:sz w:val="22"/>
          <w:szCs w:val="22"/>
          <w:lang w:eastAsia="es-PE"/>
        </w:rPr>
      </w:pPr>
    </w:p>
    <w:p w14:paraId="4460D4F0" w14:textId="28419245" w:rsidR="00A5119D" w:rsidRPr="00A5119D" w:rsidRDefault="00A5119D" w:rsidP="00A5119D">
      <w:pPr>
        <w:shd w:val="clear" w:color="auto" w:fill="FFFFFF"/>
        <w:spacing w:after="240"/>
        <w:contextualSpacing/>
        <w:textAlignment w:val="baseline"/>
        <w:rPr>
          <w:rFonts w:ascii="Arial" w:eastAsia="Times New Roman" w:hAnsi="Arial" w:cs="Arial"/>
          <w:color w:val="000000" w:themeColor="text1"/>
          <w:sz w:val="22"/>
          <w:szCs w:val="22"/>
          <w:lang w:eastAsia="es-PE"/>
        </w:rPr>
      </w:pPr>
      <w:r w:rsidRPr="00A5119D">
        <w:rPr>
          <w:rFonts w:ascii="Arial" w:eastAsia="Times New Roman" w:hAnsi="Arial" w:cs="Arial"/>
          <w:color w:val="000000" w:themeColor="text1"/>
          <w:sz w:val="22"/>
          <w:szCs w:val="22"/>
          <w:lang w:eastAsia="es-PE"/>
        </w:rPr>
        <w:t>Dada en</w:t>
      </w:r>
      <w:r w:rsidR="00D03AA8">
        <w:rPr>
          <w:rFonts w:ascii="Arial" w:eastAsia="Times New Roman" w:hAnsi="Arial" w:cs="Arial"/>
          <w:color w:val="000000" w:themeColor="text1"/>
          <w:sz w:val="22"/>
          <w:szCs w:val="22"/>
          <w:lang w:eastAsia="es-PE"/>
        </w:rPr>
        <w:t xml:space="preserve"> la ciudad de Lima, Perú, a los diecinueve </w:t>
      </w:r>
      <w:r w:rsidRPr="00A5119D">
        <w:rPr>
          <w:rFonts w:ascii="Arial" w:eastAsia="Times New Roman" w:hAnsi="Arial" w:cs="Arial"/>
          <w:color w:val="000000" w:themeColor="text1"/>
          <w:sz w:val="22"/>
          <w:szCs w:val="22"/>
          <w:lang w:eastAsia="es-PE"/>
        </w:rPr>
        <w:t>días del mes de octubre del año dos mil veintitrés.</w:t>
      </w:r>
    </w:p>
    <w:p w14:paraId="51D5C5D1" w14:textId="77777777" w:rsidR="00A5119D" w:rsidRPr="00A5119D" w:rsidRDefault="00A5119D" w:rsidP="00A5119D">
      <w:pPr>
        <w:shd w:val="clear" w:color="auto" w:fill="FFFFFF"/>
        <w:spacing w:after="240"/>
        <w:contextualSpacing/>
        <w:textAlignment w:val="baseline"/>
        <w:rPr>
          <w:rFonts w:ascii="Arial" w:eastAsia="Times New Roman" w:hAnsi="Arial" w:cs="Arial"/>
          <w:color w:val="000000" w:themeColor="text1"/>
          <w:sz w:val="22"/>
          <w:szCs w:val="22"/>
          <w:lang w:eastAsia="es-PE"/>
        </w:rPr>
      </w:pPr>
    </w:p>
    <w:p w14:paraId="49BD8607" w14:textId="1112B979" w:rsidR="00B772FA" w:rsidRPr="00A5119D" w:rsidRDefault="00A5119D" w:rsidP="00A5119D">
      <w:pPr>
        <w:tabs>
          <w:tab w:val="left" w:pos="567"/>
        </w:tabs>
        <w:rPr>
          <w:rFonts w:ascii="Arial" w:hAnsi="Arial" w:cs="Arial"/>
          <w:sz w:val="20"/>
          <w:szCs w:val="20"/>
        </w:rPr>
      </w:pPr>
      <w:r w:rsidRPr="00A5119D">
        <w:rPr>
          <w:rFonts w:ascii="Arial" w:eastAsia="Times New Roman" w:hAnsi="Arial" w:cs="Arial"/>
          <w:i/>
          <w:iCs/>
          <w:color w:val="000000" w:themeColor="text1"/>
          <w:sz w:val="22"/>
          <w:szCs w:val="22"/>
          <w:lang w:eastAsia="es-PE"/>
        </w:rPr>
        <w:t>Notifíquese y Publíquese</w:t>
      </w:r>
    </w:p>
    <w:p w14:paraId="38CCBDB9" w14:textId="77777777" w:rsidR="00367D51" w:rsidRPr="001D52FE" w:rsidRDefault="00367D51" w:rsidP="00B772FA">
      <w:pPr>
        <w:rPr>
          <w:rFonts w:ascii="Arial" w:hAnsi="Arial" w:cs="Arial"/>
          <w:sz w:val="22"/>
          <w:szCs w:val="22"/>
        </w:rPr>
      </w:pPr>
    </w:p>
    <w:p w14:paraId="66F06AFF" w14:textId="7B1AEAA4" w:rsidR="000940E1" w:rsidRDefault="000940E1" w:rsidP="00B772FA">
      <w:pPr>
        <w:rPr>
          <w:rFonts w:ascii="Arial" w:hAnsi="Arial" w:cs="Arial"/>
          <w:sz w:val="22"/>
          <w:szCs w:val="22"/>
        </w:rPr>
      </w:pPr>
    </w:p>
    <w:p w14:paraId="52A88A17" w14:textId="3AC41529" w:rsidR="00D03AA8" w:rsidRDefault="00D03AA8" w:rsidP="00B772FA">
      <w:pPr>
        <w:rPr>
          <w:rFonts w:ascii="Arial" w:hAnsi="Arial" w:cs="Arial"/>
          <w:sz w:val="22"/>
          <w:szCs w:val="22"/>
        </w:rPr>
      </w:pPr>
    </w:p>
    <w:p w14:paraId="0F6CA4FB" w14:textId="77777777" w:rsidR="00D03AA8" w:rsidRPr="001D52FE" w:rsidRDefault="00D03AA8" w:rsidP="00B772FA">
      <w:pPr>
        <w:rPr>
          <w:rFonts w:ascii="Arial" w:hAnsi="Arial" w:cs="Arial"/>
          <w:sz w:val="22"/>
          <w:szCs w:val="22"/>
        </w:rPr>
      </w:pPr>
    </w:p>
    <w:p w14:paraId="3FE7C10D" w14:textId="77777777" w:rsidR="00367D51" w:rsidRPr="001D52FE" w:rsidRDefault="00367D51" w:rsidP="00B772FA">
      <w:pPr>
        <w:rPr>
          <w:rFonts w:ascii="Arial" w:hAnsi="Arial" w:cs="Arial"/>
          <w:sz w:val="22"/>
          <w:szCs w:val="22"/>
        </w:rPr>
      </w:pPr>
    </w:p>
    <w:p w14:paraId="760AF253" w14:textId="77777777" w:rsidR="00B772FA" w:rsidRPr="001D52FE" w:rsidRDefault="00B772FA" w:rsidP="00B772FA">
      <w:pPr>
        <w:rPr>
          <w:rFonts w:ascii="Arial" w:hAnsi="Arial" w:cs="Arial"/>
          <w:b/>
          <w:sz w:val="22"/>
          <w:szCs w:val="22"/>
        </w:rPr>
      </w:pPr>
    </w:p>
    <w:p w14:paraId="5217AD73" w14:textId="458E8D47" w:rsidR="00B772FA" w:rsidRPr="001D52FE" w:rsidRDefault="000940E1" w:rsidP="00B772FA">
      <w:pPr>
        <w:ind w:right="-1"/>
        <w:jc w:val="center"/>
        <w:rPr>
          <w:rFonts w:ascii="Arial" w:hAnsi="Arial" w:cs="Arial"/>
          <w:i/>
          <w:color w:val="000000" w:themeColor="text1"/>
          <w:sz w:val="22"/>
          <w:szCs w:val="22"/>
        </w:rPr>
      </w:pPr>
      <w:r w:rsidRPr="001D52FE">
        <w:rPr>
          <w:rFonts w:ascii="Arial" w:hAnsi="Arial" w:cs="Arial"/>
          <w:i/>
          <w:color w:val="000000" w:themeColor="text1"/>
          <w:sz w:val="22"/>
          <w:szCs w:val="22"/>
        </w:rPr>
        <w:t>Gonzalo Gutiérrez Reinel</w:t>
      </w:r>
    </w:p>
    <w:p w14:paraId="715FD3F6" w14:textId="6FA3F1AF" w:rsidR="00B772FA" w:rsidRPr="001D52FE" w:rsidRDefault="00B772FA" w:rsidP="001D52FE">
      <w:pPr>
        <w:ind w:right="-1"/>
        <w:jc w:val="center"/>
        <w:rPr>
          <w:rFonts w:ascii="Arial" w:hAnsi="Arial" w:cs="Arial"/>
          <w:sz w:val="22"/>
          <w:szCs w:val="22"/>
        </w:rPr>
      </w:pPr>
      <w:r w:rsidRPr="001D52FE">
        <w:rPr>
          <w:rFonts w:ascii="Arial" w:hAnsi="Arial" w:cs="Arial"/>
          <w:b/>
          <w:color w:val="000000" w:themeColor="text1"/>
          <w:sz w:val="22"/>
          <w:szCs w:val="22"/>
        </w:rPr>
        <w:t>Secretario General</w:t>
      </w:r>
    </w:p>
    <w:p w14:paraId="04537118" w14:textId="77777777" w:rsidR="00EA4DFF" w:rsidRPr="001D52FE" w:rsidRDefault="00EA4DFF">
      <w:pPr>
        <w:rPr>
          <w:rFonts w:ascii="Arial" w:hAnsi="Arial" w:cs="Arial"/>
          <w:sz w:val="22"/>
          <w:szCs w:val="22"/>
        </w:rPr>
      </w:pPr>
    </w:p>
    <w:sectPr w:rsidR="00EA4DFF" w:rsidRPr="001D52FE" w:rsidSect="005E3E92">
      <w:footerReference w:type="default" r:id="rId9"/>
      <w:footerReference w:type="first" r:id="rId10"/>
      <w:pgSz w:w="11906" w:h="16838" w:code="9"/>
      <w:pgMar w:top="1418" w:right="1418" w:bottom="1134" w:left="1701" w:header="709" w:footer="709" w:gutter="0"/>
      <w:pgNumType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3B871" w14:textId="77777777" w:rsidR="00A601AF" w:rsidRDefault="00A601AF" w:rsidP="00B772FA">
      <w:r>
        <w:separator/>
      </w:r>
    </w:p>
  </w:endnote>
  <w:endnote w:type="continuationSeparator" w:id="0">
    <w:p w14:paraId="5BD7C99E" w14:textId="77777777" w:rsidR="00A601AF" w:rsidRDefault="00A601AF" w:rsidP="00B7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397627793"/>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1BA7F0CB" w14:textId="1DFE6BC3" w:rsidR="005E3E92" w:rsidRPr="00102CFB" w:rsidRDefault="005E3E92">
            <w:pPr>
              <w:pStyle w:val="Piedepgina"/>
              <w:jc w:val="right"/>
              <w:rPr>
                <w:rFonts w:ascii="Arial" w:hAnsi="Arial" w:cs="Arial"/>
                <w:sz w:val="20"/>
                <w:szCs w:val="20"/>
              </w:rPr>
            </w:pPr>
            <w:r w:rsidRPr="00102CFB">
              <w:rPr>
                <w:rFonts w:ascii="Arial" w:hAnsi="Arial" w:cs="Arial"/>
                <w:sz w:val="20"/>
                <w:szCs w:val="20"/>
                <w:lang w:val="es-ES"/>
              </w:rPr>
              <w:t xml:space="preserve">Página </w:t>
            </w:r>
            <w:r w:rsidRPr="00102CFB">
              <w:rPr>
                <w:rFonts w:ascii="Arial" w:hAnsi="Arial" w:cs="Arial"/>
                <w:b/>
                <w:bCs/>
                <w:sz w:val="20"/>
                <w:szCs w:val="20"/>
              </w:rPr>
              <w:fldChar w:fldCharType="begin"/>
            </w:r>
            <w:r w:rsidRPr="00102CFB">
              <w:rPr>
                <w:rFonts w:ascii="Arial" w:hAnsi="Arial" w:cs="Arial"/>
                <w:b/>
                <w:bCs/>
                <w:sz w:val="20"/>
                <w:szCs w:val="20"/>
              </w:rPr>
              <w:instrText>PAGE</w:instrText>
            </w:r>
            <w:r w:rsidRPr="00102CFB">
              <w:rPr>
                <w:rFonts w:ascii="Arial" w:hAnsi="Arial" w:cs="Arial"/>
                <w:b/>
                <w:bCs/>
                <w:sz w:val="20"/>
                <w:szCs w:val="20"/>
              </w:rPr>
              <w:fldChar w:fldCharType="separate"/>
            </w:r>
            <w:r w:rsidR="00D03AA8">
              <w:rPr>
                <w:rFonts w:ascii="Arial" w:hAnsi="Arial" w:cs="Arial"/>
                <w:b/>
                <w:bCs/>
                <w:noProof/>
                <w:sz w:val="20"/>
                <w:szCs w:val="20"/>
              </w:rPr>
              <w:t>5</w:t>
            </w:r>
            <w:r w:rsidRPr="00102CFB">
              <w:rPr>
                <w:rFonts w:ascii="Arial" w:hAnsi="Arial" w:cs="Arial"/>
                <w:b/>
                <w:bCs/>
                <w:sz w:val="20"/>
                <w:szCs w:val="20"/>
              </w:rPr>
              <w:fldChar w:fldCharType="end"/>
            </w:r>
            <w:r w:rsidRPr="00102CFB">
              <w:rPr>
                <w:rFonts w:ascii="Arial" w:hAnsi="Arial" w:cs="Arial"/>
                <w:sz w:val="20"/>
                <w:szCs w:val="20"/>
                <w:lang w:val="es-ES"/>
              </w:rPr>
              <w:t xml:space="preserve"> de </w:t>
            </w:r>
            <w:r w:rsidRPr="00102CFB">
              <w:rPr>
                <w:rFonts w:ascii="Arial" w:hAnsi="Arial" w:cs="Arial"/>
                <w:b/>
                <w:bCs/>
                <w:sz w:val="20"/>
                <w:szCs w:val="20"/>
              </w:rPr>
              <w:fldChar w:fldCharType="begin"/>
            </w:r>
            <w:r w:rsidRPr="00102CFB">
              <w:rPr>
                <w:rFonts w:ascii="Arial" w:hAnsi="Arial" w:cs="Arial"/>
                <w:b/>
                <w:bCs/>
                <w:sz w:val="20"/>
                <w:szCs w:val="20"/>
              </w:rPr>
              <w:instrText>NUMPAGES</w:instrText>
            </w:r>
            <w:r w:rsidRPr="00102CFB">
              <w:rPr>
                <w:rFonts w:ascii="Arial" w:hAnsi="Arial" w:cs="Arial"/>
                <w:b/>
                <w:bCs/>
                <w:sz w:val="20"/>
                <w:szCs w:val="20"/>
              </w:rPr>
              <w:fldChar w:fldCharType="separate"/>
            </w:r>
            <w:r w:rsidR="00D03AA8">
              <w:rPr>
                <w:rFonts w:ascii="Arial" w:hAnsi="Arial" w:cs="Arial"/>
                <w:b/>
                <w:bCs/>
                <w:noProof/>
                <w:sz w:val="20"/>
                <w:szCs w:val="20"/>
              </w:rPr>
              <w:t>5</w:t>
            </w:r>
            <w:r w:rsidRPr="00102CFB">
              <w:rPr>
                <w:rFonts w:ascii="Arial" w:hAnsi="Arial" w:cs="Arial"/>
                <w:b/>
                <w:bCs/>
                <w:sz w:val="20"/>
                <w:szCs w:val="20"/>
              </w:rPr>
              <w:fldChar w:fldCharType="end"/>
            </w:r>
          </w:p>
        </w:sdtContent>
      </w:sdt>
    </w:sdtContent>
  </w:sdt>
  <w:p w14:paraId="14CD5479" w14:textId="77777777" w:rsidR="005E3E92" w:rsidRPr="00580C3E" w:rsidRDefault="005E3E92">
    <w:pPr>
      <w:pStyle w:val="Piedepgina"/>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F4246" w14:textId="77777777" w:rsidR="005E3E92" w:rsidRDefault="005E3E92">
    <w:pPr>
      <w:pStyle w:val="Piedepgina"/>
      <w:jc w:val="center"/>
    </w:pPr>
  </w:p>
  <w:p w14:paraId="415E3A57" w14:textId="77777777" w:rsidR="005E3E92" w:rsidRDefault="005E3E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E11C4" w14:textId="77777777" w:rsidR="00A601AF" w:rsidRDefault="00A601AF" w:rsidP="00B772FA">
      <w:r>
        <w:separator/>
      </w:r>
    </w:p>
  </w:footnote>
  <w:footnote w:type="continuationSeparator" w:id="0">
    <w:p w14:paraId="60FC978D" w14:textId="77777777" w:rsidR="00A601AF" w:rsidRDefault="00A601AF" w:rsidP="00B772FA">
      <w:r>
        <w:continuationSeparator/>
      </w:r>
    </w:p>
  </w:footnote>
  <w:footnote w:id="1">
    <w:p w14:paraId="61BF58F1" w14:textId="77777777" w:rsidR="00A5119D" w:rsidRPr="007B3921" w:rsidRDefault="00A5119D" w:rsidP="00A5119D">
      <w:pPr>
        <w:pStyle w:val="Textonotapie"/>
        <w:rPr>
          <w:sz w:val="16"/>
          <w:szCs w:val="16"/>
          <w:lang w:val="pt-PT"/>
        </w:rPr>
      </w:pPr>
      <w:r w:rsidRPr="007B3921">
        <w:rPr>
          <w:rStyle w:val="Refdenotaalpie"/>
          <w:sz w:val="16"/>
          <w:szCs w:val="16"/>
        </w:rPr>
        <w:footnoteRef/>
      </w:r>
      <w:r w:rsidRPr="007B3921">
        <w:rPr>
          <w:sz w:val="16"/>
          <w:szCs w:val="16"/>
          <w:lang w:val="pt-PT"/>
        </w:rPr>
        <w:t xml:space="preserve"> Ver Escrito de Reclamo, anexos</w:t>
      </w:r>
      <w:r>
        <w:rPr>
          <w:sz w:val="16"/>
          <w:szCs w:val="16"/>
          <w:lang w:val="pt-PT"/>
        </w:rPr>
        <w:t>.</w:t>
      </w:r>
    </w:p>
  </w:footnote>
  <w:footnote w:id="2">
    <w:p w14:paraId="70F97C48" w14:textId="77777777" w:rsidR="00A5119D" w:rsidRDefault="00A5119D" w:rsidP="00A5119D">
      <w:pPr>
        <w:pStyle w:val="Textonotapie"/>
        <w:rPr>
          <w:sz w:val="16"/>
          <w:szCs w:val="16"/>
        </w:rPr>
      </w:pPr>
      <w:r w:rsidRPr="00997B2B">
        <w:rPr>
          <w:rStyle w:val="Refdenotaalpie"/>
          <w:sz w:val="16"/>
          <w:szCs w:val="16"/>
        </w:rPr>
        <w:footnoteRef/>
      </w:r>
      <w:r>
        <w:t xml:space="preserve"> </w:t>
      </w:r>
      <w:r>
        <w:rPr>
          <w:sz w:val="16"/>
          <w:szCs w:val="16"/>
        </w:rPr>
        <w:t>Se deja constancia que el archivo electrónico contiene escrito de reclamo, identificado con Ingreso SGCAN 2701 de fecha 20 de septiembre de 2023 y adjunta 3 documentos:</w:t>
      </w:r>
    </w:p>
    <w:p w14:paraId="2E21BAC9" w14:textId="77777777" w:rsidR="00A5119D" w:rsidRDefault="00A5119D" w:rsidP="00A5119D">
      <w:pPr>
        <w:pStyle w:val="Textonotapie"/>
        <w:rPr>
          <w:sz w:val="16"/>
          <w:szCs w:val="16"/>
        </w:rPr>
      </w:pPr>
      <w:r>
        <w:rPr>
          <w:sz w:val="16"/>
          <w:szCs w:val="16"/>
        </w:rPr>
        <w:t>Adjunto 01: Documento titulado Petición a INVIMA de fecha 22 de agosto de 2023.</w:t>
      </w:r>
    </w:p>
    <w:p w14:paraId="5F0788C2" w14:textId="77777777" w:rsidR="00A5119D" w:rsidRDefault="00A5119D" w:rsidP="00A5119D">
      <w:pPr>
        <w:pStyle w:val="Textonotapie"/>
        <w:rPr>
          <w:sz w:val="16"/>
          <w:szCs w:val="16"/>
        </w:rPr>
      </w:pPr>
      <w:r>
        <w:rPr>
          <w:sz w:val="16"/>
          <w:szCs w:val="16"/>
        </w:rPr>
        <w:t>Adjunto 02: Comunicación Nro. 20232043429 de fecha 19 de septiembre de 2023 sobre Respuesta a consulta con radicado entrante 20231223831.</w:t>
      </w:r>
    </w:p>
    <w:p w14:paraId="3F166F37" w14:textId="77777777" w:rsidR="00A5119D" w:rsidRDefault="00A5119D" w:rsidP="00A5119D">
      <w:pPr>
        <w:pStyle w:val="Textonotapie"/>
        <w:rPr>
          <w:sz w:val="16"/>
          <w:szCs w:val="16"/>
        </w:rPr>
      </w:pPr>
      <w:r>
        <w:rPr>
          <w:sz w:val="16"/>
          <w:szCs w:val="16"/>
        </w:rPr>
        <w:t>Adjunto 03: Tarjeta Profesional de Abogado a nombre de Efraín Armando López Amaris.</w:t>
      </w:r>
    </w:p>
    <w:p w14:paraId="5AB56AAB" w14:textId="77777777" w:rsidR="00A5119D" w:rsidRDefault="00A5119D" w:rsidP="00A5119D">
      <w:pPr>
        <w:pStyle w:val="Textonotapie"/>
        <w:rPr>
          <w:sz w:val="16"/>
          <w:szCs w:val="16"/>
        </w:rPr>
      </w:pPr>
      <w:bookmarkStart w:id="3" w:name="_Hlk132742213"/>
      <w:r>
        <w:rPr>
          <w:sz w:val="16"/>
          <w:szCs w:val="16"/>
        </w:rPr>
        <w:t>Adjunto 04: Cédula de Ciudadanía a nombre de Efraín Armando López Amaris.</w:t>
      </w:r>
    </w:p>
    <w:bookmarkEnd w:id="3"/>
    <w:p w14:paraId="7CCA0C37" w14:textId="77777777" w:rsidR="00A5119D" w:rsidRPr="00091DFF" w:rsidRDefault="00A5119D" w:rsidP="00A5119D">
      <w:pPr>
        <w:pStyle w:val="Textonotapie"/>
        <w:rPr>
          <w:sz w:val="16"/>
          <w:szCs w:val="16"/>
        </w:rPr>
      </w:pPr>
    </w:p>
  </w:footnote>
  <w:footnote w:id="3">
    <w:p w14:paraId="32770800" w14:textId="77777777" w:rsidR="00A5119D" w:rsidRPr="00821965" w:rsidRDefault="00A5119D" w:rsidP="00A5119D">
      <w:pPr>
        <w:pStyle w:val="Textonotapie"/>
        <w:rPr>
          <w:sz w:val="16"/>
          <w:szCs w:val="16"/>
        </w:rPr>
      </w:pPr>
      <w:r w:rsidRPr="00821965">
        <w:rPr>
          <w:rStyle w:val="Refdenotaalpie"/>
          <w:sz w:val="16"/>
          <w:szCs w:val="16"/>
        </w:rPr>
        <w:footnoteRef/>
      </w:r>
      <w:r w:rsidRPr="00821965">
        <w:rPr>
          <w:sz w:val="16"/>
          <w:szCs w:val="16"/>
        </w:rPr>
        <w:t xml:space="preserve"> </w:t>
      </w:r>
      <w:r>
        <w:rPr>
          <w:sz w:val="16"/>
          <w:szCs w:val="16"/>
        </w:rPr>
        <w:t xml:space="preserve">Contenida en el escrito de reclamo, páginas 2, 3 y 4. </w:t>
      </w:r>
    </w:p>
  </w:footnote>
  <w:footnote w:id="4">
    <w:p w14:paraId="69F92F08" w14:textId="77777777" w:rsidR="00A5119D" w:rsidRPr="0072196D" w:rsidRDefault="00A5119D" w:rsidP="00A5119D">
      <w:pPr>
        <w:pStyle w:val="Textonotapie"/>
        <w:rPr>
          <w:sz w:val="16"/>
          <w:szCs w:val="16"/>
        </w:rPr>
      </w:pPr>
      <w:r w:rsidRPr="0072196D">
        <w:rPr>
          <w:rStyle w:val="Refdenotaalpie"/>
          <w:sz w:val="16"/>
          <w:szCs w:val="16"/>
        </w:rPr>
        <w:footnoteRef/>
      </w:r>
      <w:r w:rsidRPr="0072196D">
        <w:rPr>
          <w:sz w:val="16"/>
          <w:szCs w:val="16"/>
        </w:rPr>
        <w:t xml:space="preserve"> </w:t>
      </w:r>
      <w:bookmarkStart w:id="5" w:name="_Hlk148540659"/>
      <w:r w:rsidRPr="0072196D">
        <w:rPr>
          <w:sz w:val="16"/>
          <w:szCs w:val="16"/>
        </w:rPr>
        <w:t>Ver escrito de reclamo página 9.</w:t>
      </w:r>
      <w:bookmarkEnd w:id="5"/>
    </w:p>
  </w:footnote>
  <w:footnote w:id="5">
    <w:p w14:paraId="178E273E" w14:textId="77777777" w:rsidR="00A5119D" w:rsidRPr="003B5C24" w:rsidRDefault="00A5119D" w:rsidP="00A5119D">
      <w:pPr>
        <w:pStyle w:val="Textonotapie"/>
        <w:rPr>
          <w:sz w:val="16"/>
          <w:szCs w:val="16"/>
        </w:rPr>
      </w:pPr>
      <w:r w:rsidRPr="003B5C24">
        <w:rPr>
          <w:rStyle w:val="Refdenotaalpie"/>
          <w:sz w:val="16"/>
          <w:szCs w:val="16"/>
        </w:rPr>
        <w:footnoteRef/>
      </w:r>
      <w:r w:rsidRPr="003B5C24">
        <w:rPr>
          <w:sz w:val="16"/>
          <w:szCs w:val="16"/>
        </w:rPr>
        <w:t xml:space="preserve"> Ver escrito de reclamo página 9.</w:t>
      </w:r>
    </w:p>
  </w:footnote>
  <w:footnote w:id="6">
    <w:p w14:paraId="43842720" w14:textId="77777777" w:rsidR="00A5119D" w:rsidRPr="00BC3869" w:rsidRDefault="00A5119D" w:rsidP="00A5119D">
      <w:pPr>
        <w:pStyle w:val="Textonotapie"/>
        <w:rPr>
          <w:sz w:val="16"/>
          <w:szCs w:val="16"/>
        </w:rPr>
      </w:pPr>
      <w:r w:rsidRPr="00BC3869">
        <w:rPr>
          <w:rStyle w:val="Refdenotaalpie"/>
          <w:sz w:val="16"/>
          <w:szCs w:val="16"/>
        </w:rPr>
        <w:footnoteRef/>
      </w:r>
      <w:r w:rsidRPr="00BC3869">
        <w:rPr>
          <w:sz w:val="16"/>
          <w:szCs w:val="16"/>
        </w:rPr>
        <w:t xml:space="preserve"> Ver escrito de reclamo </w:t>
      </w:r>
      <w:r>
        <w:rPr>
          <w:sz w:val="16"/>
          <w:szCs w:val="16"/>
        </w:rPr>
        <w:t>páginas</w:t>
      </w:r>
      <w:r w:rsidRPr="00BC3869">
        <w:rPr>
          <w:sz w:val="16"/>
          <w:szCs w:val="16"/>
        </w:rPr>
        <w:t xml:space="preserve"> 10 y 11.</w:t>
      </w:r>
    </w:p>
  </w:footnote>
  <w:footnote w:id="7">
    <w:p w14:paraId="27DBBF6B" w14:textId="77777777" w:rsidR="00A5119D" w:rsidRPr="00F45909" w:rsidRDefault="00A5119D" w:rsidP="00A5119D">
      <w:pPr>
        <w:pStyle w:val="Textonotapie"/>
        <w:rPr>
          <w:sz w:val="16"/>
          <w:szCs w:val="16"/>
        </w:rPr>
      </w:pPr>
      <w:r w:rsidRPr="00F45909">
        <w:rPr>
          <w:rStyle w:val="Refdenotaalpie"/>
          <w:sz w:val="16"/>
          <w:szCs w:val="16"/>
        </w:rPr>
        <w:footnoteRef/>
      </w:r>
      <w:r w:rsidRPr="00F45909">
        <w:rPr>
          <w:sz w:val="16"/>
          <w:szCs w:val="16"/>
        </w:rPr>
        <w:t xml:space="preserve"> Ver escrito de reclamo, página 6.</w:t>
      </w:r>
    </w:p>
  </w:footnote>
  <w:footnote w:id="8">
    <w:p w14:paraId="344B396C" w14:textId="77777777" w:rsidR="00A5119D" w:rsidRPr="003E5EE2" w:rsidRDefault="00A5119D" w:rsidP="00A5119D">
      <w:pPr>
        <w:pStyle w:val="Textonotapie"/>
        <w:rPr>
          <w:i/>
          <w:iCs/>
          <w:lang w:val="es-ES_tradnl"/>
        </w:rPr>
      </w:pPr>
      <w:r w:rsidRPr="003E5EE2">
        <w:rPr>
          <w:rStyle w:val="Refdenotaalpie"/>
          <w:sz w:val="16"/>
          <w:szCs w:val="16"/>
        </w:rPr>
        <w:footnoteRef/>
      </w:r>
      <w:r w:rsidRPr="003E5EE2">
        <w:rPr>
          <w:sz w:val="16"/>
          <w:szCs w:val="16"/>
        </w:rPr>
        <w:t xml:space="preserve"> </w:t>
      </w:r>
      <w:r w:rsidRPr="003E5EE2">
        <w:rPr>
          <w:b/>
          <w:bCs/>
        </w:rPr>
        <w:t>Decisión 833</w:t>
      </w:r>
      <w:r w:rsidRPr="003E5EE2">
        <w:t xml:space="preserve"> - </w:t>
      </w:r>
      <w:r w:rsidRPr="003E5EE2">
        <w:rPr>
          <w:lang w:val="es-ES_tradnl"/>
        </w:rPr>
        <w:t>Armonización de Legislaciones en materia de Productos Cosméticos, publicada en la Gaceta Oficial de Acuerdo de Cartagena No. 3450 del 26 de noviembre de 2018:</w:t>
      </w:r>
      <w:r w:rsidRPr="003E5EE2">
        <w:rPr>
          <w:b/>
          <w:bCs/>
          <w:i/>
          <w:iCs/>
          <w:lang w:val="es-ES_tradnl"/>
        </w:rPr>
        <w:t xml:space="preserve"> “Artículo 9.- </w:t>
      </w:r>
      <w:r w:rsidRPr="003E5EE2">
        <w:rPr>
          <w:bCs/>
          <w:i/>
          <w:iCs/>
          <w:lang w:val="es-ES_tradnl"/>
        </w:rPr>
        <w:t>La solicitud para la emisión del código de la NSO debe ser presentada mediante declaración jurada en el formulario establecido a nivel comunitario, adjuntando la siguiente información</w:t>
      </w:r>
      <w:r w:rsidRPr="003E5EE2">
        <w:rPr>
          <w:i/>
          <w:iCs/>
          <w:lang w:val="es-ES_tradnl"/>
        </w:rPr>
        <w:t>:</w:t>
      </w:r>
    </w:p>
    <w:p w14:paraId="44E6BE00" w14:textId="77777777" w:rsidR="00A5119D" w:rsidRPr="003E5EE2" w:rsidRDefault="00A5119D" w:rsidP="00A5119D">
      <w:pPr>
        <w:pStyle w:val="Textonotapie"/>
        <w:numPr>
          <w:ilvl w:val="0"/>
          <w:numId w:val="28"/>
        </w:numPr>
        <w:jc w:val="left"/>
        <w:rPr>
          <w:b/>
          <w:bCs/>
          <w:i/>
          <w:iCs/>
          <w:lang w:val="es-ES_tradnl"/>
        </w:rPr>
      </w:pPr>
      <w:r w:rsidRPr="003E5EE2">
        <w:rPr>
          <w:b/>
          <w:bCs/>
          <w:i/>
          <w:iCs/>
          <w:lang w:val="es-ES_tradnl"/>
        </w:rPr>
        <w:t xml:space="preserve">INFORMACIÓN GENERAL </w:t>
      </w:r>
    </w:p>
    <w:p w14:paraId="6313D0B4" w14:textId="77777777" w:rsidR="00A5119D" w:rsidRPr="003E5EE2" w:rsidRDefault="00A5119D" w:rsidP="00A5119D">
      <w:pPr>
        <w:pStyle w:val="Textonotapie"/>
        <w:numPr>
          <w:ilvl w:val="0"/>
          <w:numId w:val="29"/>
        </w:numPr>
        <w:jc w:val="left"/>
        <w:rPr>
          <w:i/>
          <w:iCs/>
          <w:lang w:val="es-ES_tradnl"/>
        </w:rPr>
      </w:pPr>
      <w:r w:rsidRPr="003E5EE2">
        <w:rPr>
          <w:i/>
          <w:iCs/>
          <w:lang w:val="es-ES_tradnl"/>
        </w:rPr>
        <w:t>Nombre del Representante Legal o Apoderado acompañado de los documentos que acrediten su representación, según la normativa nacional vigente;</w:t>
      </w:r>
    </w:p>
    <w:p w14:paraId="0A3A66E8" w14:textId="77777777" w:rsidR="00A5119D" w:rsidRPr="003E5EE2" w:rsidRDefault="00A5119D" w:rsidP="00A5119D">
      <w:pPr>
        <w:pStyle w:val="Textonotapie"/>
        <w:numPr>
          <w:ilvl w:val="0"/>
          <w:numId w:val="29"/>
        </w:numPr>
        <w:jc w:val="left"/>
        <w:rPr>
          <w:i/>
          <w:iCs/>
          <w:lang w:val="es-ES_tradnl"/>
        </w:rPr>
      </w:pPr>
      <w:r w:rsidRPr="003E5EE2">
        <w:rPr>
          <w:i/>
          <w:iCs/>
          <w:lang w:val="es-ES_tradnl"/>
        </w:rPr>
        <w:t>Nombre o razón social y dirección del (o los) fabricante (s), y del titular de la NSO;</w:t>
      </w:r>
    </w:p>
    <w:p w14:paraId="7D8A79C4" w14:textId="77777777" w:rsidR="00A5119D" w:rsidRPr="003E5EE2" w:rsidRDefault="00A5119D" w:rsidP="00A5119D">
      <w:pPr>
        <w:pStyle w:val="Textonotapie"/>
        <w:numPr>
          <w:ilvl w:val="0"/>
          <w:numId w:val="29"/>
        </w:numPr>
        <w:jc w:val="left"/>
        <w:rPr>
          <w:i/>
          <w:iCs/>
          <w:lang w:val="es-ES_tradnl"/>
        </w:rPr>
      </w:pPr>
      <w:r w:rsidRPr="003E5EE2">
        <w:rPr>
          <w:i/>
          <w:iCs/>
          <w:lang w:val="es-ES_tradnl"/>
        </w:rPr>
        <w:t>Cuando corresponda, el nombre o razón social y dirección del envasador y acondicionador;</w:t>
      </w:r>
    </w:p>
    <w:p w14:paraId="446E49D7" w14:textId="77777777" w:rsidR="00A5119D" w:rsidRPr="003E5EE2" w:rsidRDefault="00A5119D" w:rsidP="00A5119D">
      <w:pPr>
        <w:pStyle w:val="Textonotapie"/>
        <w:numPr>
          <w:ilvl w:val="0"/>
          <w:numId w:val="29"/>
        </w:numPr>
        <w:jc w:val="left"/>
        <w:rPr>
          <w:i/>
          <w:iCs/>
          <w:lang w:val="es-ES_tradnl"/>
        </w:rPr>
      </w:pPr>
      <w:r w:rsidRPr="003E5EE2">
        <w:rPr>
          <w:i/>
          <w:iCs/>
          <w:lang w:val="es-ES_tradnl"/>
        </w:rPr>
        <w:t xml:space="preserve">Nombre del producto, su denominación genérica que permita su identificación; y cuando corresponda, el nombre del grupo cosmético y la marca o marcas del producto. </w:t>
      </w:r>
      <w:r w:rsidRPr="003E5EE2">
        <w:rPr>
          <w:i/>
          <w:iCs/>
        </w:rPr>
        <w:t>Estos deben ser acordes a la función y características del producto y no inducir a engaño o confusión con otra clase de productos;</w:t>
      </w:r>
    </w:p>
    <w:p w14:paraId="56139DD6" w14:textId="77777777" w:rsidR="00A5119D" w:rsidRPr="003E5EE2" w:rsidRDefault="00A5119D" w:rsidP="00A5119D">
      <w:pPr>
        <w:pStyle w:val="Textonotapie"/>
        <w:numPr>
          <w:ilvl w:val="0"/>
          <w:numId w:val="29"/>
        </w:numPr>
        <w:jc w:val="left"/>
        <w:rPr>
          <w:i/>
          <w:iCs/>
          <w:lang w:val="es-ES_tradnl"/>
        </w:rPr>
      </w:pPr>
      <w:r w:rsidRPr="003E5EE2">
        <w:rPr>
          <w:i/>
          <w:iCs/>
          <w:lang w:val="es-ES_tradnl"/>
        </w:rPr>
        <w:t xml:space="preserve">Presentación comercial; </w:t>
      </w:r>
    </w:p>
    <w:p w14:paraId="499B07B0" w14:textId="77777777" w:rsidR="00A5119D" w:rsidRPr="003E5EE2" w:rsidRDefault="00A5119D" w:rsidP="00A5119D">
      <w:pPr>
        <w:pStyle w:val="Textonotapie"/>
        <w:numPr>
          <w:ilvl w:val="0"/>
          <w:numId w:val="29"/>
        </w:numPr>
        <w:jc w:val="left"/>
        <w:rPr>
          <w:i/>
          <w:iCs/>
          <w:lang w:val="es-ES_tradnl"/>
        </w:rPr>
      </w:pPr>
      <w:r w:rsidRPr="003E5EE2">
        <w:rPr>
          <w:i/>
          <w:iCs/>
          <w:lang w:val="es-ES_tradnl"/>
        </w:rPr>
        <w:t>Forma Cosmética;</w:t>
      </w:r>
    </w:p>
    <w:p w14:paraId="5B82C8D2" w14:textId="77777777" w:rsidR="00A5119D" w:rsidRPr="003E5EE2" w:rsidRDefault="00A5119D" w:rsidP="00A5119D">
      <w:pPr>
        <w:pStyle w:val="Textonotapie"/>
        <w:numPr>
          <w:ilvl w:val="0"/>
          <w:numId w:val="29"/>
        </w:numPr>
        <w:jc w:val="left"/>
        <w:rPr>
          <w:i/>
          <w:iCs/>
        </w:rPr>
      </w:pPr>
      <w:r w:rsidRPr="003E5EE2">
        <w:rPr>
          <w:i/>
          <w:iCs/>
        </w:rPr>
        <w:t xml:space="preserve">Nombre del responsable técnico (Químico Farmacéutico); </w:t>
      </w:r>
    </w:p>
    <w:p w14:paraId="435F10FB" w14:textId="77777777" w:rsidR="00A5119D" w:rsidRPr="003E5EE2" w:rsidRDefault="00A5119D" w:rsidP="00A5119D">
      <w:pPr>
        <w:pStyle w:val="Textonotapie"/>
        <w:numPr>
          <w:ilvl w:val="0"/>
          <w:numId w:val="29"/>
        </w:numPr>
        <w:jc w:val="left"/>
        <w:rPr>
          <w:i/>
          <w:iCs/>
          <w:lang w:val="es-ES_tradnl"/>
        </w:rPr>
      </w:pPr>
      <w:r w:rsidRPr="003E5EE2">
        <w:rPr>
          <w:i/>
          <w:iCs/>
          <w:lang w:val="es-ES_tradnl"/>
        </w:rPr>
        <w:t>Pago de la tasa establecida por el País Miembro.</w:t>
      </w:r>
    </w:p>
    <w:p w14:paraId="311B4E38" w14:textId="77777777" w:rsidR="00A5119D" w:rsidRPr="003E5EE2" w:rsidRDefault="00A5119D" w:rsidP="00A5119D">
      <w:pPr>
        <w:pStyle w:val="Textonotapie"/>
        <w:rPr>
          <w:b/>
          <w:bCs/>
          <w:i/>
          <w:iCs/>
          <w:lang w:val="es-ES_tradnl"/>
        </w:rPr>
      </w:pPr>
      <w:r w:rsidRPr="003E5EE2">
        <w:rPr>
          <w:b/>
          <w:bCs/>
          <w:i/>
          <w:iCs/>
          <w:lang w:val="es-ES_tradnl"/>
        </w:rPr>
        <w:tab/>
        <w:t>2.</w:t>
      </w:r>
      <w:r w:rsidRPr="003E5EE2">
        <w:rPr>
          <w:b/>
          <w:bCs/>
          <w:i/>
          <w:iCs/>
          <w:lang w:val="es-ES_tradnl"/>
        </w:rPr>
        <w:tab/>
        <w:t>INFORMACIÓN TÉCNICA</w:t>
      </w:r>
    </w:p>
    <w:p w14:paraId="7F94766F" w14:textId="77777777" w:rsidR="00A5119D" w:rsidRPr="003E5EE2" w:rsidRDefault="00A5119D" w:rsidP="00A5119D">
      <w:pPr>
        <w:pStyle w:val="Textonotapie"/>
        <w:numPr>
          <w:ilvl w:val="0"/>
          <w:numId w:val="29"/>
        </w:numPr>
        <w:jc w:val="left"/>
        <w:rPr>
          <w:i/>
          <w:iCs/>
          <w:lang w:val="es-ES_tradnl"/>
        </w:rPr>
      </w:pPr>
      <w:r w:rsidRPr="003E5EE2">
        <w:rPr>
          <w:i/>
          <w:iCs/>
          <w:lang w:val="es-ES_tradnl"/>
        </w:rPr>
        <w:t>La descripción del producto con indicación de su fórmula cualitativa. Adicionalmente se requerirá la declaración cuantitativa para aquellas sustancias de uso restringido y los ingredientes de la composición básica que ejerzan su acción cosmética, así no tengan restricciones. E</w:t>
      </w:r>
      <w:r w:rsidRPr="003E5EE2">
        <w:rPr>
          <w:i/>
          <w:iCs/>
        </w:rPr>
        <w:t xml:space="preserve">n caso de contener sustancias en forma de nanomateriales, se informará a la Autoridad Nacional Competente la denominación química y el tamaño de partícula del nanomaterial. </w:t>
      </w:r>
    </w:p>
    <w:p w14:paraId="7D907416" w14:textId="77777777" w:rsidR="00A5119D" w:rsidRPr="003E5EE2" w:rsidRDefault="00A5119D" w:rsidP="00A5119D">
      <w:pPr>
        <w:pStyle w:val="Textonotapie"/>
        <w:numPr>
          <w:ilvl w:val="0"/>
          <w:numId w:val="29"/>
        </w:numPr>
        <w:jc w:val="left"/>
        <w:rPr>
          <w:i/>
          <w:iCs/>
          <w:lang w:val="es-ES_tradnl"/>
        </w:rPr>
      </w:pPr>
      <w:r w:rsidRPr="003E5EE2">
        <w:rPr>
          <w:i/>
          <w:iCs/>
          <w:lang w:val="es-ES_tradnl"/>
        </w:rPr>
        <w:t>Nomenclatura internacional o genérica de los ingredientes (INCI);</w:t>
      </w:r>
    </w:p>
    <w:p w14:paraId="29C26242" w14:textId="77777777" w:rsidR="00A5119D" w:rsidRPr="003E5EE2" w:rsidRDefault="00A5119D" w:rsidP="00A5119D">
      <w:pPr>
        <w:pStyle w:val="Textonotapie"/>
        <w:numPr>
          <w:ilvl w:val="0"/>
          <w:numId w:val="29"/>
        </w:numPr>
        <w:jc w:val="left"/>
        <w:rPr>
          <w:i/>
          <w:iCs/>
          <w:lang w:val="es-ES_tradnl"/>
        </w:rPr>
      </w:pPr>
      <w:r w:rsidRPr="003E5EE2">
        <w:rPr>
          <w:i/>
          <w:iCs/>
          <w:lang w:val="es-ES_tradnl"/>
        </w:rPr>
        <w:t>Especificaciones organolépticas y fisicoquímicas del producto terminado;</w:t>
      </w:r>
    </w:p>
    <w:p w14:paraId="214057F8" w14:textId="77777777" w:rsidR="00A5119D" w:rsidRPr="003E5EE2" w:rsidRDefault="00A5119D" w:rsidP="00A5119D">
      <w:pPr>
        <w:pStyle w:val="Textonotapie"/>
        <w:numPr>
          <w:ilvl w:val="0"/>
          <w:numId w:val="29"/>
        </w:numPr>
        <w:jc w:val="left"/>
        <w:rPr>
          <w:i/>
          <w:iCs/>
          <w:lang w:val="es-ES_tradnl"/>
        </w:rPr>
      </w:pPr>
      <w:r w:rsidRPr="003E5EE2">
        <w:rPr>
          <w:i/>
          <w:iCs/>
          <w:lang w:val="es-ES_tradnl"/>
        </w:rPr>
        <w:t>Especificaciones microbiológicas cuando corresponda, de acuerdo a la naturaleza del producto terminado y a la normativa andina vigente;</w:t>
      </w:r>
    </w:p>
    <w:p w14:paraId="3C7B7E57" w14:textId="77777777" w:rsidR="00A5119D" w:rsidRPr="003E5EE2" w:rsidRDefault="00A5119D" w:rsidP="00A5119D">
      <w:pPr>
        <w:pStyle w:val="Textonotapie"/>
        <w:numPr>
          <w:ilvl w:val="0"/>
          <w:numId w:val="29"/>
        </w:numPr>
        <w:jc w:val="left"/>
        <w:rPr>
          <w:i/>
          <w:iCs/>
          <w:lang w:val="es-ES_tradnl"/>
        </w:rPr>
      </w:pPr>
      <w:r w:rsidRPr="003E5EE2">
        <w:rPr>
          <w:i/>
          <w:iCs/>
          <w:lang w:val="es-ES_tradnl"/>
        </w:rPr>
        <w:t>Estudios técnicos, experimentales, científicos, entre otros, que justifiquen las bondades, proclamas y efectos de carácter cosmético atribuibles al producto terminado, cuya no veracidad pueda representar un problema para la salud. En dichos estudios no se podrán atribuir efectos terapéuticos a los productos cosméticos, en concordancia con lo establecido en el artículo 3 de la presente Decisión.</w:t>
      </w:r>
    </w:p>
    <w:p w14:paraId="68AAA0C0" w14:textId="77777777" w:rsidR="00A5119D" w:rsidRPr="003E5EE2" w:rsidRDefault="00A5119D" w:rsidP="00A5119D">
      <w:pPr>
        <w:pStyle w:val="Textonotapie"/>
        <w:numPr>
          <w:ilvl w:val="0"/>
          <w:numId w:val="29"/>
        </w:numPr>
        <w:jc w:val="left"/>
        <w:rPr>
          <w:i/>
          <w:iCs/>
          <w:lang w:val="es-ES_tradnl"/>
        </w:rPr>
      </w:pPr>
      <w:r w:rsidRPr="003E5EE2">
        <w:rPr>
          <w:i/>
          <w:iCs/>
          <w:lang w:val="es-ES_tradnl"/>
        </w:rPr>
        <w:t xml:space="preserve">Etiqueta o rotulado, o proyecto de arte de la etiqueta o rotulado. </w:t>
      </w:r>
      <w:r w:rsidRPr="003E5EE2">
        <w:rPr>
          <w:i/>
          <w:iCs/>
        </w:rPr>
        <w:t>En el caso que se presente sólo el proyecto de arte de la etiqueta, el titular de la NSO deberá entregar a la Autoridad Nacional Competente la etiqueta inmediatamente iniciada su comercialización. La entrega de la etiqueta formará parte del expediente inicial;</w:t>
      </w:r>
    </w:p>
    <w:p w14:paraId="74E5DB16" w14:textId="77777777" w:rsidR="00A5119D" w:rsidRPr="003E5EE2" w:rsidRDefault="00A5119D" w:rsidP="00A5119D">
      <w:pPr>
        <w:pStyle w:val="Textonotapie"/>
        <w:numPr>
          <w:ilvl w:val="0"/>
          <w:numId w:val="29"/>
        </w:numPr>
        <w:jc w:val="left"/>
        <w:rPr>
          <w:i/>
          <w:iCs/>
          <w:lang w:val="es-ES_tradnl"/>
        </w:rPr>
      </w:pPr>
      <w:r w:rsidRPr="003E5EE2">
        <w:rPr>
          <w:i/>
          <w:iCs/>
        </w:rPr>
        <w:t>Instrucciones de uso del producto, cuando corresponda;</w:t>
      </w:r>
    </w:p>
    <w:p w14:paraId="3112C611" w14:textId="77777777" w:rsidR="00A5119D" w:rsidRPr="003E5EE2" w:rsidRDefault="00A5119D" w:rsidP="00A5119D">
      <w:pPr>
        <w:pStyle w:val="Textonotapie"/>
        <w:numPr>
          <w:ilvl w:val="0"/>
          <w:numId w:val="29"/>
        </w:numPr>
        <w:jc w:val="left"/>
        <w:rPr>
          <w:i/>
          <w:iCs/>
          <w:lang w:val="es-ES_tradnl"/>
        </w:rPr>
      </w:pPr>
      <w:r w:rsidRPr="003E5EE2">
        <w:rPr>
          <w:i/>
          <w:iCs/>
          <w:lang w:val="es-ES_tradnl"/>
        </w:rPr>
        <w:t>Material del envase primario y secundario cuando corresponda;</w:t>
      </w:r>
    </w:p>
    <w:p w14:paraId="38454362" w14:textId="77777777" w:rsidR="00A5119D" w:rsidRPr="003E5EE2" w:rsidRDefault="00A5119D" w:rsidP="00A5119D">
      <w:pPr>
        <w:pStyle w:val="Textonotapie"/>
        <w:numPr>
          <w:ilvl w:val="0"/>
          <w:numId w:val="29"/>
        </w:numPr>
        <w:jc w:val="left"/>
        <w:rPr>
          <w:i/>
          <w:iCs/>
          <w:lang w:val="es-ES_tradnl"/>
        </w:rPr>
      </w:pPr>
      <w:r w:rsidRPr="003E5EE2">
        <w:rPr>
          <w:i/>
          <w:iCs/>
          <w:lang w:val="es-ES_tradnl"/>
        </w:rPr>
        <w:t xml:space="preserve">Descripción del sistema de codificación de lotes de producción. De tener más de un fabricante del producto, esta información deberá remitirse por cada fabricante. </w:t>
      </w:r>
    </w:p>
    <w:p w14:paraId="5436CBD6" w14:textId="77777777" w:rsidR="00A5119D" w:rsidRPr="003E5EE2" w:rsidRDefault="00A5119D" w:rsidP="00A5119D">
      <w:pPr>
        <w:pStyle w:val="Textonotapie"/>
        <w:rPr>
          <w:i/>
          <w:iCs/>
        </w:rPr>
      </w:pPr>
      <w:r w:rsidRPr="003E5EE2">
        <w:rPr>
          <w:i/>
          <w:iCs/>
        </w:rPr>
        <w:t xml:space="preserve">La información descrita en los literales anteriores, se presentará con su respectiva traducción al castellano, a excepción del literal j), sin perjuicio de los otros idiomas adicionales. En el caso del literal m) deberá traducirse como mínimo el objetivo y las conclusiones (…)”.    </w:t>
      </w:r>
    </w:p>
    <w:p w14:paraId="5536A449" w14:textId="77777777" w:rsidR="00A5119D" w:rsidRPr="003E5EE2" w:rsidRDefault="00A5119D" w:rsidP="00A5119D">
      <w:pPr>
        <w:pStyle w:val="Textonotapie"/>
        <w:rPr>
          <w:sz w:val="16"/>
          <w:szCs w:val="16"/>
        </w:rPr>
      </w:pPr>
    </w:p>
  </w:footnote>
  <w:footnote w:id="9">
    <w:p w14:paraId="2C4972AA" w14:textId="77777777" w:rsidR="00A5119D" w:rsidRPr="00F45909" w:rsidRDefault="00A5119D" w:rsidP="00A5119D">
      <w:pPr>
        <w:pStyle w:val="Textonotapie"/>
        <w:rPr>
          <w:sz w:val="16"/>
          <w:szCs w:val="16"/>
        </w:rPr>
      </w:pPr>
      <w:r w:rsidRPr="00F45909">
        <w:rPr>
          <w:rStyle w:val="Refdenotaalpie"/>
          <w:sz w:val="16"/>
          <w:szCs w:val="16"/>
        </w:rPr>
        <w:footnoteRef/>
      </w:r>
      <w:r w:rsidRPr="00F45909">
        <w:rPr>
          <w:sz w:val="16"/>
          <w:szCs w:val="16"/>
        </w:rPr>
        <w:t xml:space="preserve"> Ver escrito de reclamo, página 7.</w:t>
      </w:r>
    </w:p>
  </w:footnote>
  <w:footnote w:id="10">
    <w:p w14:paraId="7E2EB931" w14:textId="77777777" w:rsidR="00A5119D" w:rsidRPr="00232EE1" w:rsidRDefault="00A5119D" w:rsidP="00A5119D">
      <w:pPr>
        <w:pStyle w:val="Textonotapie"/>
        <w:rPr>
          <w:sz w:val="16"/>
          <w:szCs w:val="16"/>
        </w:rPr>
      </w:pPr>
      <w:r w:rsidRPr="00232EE1">
        <w:rPr>
          <w:rStyle w:val="Refdenotaalpie"/>
          <w:sz w:val="16"/>
          <w:szCs w:val="16"/>
        </w:rPr>
        <w:footnoteRef/>
      </w:r>
      <w:r w:rsidRPr="00232EE1">
        <w:rPr>
          <w:sz w:val="16"/>
          <w:szCs w:val="16"/>
        </w:rPr>
        <w:t xml:space="preserve"> Ver escrito de reclamo, página 9.</w:t>
      </w:r>
    </w:p>
  </w:footnote>
  <w:footnote w:id="11">
    <w:p w14:paraId="61837DB7" w14:textId="77777777" w:rsidR="00A5119D" w:rsidRPr="00376D3A" w:rsidRDefault="00A5119D" w:rsidP="00A5119D">
      <w:pPr>
        <w:pStyle w:val="Textonotapie"/>
        <w:rPr>
          <w:sz w:val="16"/>
          <w:szCs w:val="16"/>
        </w:rPr>
      </w:pPr>
      <w:r w:rsidRPr="00376D3A">
        <w:rPr>
          <w:rStyle w:val="Refdenotaalpie"/>
          <w:sz w:val="16"/>
          <w:szCs w:val="16"/>
        </w:rPr>
        <w:footnoteRef/>
      </w:r>
      <w:r w:rsidRPr="00376D3A">
        <w:rPr>
          <w:sz w:val="16"/>
          <w:szCs w:val="16"/>
        </w:rPr>
        <w:t xml:space="preserve"> Ver escrito de reclamo, página 9.</w:t>
      </w:r>
    </w:p>
  </w:footnote>
  <w:footnote w:id="12">
    <w:p w14:paraId="02D7DC3C" w14:textId="77777777" w:rsidR="00A5119D" w:rsidRPr="00186CB2" w:rsidRDefault="00A5119D" w:rsidP="00A5119D">
      <w:pPr>
        <w:pStyle w:val="Textonotapie"/>
        <w:rPr>
          <w:sz w:val="16"/>
          <w:szCs w:val="16"/>
        </w:rPr>
      </w:pPr>
      <w:r w:rsidRPr="00186CB2">
        <w:rPr>
          <w:rStyle w:val="Refdenotaalpie"/>
          <w:sz w:val="16"/>
          <w:szCs w:val="16"/>
        </w:rPr>
        <w:footnoteRef/>
      </w:r>
      <w:r w:rsidRPr="00186CB2">
        <w:rPr>
          <w:sz w:val="16"/>
          <w:szCs w:val="16"/>
        </w:rPr>
        <w:t xml:space="preserve"> Ver escrito de reclamo, página 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1363A6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CF5A0A"/>
    <w:multiLevelType w:val="hybridMultilevel"/>
    <w:tmpl w:val="D44A9764"/>
    <w:lvl w:ilvl="0" w:tplc="EC982752">
      <w:start w:val="1"/>
      <w:numFmt w:val="lowerRoman"/>
      <w:lvlText w:val="(%1)"/>
      <w:lvlJc w:val="left"/>
      <w:pPr>
        <w:ind w:left="1571" w:hanging="720"/>
      </w:pPr>
      <w:rPr>
        <w:rFonts w:hint="default"/>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2" w15:restartNumberingAfterBreak="0">
    <w:nsid w:val="0CA83B04"/>
    <w:multiLevelType w:val="hybridMultilevel"/>
    <w:tmpl w:val="00366D18"/>
    <w:lvl w:ilvl="0" w:tplc="191CA09C">
      <w:start w:val="3"/>
      <w:numFmt w:val="upp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3" w15:restartNumberingAfterBreak="0">
    <w:nsid w:val="0FC11AF0"/>
    <w:multiLevelType w:val="hybridMultilevel"/>
    <w:tmpl w:val="78F6DDC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 w15:restartNumberingAfterBreak="0">
    <w:nsid w:val="195B70B3"/>
    <w:multiLevelType w:val="hybridMultilevel"/>
    <w:tmpl w:val="85D4AF08"/>
    <w:lvl w:ilvl="0" w:tplc="280A0017">
      <w:start w:val="4"/>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F8D2E76"/>
    <w:multiLevelType w:val="hybridMultilevel"/>
    <w:tmpl w:val="FEA492B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30A62DE"/>
    <w:multiLevelType w:val="hybridMultilevel"/>
    <w:tmpl w:val="DAAEF2F0"/>
    <w:lvl w:ilvl="0" w:tplc="A87E6568">
      <w:start w:val="1"/>
      <w:numFmt w:val="upperLetter"/>
      <w:lvlText w:val="%1)"/>
      <w:lvlJc w:val="left"/>
      <w:pPr>
        <w:ind w:left="720" w:hanging="360"/>
      </w:pPr>
      <w:rPr>
        <w:rFonts w:ascii="Arial" w:eastAsiaTheme="minorHAnsi" w:hAnsi="Arial"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84E6585"/>
    <w:multiLevelType w:val="hybridMultilevel"/>
    <w:tmpl w:val="BE62615C"/>
    <w:lvl w:ilvl="0" w:tplc="280A0017">
      <w:start w:val="6"/>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D4446B5"/>
    <w:multiLevelType w:val="hybridMultilevel"/>
    <w:tmpl w:val="7DDA9AC6"/>
    <w:lvl w:ilvl="0" w:tplc="2BFA917A">
      <w:start w:val="1"/>
      <w:numFmt w:val="upperLetter"/>
      <w:lvlText w:val="%1)"/>
      <w:lvlJc w:val="left"/>
      <w:pPr>
        <w:ind w:left="927" w:hanging="360"/>
      </w:pPr>
      <w:rPr>
        <w:rFonts w:hint="default"/>
        <w:sz w:val="23"/>
        <w:szCs w:val="23"/>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9" w15:restartNumberingAfterBreak="0">
    <w:nsid w:val="3D7D28A6"/>
    <w:multiLevelType w:val="hybridMultilevel"/>
    <w:tmpl w:val="91807452"/>
    <w:lvl w:ilvl="0" w:tplc="280A0017">
      <w:start w:val="8"/>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42F034EB"/>
    <w:multiLevelType w:val="hybridMultilevel"/>
    <w:tmpl w:val="977A91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65F5C94"/>
    <w:multiLevelType w:val="hybridMultilevel"/>
    <w:tmpl w:val="08A85BC6"/>
    <w:lvl w:ilvl="0" w:tplc="7626EC8A">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2" w15:restartNumberingAfterBreak="0">
    <w:nsid w:val="4D724FAF"/>
    <w:multiLevelType w:val="multilevel"/>
    <w:tmpl w:val="4BD6B9B0"/>
    <w:lvl w:ilvl="0">
      <w:start w:val="1"/>
      <w:numFmt w:val="upperRoman"/>
      <w:lvlText w:val="%1."/>
      <w:lvlJc w:val="right"/>
      <w:pPr>
        <w:ind w:left="360" w:hanging="360"/>
      </w:pPr>
      <w:rPr>
        <w:rFonts w:hint="default"/>
      </w:rPr>
    </w:lvl>
    <w:lvl w:ilvl="1">
      <w:start w:val="1"/>
      <w:numFmt w:val="decimal"/>
      <w:isLgl/>
      <w:lvlText w:val="%1.%2."/>
      <w:lvlJc w:val="left"/>
      <w:pPr>
        <w:ind w:left="360" w:hanging="360"/>
      </w:pPr>
      <w:rPr>
        <w:rFonts w:ascii="Arial" w:hAnsi="Arial" w:cs="Aria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0051117"/>
    <w:multiLevelType w:val="hybridMultilevel"/>
    <w:tmpl w:val="D44A9764"/>
    <w:lvl w:ilvl="0" w:tplc="FFFFFFFF">
      <w:start w:val="1"/>
      <w:numFmt w:val="lowerRoman"/>
      <w:lvlText w:val="(%1)"/>
      <w:lvlJc w:val="left"/>
      <w:pPr>
        <w:ind w:left="1571" w:hanging="72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4" w15:restartNumberingAfterBreak="0">
    <w:nsid w:val="576C0778"/>
    <w:multiLevelType w:val="hybridMultilevel"/>
    <w:tmpl w:val="48123D58"/>
    <w:lvl w:ilvl="0" w:tplc="33A002E4">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5B691E03"/>
    <w:multiLevelType w:val="hybridMultilevel"/>
    <w:tmpl w:val="116CDA76"/>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6" w15:restartNumberingAfterBreak="0">
    <w:nsid w:val="5B72700D"/>
    <w:multiLevelType w:val="hybridMultilevel"/>
    <w:tmpl w:val="20BC0FC0"/>
    <w:lvl w:ilvl="0" w:tplc="BEC2B550">
      <w:start w:val="1"/>
      <w:numFmt w:val="decimal"/>
      <w:lvlText w:val="[%1]"/>
      <w:lvlJc w:val="left"/>
      <w:rPr>
        <w:rFonts w:ascii="Arial" w:hAnsi="Arial" w:cs="Arial" w:hint="default"/>
        <w:b w:val="0"/>
        <w:i w:val="0"/>
        <w:color w:val="auto"/>
        <w:sz w:val="22"/>
        <w:szCs w:val="22"/>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5B841C14"/>
    <w:multiLevelType w:val="multilevel"/>
    <w:tmpl w:val="4BD6B9B0"/>
    <w:lvl w:ilvl="0">
      <w:start w:val="1"/>
      <w:numFmt w:val="upperRoman"/>
      <w:lvlText w:val="%1."/>
      <w:lvlJc w:val="right"/>
      <w:pPr>
        <w:ind w:left="360" w:hanging="360"/>
      </w:pPr>
      <w:rPr>
        <w:rFonts w:hint="default"/>
      </w:rPr>
    </w:lvl>
    <w:lvl w:ilvl="1">
      <w:start w:val="1"/>
      <w:numFmt w:val="decimal"/>
      <w:isLgl/>
      <w:lvlText w:val="%1.%2."/>
      <w:lvlJc w:val="left"/>
      <w:pPr>
        <w:ind w:left="360" w:hanging="360"/>
      </w:pPr>
      <w:rPr>
        <w:rFonts w:ascii="Arial" w:hAnsi="Arial" w:cs="Aria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C46368E"/>
    <w:multiLevelType w:val="hybridMultilevel"/>
    <w:tmpl w:val="06C88490"/>
    <w:lvl w:ilvl="0" w:tplc="16B6880E">
      <w:start w:val="1"/>
      <w:numFmt w:val="decimal"/>
      <w:lvlText w:val="[%1]"/>
      <w:lvlJc w:val="left"/>
      <w:pPr>
        <w:ind w:left="720" w:hanging="360"/>
      </w:pPr>
      <w:rPr>
        <w:b w:val="0"/>
        <w:bCs w:val="0"/>
        <w:i w:val="0"/>
        <w:color w:val="auto"/>
        <w:sz w:val="16"/>
        <w:szCs w:val="16"/>
        <w:lang w:val="fr-FR"/>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9" w15:restartNumberingAfterBreak="0">
    <w:nsid w:val="5C880CFE"/>
    <w:multiLevelType w:val="hybridMultilevel"/>
    <w:tmpl w:val="A8F8C42C"/>
    <w:lvl w:ilvl="0" w:tplc="FFFFFFFF">
      <w:start w:val="1"/>
      <w:numFmt w:val="lowerRoman"/>
      <w:lvlText w:val="(%1)"/>
      <w:lvlJc w:val="lef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696B7ED8"/>
    <w:multiLevelType w:val="hybridMultilevel"/>
    <w:tmpl w:val="A8F8C42C"/>
    <w:lvl w:ilvl="0" w:tplc="D6E8FC54">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1" w15:restartNumberingAfterBreak="0">
    <w:nsid w:val="6DAF317C"/>
    <w:multiLevelType w:val="hybridMultilevel"/>
    <w:tmpl w:val="A8F8C42C"/>
    <w:lvl w:ilvl="0" w:tplc="D6E8FC54">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2" w15:restartNumberingAfterBreak="0">
    <w:nsid w:val="75FF772A"/>
    <w:multiLevelType w:val="hybridMultilevel"/>
    <w:tmpl w:val="35C4184A"/>
    <w:lvl w:ilvl="0" w:tplc="6B78650E">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3" w15:restartNumberingAfterBreak="0">
    <w:nsid w:val="765B5098"/>
    <w:multiLevelType w:val="hybridMultilevel"/>
    <w:tmpl w:val="356E0BAE"/>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4" w15:restartNumberingAfterBreak="0">
    <w:nsid w:val="78761F63"/>
    <w:multiLevelType w:val="hybridMultilevel"/>
    <w:tmpl w:val="A8CC0ED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7A0A19A7"/>
    <w:multiLevelType w:val="hybridMultilevel"/>
    <w:tmpl w:val="BFD4DC6A"/>
    <w:lvl w:ilvl="0" w:tplc="DEA050CA">
      <w:start w:val="1"/>
      <w:numFmt w:val="lowerLetter"/>
      <w:lvlText w:val="%1)"/>
      <w:lvlJc w:val="left"/>
      <w:pPr>
        <w:ind w:left="644" w:hanging="360"/>
      </w:pPr>
      <w:rPr>
        <w:rFonts w:ascii="Arial" w:eastAsiaTheme="minorHAnsi" w:hAnsi="Arial" w:cs="Arial" w:hint="default"/>
        <w:color w:val="000000" w:themeColor="text1"/>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6" w15:restartNumberingAfterBreak="0">
    <w:nsid w:val="7B6C3613"/>
    <w:multiLevelType w:val="multilevel"/>
    <w:tmpl w:val="4BD6B9B0"/>
    <w:lvl w:ilvl="0">
      <w:start w:val="1"/>
      <w:numFmt w:val="upperRoman"/>
      <w:lvlText w:val="%1."/>
      <w:lvlJc w:val="right"/>
      <w:pPr>
        <w:ind w:left="360" w:hanging="360"/>
      </w:pPr>
      <w:rPr>
        <w:rFonts w:hint="default"/>
      </w:rPr>
    </w:lvl>
    <w:lvl w:ilvl="1">
      <w:start w:val="1"/>
      <w:numFmt w:val="decimal"/>
      <w:isLgl/>
      <w:lvlText w:val="%1.%2."/>
      <w:lvlJc w:val="left"/>
      <w:pPr>
        <w:ind w:left="360" w:hanging="360"/>
      </w:pPr>
      <w:rPr>
        <w:rFonts w:ascii="Arial" w:hAnsi="Arial" w:cs="Aria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2"/>
  </w:num>
  <w:num w:numId="2">
    <w:abstractNumId w:val="16"/>
  </w:num>
  <w:num w:numId="3">
    <w:abstractNumId w:val="0"/>
  </w:num>
  <w:num w:numId="4">
    <w:abstractNumId w:val="21"/>
  </w:num>
  <w:num w:numId="5">
    <w:abstractNumId w:val="10"/>
  </w:num>
  <w:num w:numId="6">
    <w:abstractNumId w:val="20"/>
  </w:num>
  <w:num w:numId="7">
    <w:abstractNumId w:val="1"/>
  </w:num>
  <w:num w:numId="8">
    <w:abstractNumId w:val="19"/>
  </w:num>
  <w:num w:numId="9">
    <w:abstractNumId w:val="13"/>
  </w:num>
  <w:num w:numId="10">
    <w:abstractNumId w:val="22"/>
  </w:num>
  <w:num w:numId="11">
    <w:abstractNumId w:val="14"/>
  </w:num>
  <w:num w:numId="12">
    <w:abstractNumId w:val="2"/>
  </w:num>
  <w:num w:numId="13">
    <w:abstractNumId w:val="15"/>
  </w:num>
  <w:num w:numId="14">
    <w:abstractNumId w:val="5"/>
  </w:num>
  <w:num w:numId="15">
    <w:abstractNumId w:val="8"/>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6"/>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7"/>
  </w:num>
  <w:num w:numId="23">
    <w:abstractNumId w:val="25"/>
  </w:num>
  <w:num w:numId="24">
    <w:abstractNumId w:val="18"/>
  </w:num>
  <w:num w:numId="25">
    <w:abstractNumId w:val="9"/>
  </w:num>
  <w:num w:numId="26">
    <w:abstractNumId w:val="3"/>
  </w:num>
  <w:num w:numId="27">
    <w:abstractNumId w:val="17"/>
  </w:num>
  <w:num w:numId="28">
    <w:abstractNumId w:val="23"/>
  </w:num>
  <w:num w:numId="29">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2FA"/>
    <w:rsid w:val="00001BFD"/>
    <w:rsid w:val="000643D2"/>
    <w:rsid w:val="000933EB"/>
    <w:rsid w:val="000940E1"/>
    <w:rsid w:val="000B7A43"/>
    <w:rsid w:val="000C39A4"/>
    <w:rsid w:val="000D07C6"/>
    <w:rsid w:val="000D706A"/>
    <w:rsid w:val="000E18B8"/>
    <w:rsid w:val="000E1E0B"/>
    <w:rsid w:val="0012315A"/>
    <w:rsid w:val="00144A06"/>
    <w:rsid w:val="001450C2"/>
    <w:rsid w:val="00151A19"/>
    <w:rsid w:val="001819AF"/>
    <w:rsid w:val="00190B59"/>
    <w:rsid w:val="00194689"/>
    <w:rsid w:val="001B4AA3"/>
    <w:rsid w:val="001D3D58"/>
    <w:rsid w:val="001D52FE"/>
    <w:rsid w:val="001E15CE"/>
    <w:rsid w:val="001F1630"/>
    <w:rsid w:val="002544DC"/>
    <w:rsid w:val="00275D10"/>
    <w:rsid w:val="002778F0"/>
    <w:rsid w:val="00286B5A"/>
    <w:rsid w:val="00297F53"/>
    <w:rsid w:val="002A1E01"/>
    <w:rsid w:val="00302161"/>
    <w:rsid w:val="00331627"/>
    <w:rsid w:val="00367D51"/>
    <w:rsid w:val="003A11FC"/>
    <w:rsid w:val="003C3FDB"/>
    <w:rsid w:val="003E3B32"/>
    <w:rsid w:val="003E747E"/>
    <w:rsid w:val="00421189"/>
    <w:rsid w:val="004A3D0D"/>
    <w:rsid w:val="004C107A"/>
    <w:rsid w:val="004C2018"/>
    <w:rsid w:val="004C67A1"/>
    <w:rsid w:val="004E7879"/>
    <w:rsid w:val="004F5B36"/>
    <w:rsid w:val="00544404"/>
    <w:rsid w:val="00552233"/>
    <w:rsid w:val="005606FD"/>
    <w:rsid w:val="005768D0"/>
    <w:rsid w:val="00580EC3"/>
    <w:rsid w:val="00583CB0"/>
    <w:rsid w:val="00591679"/>
    <w:rsid w:val="005B6BD2"/>
    <w:rsid w:val="005D3459"/>
    <w:rsid w:val="005E0780"/>
    <w:rsid w:val="005E3E92"/>
    <w:rsid w:val="005F521E"/>
    <w:rsid w:val="00696DF9"/>
    <w:rsid w:val="006A0F9A"/>
    <w:rsid w:val="006A37D7"/>
    <w:rsid w:val="006F56DD"/>
    <w:rsid w:val="0070569D"/>
    <w:rsid w:val="00712F4F"/>
    <w:rsid w:val="00750A8F"/>
    <w:rsid w:val="007635AD"/>
    <w:rsid w:val="007713CF"/>
    <w:rsid w:val="0077252A"/>
    <w:rsid w:val="0077722D"/>
    <w:rsid w:val="007E6ABC"/>
    <w:rsid w:val="007F1CAE"/>
    <w:rsid w:val="00824D52"/>
    <w:rsid w:val="0086181C"/>
    <w:rsid w:val="00870AF5"/>
    <w:rsid w:val="008866F5"/>
    <w:rsid w:val="00895F9E"/>
    <w:rsid w:val="008B0FA6"/>
    <w:rsid w:val="009316EB"/>
    <w:rsid w:val="009372D4"/>
    <w:rsid w:val="00946C34"/>
    <w:rsid w:val="00965AAF"/>
    <w:rsid w:val="00994228"/>
    <w:rsid w:val="009D7236"/>
    <w:rsid w:val="009E2669"/>
    <w:rsid w:val="009E301F"/>
    <w:rsid w:val="00A202AE"/>
    <w:rsid w:val="00A421C8"/>
    <w:rsid w:val="00A46EF7"/>
    <w:rsid w:val="00A5119D"/>
    <w:rsid w:val="00A515C1"/>
    <w:rsid w:val="00A601AF"/>
    <w:rsid w:val="00A63BFB"/>
    <w:rsid w:val="00A720B9"/>
    <w:rsid w:val="00A81148"/>
    <w:rsid w:val="00A90EE2"/>
    <w:rsid w:val="00AA309B"/>
    <w:rsid w:val="00AC5561"/>
    <w:rsid w:val="00AD5D32"/>
    <w:rsid w:val="00AD5D95"/>
    <w:rsid w:val="00B17F32"/>
    <w:rsid w:val="00B33263"/>
    <w:rsid w:val="00B53575"/>
    <w:rsid w:val="00B711E7"/>
    <w:rsid w:val="00B772FA"/>
    <w:rsid w:val="00B92A63"/>
    <w:rsid w:val="00BB3323"/>
    <w:rsid w:val="00BC18D1"/>
    <w:rsid w:val="00BE16AB"/>
    <w:rsid w:val="00C02D53"/>
    <w:rsid w:val="00C1615E"/>
    <w:rsid w:val="00C2404B"/>
    <w:rsid w:val="00C36E25"/>
    <w:rsid w:val="00C43288"/>
    <w:rsid w:val="00C52CDF"/>
    <w:rsid w:val="00C55563"/>
    <w:rsid w:val="00C86315"/>
    <w:rsid w:val="00C91348"/>
    <w:rsid w:val="00CC081D"/>
    <w:rsid w:val="00D03AA8"/>
    <w:rsid w:val="00D0576E"/>
    <w:rsid w:val="00D07EE6"/>
    <w:rsid w:val="00D702F7"/>
    <w:rsid w:val="00D723EC"/>
    <w:rsid w:val="00D772ED"/>
    <w:rsid w:val="00DD58B6"/>
    <w:rsid w:val="00DD7C24"/>
    <w:rsid w:val="00DE5139"/>
    <w:rsid w:val="00E56012"/>
    <w:rsid w:val="00E8756F"/>
    <w:rsid w:val="00E957C6"/>
    <w:rsid w:val="00EA4DFF"/>
    <w:rsid w:val="00EE2444"/>
    <w:rsid w:val="00F1192B"/>
    <w:rsid w:val="00F15771"/>
    <w:rsid w:val="00F245F2"/>
    <w:rsid w:val="00F41EC9"/>
    <w:rsid w:val="00F554F2"/>
    <w:rsid w:val="00F84954"/>
    <w:rsid w:val="00FA772B"/>
    <w:rsid w:val="00FE19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2C0F1"/>
  <w15:chartTrackingRefBased/>
  <w15:docId w15:val="{387422D5-8363-40B7-BD8C-824EC8A27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2FA"/>
    <w:pPr>
      <w:spacing w:after="0" w:line="240" w:lineRule="auto"/>
      <w:jc w:val="both"/>
    </w:pPr>
    <w:rPr>
      <w:rFonts w:ascii="Times New Roman" w:hAnsi="Times New Roman" w:cs="Times New Roman"/>
      <w:sz w:val="24"/>
      <w:szCs w:val="24"/>
      <w:lang w:val="es-PE"/>
    </w:rPr>
  </w:style>
  <w:style w:type="paragraph" w:styleId="Ttulo1">
    <w:name w:val="heading 1"/>
    <w:basedOn w:val="Normal"/>
    <w:next w:val="Normal"/>
    <w:link w:val="Ttulo1Car"/>
    <w:uiPriority w:val="9"/>
    <w:qFormat/>
    <w:rsid w:val="00B772F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772F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B772FA"/>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B772FA"/>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B772FA"/>
    <w:pPr>
      <w:keepNext/>
      <w:keepLines/>
      <w:spacing w:before="20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772FA"/>
    <w:rPr>
      <w:rFonts w:asciiTheme="majorHAnsi" w:eastAsiaTheme="majorEastAsia" w:hAnsiTheme="majorHAnsi" w:cstheme="majorBidi"/>
      <w:color w:val="2E74B5" w:themeColor="accent1" w:themeShade="BF"/>
      <w:sz w:val="32"/>
      <w:szCs w:val="32"/>
      <w:lang w:val="es-PE"/>
    </w:rPr>
  </w:style>
  <w:style w:type="character" w:customStyle="1" w:styleId="Ttulo2Car">
    <w:name w:val="Título 2 Car"/>
    <w:basedOn w:val="Fuentedeprrafopredeter"/>
    <w:link w:val="Ttulo2"/>
    <w:uiPriority w:val="9"/>
    <w:rsid w:val="00B772FA"/>
    <w:rPr>
      <w:rFonts w:asciiTheme="majorHAnsi" w:eastAsiaTheme="majorEastAsia" w:hAnsiTheme="majorHAnsi" w:cstheme="majorBidi"/>
      <w:color w:val="2E74B5" w:themeColor="accent1" w:themeShade="BF"/>
      <w:sz w:val="26"/>
      <w:szCs w:val="26"/>
      <w:lang w:val="es-PE"/>
    </w:rPr>
  </w:style>
  <w:style w:type="character" w:customStyle="1" w:styleId="Ttulo3Car">
    <w:name w:val="Título 3 Car"/>
    <w:basedOn w:val="Fuentedeprrafopredeter"/>
    <w:link w:val="Ttulo3"/>
    <w:uiPriority w:val="9"/>
    <w:rsid w:val="00B772FA"/>
    <w:rPr>
      <w:rFonts w:asciiTheme="majorHAnsi" w:eastAsiaTheme="majorEastAsia" w:hAnsiTheme="majorHAnsi" w:cstheme="majorBidi"/>
      <w:color w:val="1F4D78" w:themeColor="accent1" w:themeShade="7F"/>
      <w:sz w:val="24"/>
      <w:szCs w:val="24"/>
      <w:lang w:val="es-PE"/>
    </w:rPr>
  </w:style>
  <w:style w:type="character" w:customStyle="1" w:styleId="Ttulo4Car">
    <w:name w:val="Título 4 Car"/>
    <w:basedOn w:val="Fuentedeprrafopredeter"/>
    <w:link w:val="Ttulo4"/>
    <w:uiPriority w:val="9"/>
    <w:rsid w:val="00B772FA"/>
    <w:rPr>
      <w:rFonts w:asciiTheme="majorHAnsi" w:eastAsiaTheme="majorEastAsia" w:hAnsiTheme="majorHAnsi" w:cstheme="majorBidi"/>
      <w:i/>
      <w:iCs/>
      <w:color w:val="2E74B5" w:themeColor="accent1" w:themeShade="BF"/>
      <w:sz w:val="24"/>
      <w:szCs w:val="24"/>
      <w:lang w:val="es-PE"/>
    </w:rPr>
  </w:style>
  <w:style w:type="character" w:customStyle="1" w:styleId="Ttulo5Car">
    <w:name w:val="Título 5 Car"/>
    <w:basedOn w:val="Fuentedeprrafopredeter"/>
    <w:link w:val="Ttulo5"/>
    <w:uiPriority w:val="9"/>
    <w:semiHidden/>
    <w:rsid w:val="00B772FA"/>
    <w:rPr>
      <w:rFonts w:asciiTheme="majorHAnsi" w:eastAsiaTheme="majorEastAsia" w:hAnsiTheme="majorHAnsi" w:cstheme="majorBidi"/>
      <w:color w:val="1F4D78" w:themeColor="accent1" w:themeShade="7F"/>
      <w:sz w:val="24"/>
      <w:szCs w:val="24"/>
      <w:lang w:val="es-PE"/>
    </w:rPr>
  </w:style>
  <w:style w:type="paragraph" w:styleId="Prrafodelista">
    <w:name w:val="List Paragraph"/>
    <w:aliases w:val="w Parrafo numerado,Lista vistosa - Énfasis 11"/>
    <w:basedOn w:val="Normal"/>
    <w:link w:val="PrrafodelistaCar"/>
    <w:uiPriority w:val="34"/>
    <w:qFormat/>
    <w:rsid w:val="00B772FA"/>
    <w:pPr>
      <w:ind w:left="720"/>
      <w:contextualSpacing/>
    </w:pPr>
  </w:style>
  <w:style w:type="character" w:customStyle="1" w:styleId="PrrafodelistaCar">
    <w:name w:val="Párrafo de lista Car"/>
    <w:aliases w:val="w Parrafo numerado Car,Lista vistosa - Énfasis 11 Car"/>
    <w:link w:val="Prrafodelista"/>
    <w:uiPriority w:val="34"/>
    <w:locked/>
    <w:rsid w:val="00B772FA"/>
    <w:rPr>
      <w:rFonts w:ascii="Times New Roman" w:hAnsi="Times New Roman" w:cs="Times New Roman"/>
      <w:sz w:val="24"/>
      <w:szCs w:val="24"/>
      <w:lang w:val="es-PE"/>
    </w:rPr>
  </w:style>
  <w:style w:type="paragraph" w:styleId="TtuloTDC">
    <w:name w:val="TOC Heading"/>
    <w:basedOn w:val="Ttulo1"/>
    <w:next w:val="Normal"/>
    <w:uiPriority w:val="39"/>
    <w:unhideWhenUsed/>
    <w:qFormat/>
    <w:rsid w:val="00B772FA"/>
    <w:pPr>
      <w:spacing w:line="259" w:lineRule="auto"/>
      <w:jc w:val="left"/>
      <w:outlineLvl w:val="9"/>
    </w:pPr>
    <w:rPr>
      <w:lang w:eastAsia="es-PE"/>
    </w:rPr>
  </w:style>
  <w:style w:type="paragraph" w:styleId="Textodeglobo">
    <w:name w:val="Balloon Text"/>
    <w:basedOn w:val="Normal"/>
    <w:link w:val="TextodegloboCar"/>
    <w:uiPriority w:val="99"/>
    <w:semiHidden/>
    <w:unhideWhenUsed/>
    <w:rsid w:val="00B772F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72FA"/>
    <w:rPr>
      <w:rFonts w:ascii="Segoe UI" w:hAnsi="Segoe UI" w:cs="Segoe UI"/>
      <w:sz w:val="18"/>
      <w:szCs w:val="18"/>
      <w:lang w:val="es-PE"/>
    </w:rPr>
  </w:style>
  <w:style w:type="paragraph" w:styleId="Textonotapie">
    <w:name w:val="footnote text"/>
    <w:aliases w:val="fn,footnote text,Footnote ak,Footnotes,ft,fn cafc,Footnote Text Char,ALTS FOOTNOTE Char,Footnote Text Char1 Char,Footnote Text Char Char Char,Footnote Text Char1 Char Char Char,Footnote Text Char Char Char Char Char,Footnotes Char Char,C"/>
    <w:basedOn w:val="Normal"/>
    <w:link w:val="TextonotapieCar"/>
    <w:uiPriority w:val="99"/>
    <w:unhideWhenUsed/>
    <w:qFormat/>
    <w:rsid w:val="00B772FA"/>
    <w:rPr>
      <w:sz w:val="20"/>
      <w:szCs w:val="20"/>
    </w:rPr>
  </w:style>
  <w:style w:type="character" w:customStyle="1" w:styleId="TextonotapieCar">
    <w:name w:val="Texto nota pie Car"/>
    <w:aliases w:val="fn Car,footnote text Car,Footnote ak Car,Footnotes Car,ft Car,fn cafc Car,Footnote Text Char Car,ALTS FOOTNOTE Char Car,Footnote Text Char1 Char Car,Footnote Text Char Char Char Car,Footnote Text Char1 Char Char Char Car,C Car1"/>
    <w:basedOn w:val="Fuentedeprrafopredeter"/>
    <w:link w:val="Textonotapie"/>
    <w:uiPriority w:val="99"/>
    <w:rsid w:val="00B772FA"/>
    <w:rPr>
      <w:rFonts w:ascii="Times New Roman" w:hAnsi="Times New Roman" w:cs="Times New Roman"/>
      <w:sz w:val="20"/>
      <w:szCs w:val="20"/>
      <w:lang w:val="es-PE"/>
    </w:rPr>
  </w:style>
  <w:style w:type="character" w:styleId="Refdenotaalpie">
    <w:name w:val="footnote reference"/>
    <w:aliases w:val="Ref,de nota al pie,註腳內容,16 Point,Superscript 6 Point,FC,de nota al pie + (Asian) MS Mincho,11 pt,Footnote Reference1,Ref1,de nota al pie1,Ref.,de,nota,al,pie,註?腳內—e,Referencia nota al pie,Car2 Car1,Car Car1 C,-E Fußnotenzeichen,11"/>
    <w:basedOn w:val="Fuentedeprrafopredeter"/>
    <w:uiPriority w:val="99"/>
    <w:unhideWhenUsed/>
    <w:qFormat/>
    <w:rsid w:val="00B772FA"/>
    <w:rPr>
      <w:vertAlign w:val="superscript"/>
    </w:rPr>
  </w:style>
  <w:style w:type="character" w:styleId="Refdecomentario">
    <w:name w:val="annotation reference"/>
    <w:basedOn w:val="Fuentedeprrafopredeter"/>
    <w:uiPriority w:val="99"/>
    <w:semiHidden/>
    <w:unhideWhenUsed/>
    <w:rsid w:val="00B772FA"/>
    <w:rPr>
      <w:sz w:val="16"/>
      <w:szCs w:val="16"/>
    </w:rPr>
  </w:style>
  <w:style w:type="paragraph" w:styleId="Textocomentario">
    <w:name w:val="annotation text"/>
    <w:basedOn w:val="Normal"/>
    <w:link w:val="TextocomentarioCar"/>
    <w:uiPriority w:val="99"/>
    <w:unhideWhenUsed/>
    <w:rsid w:val="00B772FA"/>
    <w:rPr>
      <w:sz w:val="20"/>
      <w:szCs w:val="20"/>
    </w:rPr>
  </w:style>
  <w:style w:type="character" w:customStyle="1" w:styleId="TextocomentarioCar">
    <w:name w:val="Texto comentario Car"/>
    <w:basedOn w:val="Fuentedeprrafopredeter"/>
    <w:link w:val="Textocomentario"/>
    <w:uiPriority w:val="99"/>
    <w:rsid w:val="00B772FA"/>
    <w:rPr>
      <w:rFonts w:ascii="Times New Roman" w:hAnsi="Times New Roman" w:cs="Times New Roman"/>
      <w:sz w:val="20"/>
      <w:szCs w:val="20"/>
      <w:lang w:val="es-PE"/>
    </w:rPr>
  </w:style>
  <w:style w:type="paragraph" w:styleId="Asuntodelcomentario">
    <w:name w:val="annotation subject"/>
    <w:basedOn w:val="Textocomentario"/>
    <w:next w:val="Textocomentario"/>
    <w:link w:val="AsuntodelcomentarioCar"/>
    <w:uiPriority w:val="99"/>
    <w:semiHidden/>
    <w:unhideWhenUsed/>
    <w:rsid w:val="00B772FA"/>
    <w:rPr>
      <w:b/>
      <w:bCs/>
    </w:rPr>
  </w:style>
  <w:style w:type="character" w:customStyle="1" w:styleId="AsuntodelcomentarioCar">
    <w:name w:val="Asunto del comentario Car"/>
    <w:basedOn w:val="TextocomentarioCar"/>
    <w:link w:val="Asuntodelcomentario"/>
    <w:uiPriority w:val="99"/>
    <w:semiHidden/>
    <w:rsid w:val="00B772FA"/>
    <w:rPr>
      <w:rFonts w:ascii="Times New Roman" w:hAnsi="Times New Roman" w:cs="Times New Roman"/>
      <w:b/>
      <w:bCs/>
      <w:sz w:val="20"/>
      <w:szCs w:val="20"/>
      <w:lang w:val="es-PE"/>
    </w:rPr>
  </w:style>
  <w:style w:type="paragraph" w:styleId="Revisin">
    <w:name w:val="Revision"/>
    <w:hidden/>
    <w:uiPriority w:val="99"/>
    <w:semiHidden/>
    <w:rsid w:val="00B772FA"/>
    <w:pPr>
      <w:spacing w:after="0" w:line="240" w:lineRule="auto"/>
    </w:pPr>
    <w:rPr>
      <w:rFonts w:ascii="Times New Roman" w:hAnsi="Times New Roman" w:cs="Times New Roman"/>
      <w:sz w:val="24"/>
      <w:szCs w:val="24"/>
      <w:lang w:val="es-PE"/>
    </w:rPr>
  </w:style>
  <w:style w:type="character" w:styleId="Hipervnculo">
    <w:name w:val="Hyperlink"/>
    <w:basedOn w:val="Fuentedeprrafopredeter"/>
    <w:uiPriority w:val="99"/>
    <w:unhideWhenUsed/>
    <w:rsid w:val="00B772FA"/>
    <w:rPr>
      <w:color w:val="0563C1" w:themeColor="hyperlink"/>
      <w:u w:val="single"/>
    </w:rPr>
  </w:style>
  <w:style w:type="character" w:customStyle="1" w:styleId="Estilo12pt">
    <w:name w:val="Estilo 12 pt"/>
    <w:rsid w:val="00B772FA"/>
    <w:rPr>
      <w:rFonts w:ascii="Arial" w:hAnsi="Arial"/>
      <w:sz w:val="22"/>
    </w:rPr>
  </w:style>
  <w:style w:type="paragraph" w:customStyle="1" w:styleId="BodytextADBmodules">
    <w:name w:val="Body text ADB modules"/>
    <w:basedOn w:val="Normal"/>
    <w:rsid w:val="00B772FA"/>
    <w:pPr>
      <w:tabs>
        <w:tab w:val="left" w:pos="0"/>
        <w:tab w:val="left" w:pos="720"/>
      </w:tabs>
      <w:autoSpaceDE w:val="0"/>
      <w:autoSpaceDN w:val="0"/>
      <w:adjustRightInd w:val="0"/>
    </w:pPr>
    <w:rPr>
      <w:rFonts w:eastAsia="Batang"/>
      <w:spacing w:val="-5"/>
      <w:sz w:val="23"/>
      <w:szCs w:val="23"/>
      <w:lang w:val="en-US" w:eastAsia="nl-NL"/>
    </w:rPr>
  </w:style>
  <w:style w:type="paragraph" w:customStyle="1" w:styleId="ADBfootnote">
    <w:name w:val="ADB footnote"/>
    <w:basedOn w:val="Textonotapie"/>
    <w:rsid w:val="00B772FA"/>
    <w:pPr>
      <w:tabs>
        <w:tab w:val="left" w:pos="0"/>
        <w:tab w:val="left" w:pos="720"/>
      </w:tabs>
    </w:pPr>
    <w:rPr>
      <w:rFonts w:ascii="Arial Black" w:eastAsia="Batang" w:hAnsi="Arial Black"/>
      <w:color w:val="808080"/>
      <w:sz w:val="13"/>
      <w:szCs w:val="13"/>
      <w:lang w:val="en-GB" w:eastAsia="nl-NL"/>
    </w:rPr>
  </w:style>
  <w:style w:type="paragraph" w:styleId="HTMLconformatoprevio">
    <w:name w:val="HTML Preformatted"/>
    <w:basedOn w:val="Normal"/>
    <w:link w:val="HTMLconformatoprevioCar"/>
    <w:uiPriority w:val="99"/>
    <w:unhideWhenUsed/>
    <w:rsid w:val="00B77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B772FA"/>
    <w:rPr>
      <w:rFonts w:ascii="Courier New" w:eastAsia="Times New Roman" w:hAnsi="Courier New" w:cs="Courier New"/>
      <w:sz w:val="20"/>
      <w:szCs w:val="20"/>
      <w:lang w:val="es-PE" w:eastAsia="es-PE"/>
    </w:rPr>
  </w:style>
  <w:style w:type="paragraph" w:styleId="Textoindependiente">
    <w:name w:val="Body Text"/>
    <w:aliases w:val="b,Body Text Char,Body Text Char1,Body Text Char Char,Body Text Char1 Char Char,Body Text Char Char Char Char,Body Text Char1 Char Char Char Char,Body Text Char Char Char Char Char Char,Body Text Char1 Char Char Char Char Char Char"/>
    <w:basedOn w:val="Normal"/>
    <w:link w:val="TextoindependienteCar"/>
    <w:rsid w:val="00B772FA"/>
    <w:pPr>
      <w:tabs>
        <w:tab w:val="left" w:pos="0"/>
        <w:tab w:val="left" w:pos="720"/>
      </w:tabs>
      <w:spacing w:after="240"/>
    </w:pPr>
    <w:rPr>
      <w:rFonts w:eastAsia="Batang"/>
      <w:spacing w:val="-5"/>
      <w:szCs w:val="20"/>
      <w:lang w:val="en-US" w:eastAsia="nl-NL"/>
    </w:rPr>
  </w:style>
  <w:style w:type="character" w:customStyle="1" w:styleId="TextoindependienteCar">
    <w:name w:val="Texto independiente Car"/>
    <w:aliases w:val="b Car,Body Text Char Car,Body Text Char1 Car,Body Text Char Char Car,Body Text Char1 Char Char Car,Body Text Char Char Char Char Car,Body Text Char1 Char Char Char Char Car,Body Text Char Char Char Char Char Char Car"/>
    <w:basedOn w:val="Fuentedeprrafopredeter"/>
    <w:link w:val="Textoindependiente"/>
    <w:rsid w:val="00B772FA"/>
    <w:rPr>
      <w:rFonts w:ascii="Times New Roman" w:eastAsia="Batang" w:hAnsi="Times New Roman" w:cs="Times New Roman"/>
      <w:spacing w:val="-5"/>
      <w:sz w:val="24"/>
      <w:szCs w:val="20"/>
      <w:lang w:val="en-US" w:eastAsia="nl-NL"/>
    </w:rPr>
  </w:style>
  <w:style w:type="table" w:styleId="Tablaconcuadrcula">
    <w:name w:val="Table Grid"/>
    <w:basedOn w:val="Tablanormal"/>
    <w:uiPriority w:val="39"/>
    <w:rsid w:val="00B772FA"/>
    <w:pPr>
      <w:spacing w:after="0" w:line="240" w:lineRule="auto"/>
      <w:jc w:val="both"/>
    </w:pPr>
    <w:rPr>
      <w:rFonts w:ascii="Times New Roman" w:hAnsi="Times New Roman" w:cs="Times New Roman"/>
      <w:sz w:val="24"/>
      <w:szCs w:val="24"/>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B772FA"/>
    <w:pPr>
      <w:tabs>
        <w:tab w:val="left" w:pos="709"/>
        <w:tab w:val="right" w:leader="dot" w:pos="8918"/>
      </w:tabs>
      <w:spacing w:after="100"/>
      <w:ind w:left="567" w:hanging="327"/>
    </w:pPr>
  </w:style>
  <w:style w:type="paragraph" w:styleId="TDC3">
    <w:name w:val="toc 3"/>
    <w:basedOn w:val="Normal"/>
    <w:next w:val="Normal"/>
    <w:autoRedefine/>
    <w:uiPriority w:val="39"/>
    <w:unhideWhenUsed/>
    <w:rsid w:val="00B772FA"/>
    <w:pPr>
      <w:tabs>
        <w:tab w:val="left" w:pos="1320"/>
        <w:tab w:val="right" w:leader="dot" w:pos="8918"/>
      </w:tabs>
      <w:spacing w:after="100"/>
      <w:ind w:left="567"/>
    </w:pPr>
  </w:style>
  <w:style w:type="paragraph" w:styleId="Encabezado">
    <w:name w:val="header"/>
    <w:basedOn w:val="Normal"/>
    <w:link w:val="EncabezadoCar"/>
    <w:uiPriority w:val="99"/>
    <w:unhideWhenUsed/>
    <w:rsid w:val="00B772FA"/>
    <w:pPr>
      <w:tabs>
        <w:tab w:val="center" w:pos="4252"/>
        <w:tab w:val="right" w:pos="8504"/>
      </w:tabs>
    </w:pPr>
  </w:style>
  <w:style w:type="character" w:customStyle="1" w:styleId="EncabezadoCar">
    <w:name w:val="Encabezado Car"/>
    <w:basedOn w:val="Fuentedeprrafopredeter"/>
    <w:link w:val="Encabezado"/>
    <w:uiPriority w:val="99"/>
    <w:rsid w:val="00B772FA"/>
    <w:rPr>
      <w:rFonts w:ascii="Times New Roman" w:hAnsi="Times New Roman" w:cs="Times New Roman"/>
      <w:sz w:val="24"/>
      <w:szCs w:val="24"/>
      <w:lang w:val="es-PE"/>
    </w:rPr>
  </w:style>
  <w:style w:type="paragraph" w:styleId="Piedepgina">
    <w:name w:val="footer"/>
    <w:basedOn w:val="Normal"/>
    <w:link w:val="PiedepginaCar"/>
    <w:uiPriority w:val="99"/>
    <w:unhideWhenUsed/>
    <w:rsid w:val="00B772FA"/>
    <w:pPr>
      <w:tabs>
        <w:tab w:val="center" w:pos="4252"/>
        <w:tab w:val="right" w:pos="8504"/>
      </w:tabs>
    </w:pPr>
  </w:style>
  <w:style w:type="character" w:customStyle="1" w:styleId="PiedepginaCar">
    <w:name w:val="Pie de página Car"/>
    <w:basedOn w:val="Fuentedeprrafopredeter"/>
    <w:link w:val="Piedepgina"/>
    <w:uiPriority w:val="99"/>
    <w:rsid w:val="00B772FA"/>
    <w:rPr>
      <w:rFonts w:ascii="Times New Roman" w:hAnsi="Times New Roman" w:cs="Times New Roman"/>
      <w:sz w:val="24"/>
      <w:szCs w:val="24"/>
      <w:lang w:val="es-PE"/>
    </w:rPr>
  </w:style>
  <w:style w:type="paragraph" w:styleId="Sinespaciado">
    <w:name w:val="No Spacing"/>
    <w:link w:val="SinespaciadoCar"/>
    <w:uiPriority w:val="1"/>
    <w:qFormat/>
    <w:rsid w:val="00B772FA"/>
    <w:pPr>
      <w:spacing w:after="0" w:line="240" w:lineRule="auto"/>
      <w:ind w:left="709" w:hanging="709"/>
      <w:jc w:val="both"/>
    </w:pPr>
    <w:rPr>
      <w:rFonts w:ascii="Calibri" w:eastAsia="Calibri" w:hAnsi="Calibri" w:cs="Times New Roman"/>
      <w:lang w:val="es-ES"/>
    </w:rPr>
  </w:style>
  <w:style w:type="character" w:customStyle="1" w:styleId="SinespaciadoCar">
    <w:name w:val="Sin espaciado Car"/>
    <w:basedOn w:val="Fuentedeprrafopredeter"/>
    <w:link w:val="Sinespaciado"/>
    <w:uiPriority w:val="1"/>
    <w:rsid w:val="008866F5"/>
    <w:rPr>
      <w:rFonts w:ascii="Calibri" w:eastAsia="Calibri" w:hAnsi="Calibri" w:cs="Times New Roman"/>
      <w:lang w:val="es-ES"/>
    </w:rPr>
  </w:style>
  <w:style w:type="paragraph" w:styleId="Listaconvietas">
    <w:name w:val="List Bullet"/>
    <w:basedOn w:val="Normal"/>
    <w:uiPriority w:val="99"/>
    <w:unhideWhenUsed/>
    <w:rsid w:val="00B772FA"/>
    <w:pPr>
      <w:numPr>
        <w:numId w:val="3"/>
      </w:numPr>
      <w:contextualSpacing/>
    </w:pPr>
  </w:style>
  <w:style w:type="paragraph" w:customStyle="1" w:styleId="gaceta">
    <w:name w:val="gaceta"/>
    <w:rsid w:val="00B772FA"/>
    <w:pPr>
      <w:tabs>
        <w:tab w:val="left" w:pos="240"/>
        <w:tab w:val="left" w:pos="1560"/>
      </w:tabs>
      <w:spacing w:after="0" w:line="240" w:lineRule="auto"/>
      <w:jc w:val="both"/>
    </w:pPr>
    <w:rPr>
      <w:rFonts w:ascii="Helvetica" w:eastAsia="Times New Roman" w:hAnsi="Helvetica" w:cs="Times New Roman"/>
      <w:snapToGrid w:val="0"/>
      <w:color w:val="000000"/>
      <w:sz w:val="20"/>
      <w:szCs w:val="20"/>
      <w:lang w:val="es-ES" w:eastAsia="es-ES"/>
    </w:rPr>
  </w:style>
  <w:style w:type="paragraph" w:customStyle="1" w:styleId="atit">
    <w:name w:val="atit"/>
    <w:basedOn w:val="gaceta"/>
    <w:rsid w:val="00B772FA"/>
    <w:pPr>
      <w:tabs>
        <w:tab w:val="clear" w:pos="240"/>
        <w:tab w:val="clear" w:pos="1560"/>
      </w:tabs>
      <w:jc w:val="center"/>
    </w:pPr>
    <w:rPr>
      <w:color w:val="auto"/>
      <w:sz w:val="24"/>
    </w:rPr>
  </w:style>
  <w:style w:type="paragraph" w:customStyle="1" w:styleId="atab1">
    <w:name w:val="atab1"/>
    <w:basedOn w:val="gaceta"/>
    <w:rsid w:val="00B772FA"/>
    <w:pPr>
      <w:tabs>
        <w:tab w:val="clear" w:pos="240"/>
        <w:tab w:val="left" w:pos="260"/>
      </w:tabs>
      <w:ind w:left="240" w:hanging="240"/>
    </w:pPr>
    <w:rPr>
      <w:color w:val="auto"/>
    </w:rPr>
  </w:style>
  <w:style w:type="paragraph" w:customStyle="1" w:styleId="m7764954643073477568gmail-msonospacing">
    <w:name w:val="m_7764954643073477568gmail-msonospacing"/>
    <w:basedOn w:val="Normal"/>
    <w:rsid w:val="00B772FA"/>
    <w:pPr>
      <w:spacing w:before="100" w:beforeAutospacing="1" w:after="100" w:afterAutospacing="1"/>
      <w:jc w:val="left"/>
    </w:pPr>
    <w:rPr>
      <w:rFonts w:eastAsia="Times New Roman"/>
      <w:lang w:eastAsia="es-PE"/>
    </w:rPr>
  </w:style>
  <w:style w:type="character" w:customStyle="1" w:styleId="m-9110791725843658306msohyperlink">
    <w:name w:val="m_-9110791725843658306msohyperlink"/>
    <w:basedOn w:val="Fuentedeprrafopredeter"/>
    <w:rsid w:val="00B772FA"/>
  </w:style>
  <w:style w:type="paragraph" w:customStyle="1" w:styleId="m-9110791725843658306msonospacing">
    <w:name w:val="m_-9110791725843658306msonospacing"/>
    <w:basedOn w:val="Normal"/>
    <w:rsid w:val="00B772FA"/>
    <w:pPr>
      <w:spacing w:before="100" w:beforeAutospacing="1" w:after="100" w:afterAutospacing="1"/>
      <w:jc w:val="left"/>
    </w:pPr>
    <w:rPr>
      <w:rFonts w:eastAsia="Times New Roman"/>
      <w:lang w:eastAsia="es-PE"/>
    </w:rPr>
  </w:style>
  <w:style w:type="paragraph" w:styleId="Sangra3detindependiente">
    <w:name w:val="Body Text Indent 3"/>
    <w:basedOn w:val="Normal"/>
    <w:link w:val="Sangra3detindependienteCar"/>
    <w:uiPriority w:val="99"/>
    <w:semiHidden/>
    <w:unhideWhenUsed/>
    <w:rsid w:val="00B772F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B772FA"/>
    <w:rPr>
      <w:rFonts w:ascii="Times New Roman" w:hAnsi="Times New Roman" w:cs="Times New Roman"/>
      <w:sz w:val="16"/>
      <w:szCs w:val="16"/>
      <w:lang w:val="es-PE"/>
    </w:rPr>
  </w:style>
  <w:style w:type="paragraph" w:styleId="Textoindependiente3">
    <w:name w:val="Body Text 3"/>
    <w:basedOn w:val="Normal"/>
    <w:link w:val="Textoindependiente3Car"/>
    <w:uiPriority w:val="99"/>
    <w:semiHidden/>
    <w:unhideWhenUsed/>
    <w:rsid w:val="00B772F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772FA"/>
    <w:rPr>
      <w:rFonts w:ascii="Times New Roman" w:hAnsi="Times New Roman" w:cs="Times New Roman"/>
      <w:sz w:val="16"/>
      <w:szCs w:val="16"/>
      <w:lang w:val="es-PE"/>
    </w:rPr>
  </w:style>
  <w:style w:type="character" w:customStyle="1" w:styleId="Bold">
    <w:name w:val="Bold"/>
    <w:basedOn w:val="Fuentedeprrafopredeter"/>
    <w:rsid w:val="00B772FA"/>
    <w:rPr>
      <w:b/>
      <w:bCs/>
    </w:rPr>
  </w:style>
  <w:style w:type="paragraph" w:customStyle="1" w:styleId="Default">
    <w:name w:val="Default"/>
    <w:rsid w:val="00B772FA"/>
    <w:pPr>
      <w:autoSpaceDE w:val="0"/>
      <w:autoSpaceDN w:val="0"/>
      <w:adjustRightInd w:val="0"/>
      <w:spacing w:after="0" w:line="240" w:lineRule="auto"/>
    </w:pPr>
    <w:rPr>
      <w:rFonts w:ascii="Arial" w:hAnsi="Arial" w:cs="Arial"/>
      <w:color w:val="000000"/>
      <w:sz w:val="24"/>
      <w:szCs w:val="24"/>
      <w:lang w:val="es-PE"/>
    </w:rPr>
  </w:style>
  <w:style w:type="paragraph" w:customStyle="1" w:styleId="xxmsonormal">
    <w:name w:val="x_xmsonormal"/>
    <w:basedOn w:val="Normal"/>
    <w:uiPriority w:val="99"/>
    <w:rsid w:val="00B772FA"/>
    <w:pPr>
      <w:jc w:val="left"/>
    </w:pPr>
    <w:rPr>
      <w:lang w:eastAsia="es-PE"/>
    </w:rPr>
  </w:style>
  <w:style w:type="table" w:customStyle="1" w:styleId="TableNormal">
    <w:name w:val="Table Normal"/>
    <w:uiPriority w:val="2"/>
    <w:semiHidden/>
    <w:unhideWhenUsed/>
    <w:qFormat/>
    <w:rsid w:val="00B772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72FA"/>
    <w:pPr>
      <w:widowControl w:val="0"/>
      <w:autoSpaceDE w:val="0"/>
      <w:autoSpaceDN w:val="0"/>
      <w:spacing w:before="1" w:line="259" w:lineRule="exact"/>
      <w:ind w:left="107"/>
      <w:jc w:val="left"/>
    </w:pPr>
    <w:rPr>
      <w:rFonts w:eastAsia="Times New Roman"/>
      <w:sz w:val="22"/>
      <w:szCs w:val="22"/>
      <w:lang w:val="es-ES"/>
    </w:rPr>
  </w:style>
  <w:style w:type="paragraph" w:styleId="NormalWeb">
    <w:name w:val="Normal (Web)"/>
    <w:basedOn w:val="Normal"/>
    <w:uiPriority w:val="99"/>
    <w:unhideWhenUsed/>
    <w:rsid w:val="00B772FA"/>
    <w:pPr>
      <w:jc w:val="left"/>
    </w:pPr>
    <w:rPr>
      <w:lang w:eastAsia="es-PE"/>
    </w:rPr>
  </w:style>
  <w:style w:type="character" w:customStyle="1" w:styleId="SangradetextonormalCar">
    <w:name w:val="Sangría de texto normal Car"/>
    <w:basedOn w:val="Fuentedeprrafopredeter"/>
    <w:link w:val="Sangradetextonormal"/>
    <w:uiPriority w:val="99"/>
    <w:semiHidden/>
    <w:rsid w:val="00B772FA"/>
    <w:rPr>
      <w:rFonts w:ascii="Times New Roman" w:hAnsi="Times New Roman" w:cs="Times New Roman"/>
      <w:sz w:val="24"/>
      <w:szCs w:val="24"/>
      <w:lang w:val="es-PE"/>
    </w:rPr>
  </w:style>
  <w:style w:type="paragraph" w:styleId="Sangradetextonormal">
    <w:name w:val="Body Text Indent"/>
    <w:basedOn w:val="Normal"/>
    <w:link w:val="SangradetextonormalCar"/>
    <w:uiPriority w:val="99"/>
    <w:semiHidden/>
    <w:unhideWhenUsed/>
    <w:rsid w:val="00B772FA"/>
    <w:pPr>
      <w:spacing w:after="120"/>
      <w:ind w:left="283"/>
    </w:pPr>
  </w:style>
  <w:style w:type="character" w:customStyle="1" w:styleId="SangradetextonormalCar1">
    <w:name w:val="Sangría de texto normal Car1"/>
    <w:basedOn w:val="Fuentedeprrafopredeter"/>
    <w:uiPriority w:val="99"/>
    <w:semiHidden/>
    <w:rsid w:val="00B772FA"/>
    <w:rPr>
      <w:rFonts w:ascii="Times New Roman" w:hAnsi="Times New Roman" w:cs="Times New Roman"/>
      <w:sz w:val="24"/>
      <w:szCs w:val="24"/>
      <w:lang w:val="es-PE"/>
    </w:rPr>
  </w:style>
  <w:style w:type="character" w:customStyle="1" w:styleId="TextonotaalfinalCar">
    <w:name w:val="Texto nota al final Car"/>
    <w:basedOn w:val="Fuentedeprrafopredeter"/>
    <w:link w:val="Textonotaalfinal"/>
    <w:uiPriority w:val="99"/>
    <w:semiHidden/>
    <w:rsid w:val="00B772FA"/>
    <w:rPr>
      <w:rFonts w:ascii="Times New Roman" w:hAnsi="Times New Roman" w:cs="Times New Roman"/>
      <w:sz w:val="20"/>
      <w:szCs w:val="20"/>
      <w:lang w:val="es-PE"/>
    </w:rPr>
  </w:style>
  <w:style w:type="paragraph" w:styleId="Textonotaalfinal">
    <w:name w:val="endnote text"/>
    <w:basedOn w:val="Normal"/>
    <w:link w:val="TextonotaalfinalCar"/>
    <w:uiPriority w:val="99"/>
    <w:semiHidden/>
    <w:unhideWhenUsed/>
    <w:rsid w:val="00B772FA"/>
    <w:rPr>
      <w:sz w:val="20"/>
      <w:szCs w:val="20"/>
    </w:rPr>
  </w:style>
  <w:style w:type="character" w:customStyle="1" w:styleId="TextonotaalfinalCar1">
    <w:name w:val="Texto nota al final Car1"/>
    <w:basedOn w:val="Fuentedeprrafopredeter"/>
    <w:uiPriority w:val="99"/>
    <w:semiHidden/>
    <w:rsid w:val="00B772FA"/>
    <w:rPr>
      <w:rFonts w:ascii="Times New Roman" w:hAnsi="Times New Roman" w:cs="Times New Roman"/>
      <w:sz w:val="20"/>
      <w:szCs w:val="20"/>
      <w:lang w:val="es-PE"/>
    </w:rPr>
  </w:style>
  <w:style w:type="paragraph" w:customStyle="1" w:styleId="rtejustify">
    <w:name w:val="rtejustify"/>
    <w:basedOn w:val="Normal"/>
    <w:rsid w:val="00B772FA"/>
    <w:pPr>
      <w:spacing w:before="100" w:beforeAutospacing="1" w:after="100" w:afterAutospacing="1"/>
      <w:jc w:val="left"/>
    </w:pPr>
    <w:rPr>
      <w:rFonts w:eastAsia="Times New Roman"/>
      <w:lang w:eastAsia="es-PE"/>
    </w:rPr>
  </w:style>
  <w:style w:type="character" w:customStyle="1" w:styleId="TextonotapieCar1">
    <w:name w:val="Texto nota pie Car1"/>
    <w:aliases w:val="fn Car3,Footnotes Car3,Footnote ak Car3,Footnote Text Char Car3,fn Char Car2,footnote text Char Car2,Footnotes Char Car2,Footnote ak Char Car2,ft Car3,fn cafc Car3,Footnotes Char Char Car3,Footnote Text Char Char Car2, Car Car2,C Car"/>
    <w:uiPriority w:val="99"/>
    <w:locked/>
    <w:rsid w:val="00B772FA"/>
    <w:rPr>
      <w:rFonts w:ascii="Arial" w:hAnsi="Arial"/>
      <w:lang w:val="es-ES" w:eastAsia="es-ES" w:bidi="ar-SA"/>
    </w:rPr>
  </w:style>
  <w:style w:type="character" w:customStyle="1" w:styleId="m-4686361811436686656msofootnotereference">
    <w:name w:val="m_-4686361811436686656msofootnotereference"/>
    <w:basedOn w:val="Fuentedeprrafopredeter"/>
    <w:rsid w:val="008866F5"/>
  </w:style>
  <w:style w:type="character" w:styleId="Textoennegrita">
    <w:name w:val="Strong"/>
    <w:uiPriority w:val="22"/>
    <w:qFormat/>
    <w:rsid w:val="008866F5"/>
    <w:rPr>
      <w:b/>
      <w:bCs/>
    </w:rPr>
  </w:style>
  <w:style w:type="character" w:customStyle="1" w:styleId="normaltextrun">
    <w:name w:val="normaltextrun"/>
    <w:basedOn w:val="Fuentedeprrafopredeter"/>
    <w:rsid w:val="008866F5"/>
  </w:style>
  <w:style w:type="character" w:customStyle="1" w:styleId="eop">
    <w:name w:val="eop"/>
    <w:basedOn w:val="Fuentedeprrafopredeter"/>
    <w:rsid w:val="008866F5"/>
  </w:style>
  <w:style w:type="paragraph" w:customStyle="1" w:styleId="paragraph">
    <w:name w:val="paragraph"/>
    <w:basedOn w:val="Normal"/>
    <w:rsid w:val="008866F5"/>
    <w:pPr>
      <w:spacing w:before="100" w:beforeAutospacing="1" w:after="100" w:afterAutospacing="1"/>
      <w:ind w:left="851" w:hanging="851"/>
      <w:jc w:val="left"/>
    </w:pPr>
    <w:rPr>
      <w:rFonts w:eastAsia="Times New Roman"/>
      <w:lang w:val="es-ES" w:eastAsia="es-ES"/>
    </w:rPr>
  </w:style>
  <w:style w:type="paragraph" w:customStyle="1" w:styleId="AvK">
    <w:name w:val="AvK"/>
    <w:basedOn w:val="Normal"/>
    <w:rsid w:val="008866F5"/>
    <w:rPr>
      <w:rFonts w:ascii="Arial" w:eastAsia="Times New Roman" w:hAnsi="Arial"/>
      <w:szCs w:val="20"/>
      <w:lang w:val="es-VE"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185067">
      <w:bodyDiv w:val="1"/>
      <w:marLeft w:val="0"/>
      <w:marRight w:val="0"/>
      <w:marTop w:val="0"/>
      <w:marBottom w:val="0"/>
      <w:divBdr>
        <w:top w:val="none" w:sz="0" w:space="0" w:color="auto"/>
        <w:left w:val="none" w:sz="0" w:space="0" w:color="auto"/>
        <w:bottom w:val="none" w:sz="0" w:space="0" w:color="auto"/>
        <w:right w:val="none" w:sz="0" w:space="0" w:color="auto"/>
      </w:divBdr>
    </w:div>
    <w:div w:id="243733074">
      <w:bodyDiv w:val="1"/>
      <w:marLeft w:val="0"/>
      <w:marRight w:val="0"/>
      <w:marTop w:val="0"/>
      <w:marBottom w:val="0"/>
      <w:divBdr>
        <w:top w:val="none" w:sz="0" w:space="0" w:color="auto"/>
        <w:left w:val="none" w:sz="0" w:space="0" w:color="auto"/>
        <w:bottom w:val="none" w:sz="0" w:space="0" w:color="auto"/>
        <w:right w:val="none" w:sz="0" w:space="0" w:color="auto"/>
      </w:divBdr>
    </w:div>
    <w:div w:id="416445853">
      <w:bodyDiv w:val="1"/>
      <w:marLeft w:val="0"/>
      <w:marRight w:val="0"/>
      <w:marTop w:val="0"/>
      <w:marBottom w:val="0"/>
      <w:divBdr>
        <w:top w:val="none" w:sz="0" w:space="0" w:color="auto"/>
        <w:left w:val="none" w:sz="0" w:space="0" w:color="auto"/>
        <w:bottom w:val="none" w:sz="0" w:space="0" w:color="auto"/>
        <w:right w:val="none" w:sz="0" w:space="0" w:color="auto"/>
      </w:divBdr>
    </w:div>
    <w:div w:id="603003867">
      <w:bodyDiv w:val="1"/>
      <w:marLeft w:val="0"/>
      <w:marRight w:val="0"/>
      <w:marTop w:val="0"/>
      <w:marBottom w:val="0"/>
      <w:divBdr>
        <w:top w:val="none" w:sz="0" w:space="0" w:color="auto"/>
        <w:left w:val="none" w:sz="0" w:space="0" w:color="auto"/>
        <w:bottom w:val="none" w:sz="0" w:space="0" w:color="auto"/>
        <w:right w:val="none" w:sz="0" w:space="0" w:color="auto"/>
      </w:divBdr>
    </w:div>
    <w:div w:id="729112490">
      <w:bodyDiv w:val="1"/>
      <w:marLeft w:val="0"/>
      <w:marRight w:val="0"/>
      <w:marTop w:val="0"/>
      <w:marBottom w:val="0"/>
      <w:divBdr>
        <w:top w:val="none" w:sz="0" w:space="0" w:color="auto"/>
        <w:left w:val="none" w:sz="0" w:space="0" w:color="auto"/>
        <w:bottom w:val="none" w:sz="0" w:space="0" w:color="auto"/>
        <w:right w:val="none" w:sz="0" w:space="0" w:color="auto"/>
      </w:divBdr>
    </w:div>
    <w:div w:id="905383692">
      <w:bodyDiv w:val="1"/>
      <w:marLeft w:val="0"/>
      <w:marRight w:val="0"/>
      <w:marTop w:val="0"/>
      <w:marBottom w:val="0"/>
      <w:divBdr>
        <w:top w:val="none" w:sz="0" w:space="0" w:color="auto"/>
        <w:left w:val="none" w:sz="0" w:space="0" w:color="auto"/>
        <w:bottom w:val="none" w:sz="0" w:space="0" w:color="auto"/>
        <w:right w:val="none" w:sz="0" w:space="0" w:color="auto"/>
      </w:divBdr>
    </w:div>
    <w:div w:id="1215039660">
      <w:bodyDiv w:val="1"/>
      <w:marLeft w:val="0"/>
      <w:marRight w:val="0"/>
      <w:marTop w:val="0"/>
      <w:marBottom w:val="0"/>
      <w:divBdr>
        <w:top w:val="none" w:sz="0" w:space="0" w:color="auto"/>
        <w:left w:val="none" w:sz="0" w:space="0" w:color="auto"/>
        <w:bottom w:val="none" w:sz="0" w:space="0" w:color="auto"/>
        <w:right w:val="none" w:sz="0" w:space="0" w:color="auto"/>
      </w:divBdr>
    </w:div>
    <w:div w:id="196214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F9488-3799-48EE-B835-A83C7D8E1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1461</Words>
  <Characters>8038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Maria Avila Moreno</cp:lastModifiedBy>
  <cp:revision>4</cp:revision>
  <cp:lastPrinted>2023-10-19T15:29:00Z</cp:lastPrinted>
  <dcterms:created xsi:type="dcterms:W3CDTF">2023-10-19T13:13:00Z</dcterms:created>
  <dcterms:modified xsi:type="dcterms:W3CDTF">2023-10-19T15:29:00Z</dcterms:modified>
</cp:coreProperties>
</file>