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2483A" w14:textId="1DE32C6C" w:rsidR="00F84B64" w:rsidRPr="007D1B90" w:rsidRDefault="006C08AC" w:rsidP="004C1339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7D1B90">
        <w:rPr>
          <w:rFonts w:ascii="Arial" w:hAnsi="Arial" w:cs="Arial"/>
          <w:b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2F2BE3CE" wp14:editId="41CF34FF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1866900" cy="44513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GC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31784" w14:textId="010A0770" w:rsidR="00F84B64" w:rsidRPr="007D1B90" w:rsidRDefault="00F84B64" w:rsidP="004C1339">
      <w:pPr>
        <w:jc w:val="center"/>
        <w:rPr>
          <w:rFonts w:ascii="Arial" w:hAnsi="Arial" w:cs="Arial"/>
          <w:color w:val="auto"/>
          <w:sz w:val="22"/>
          <w:szCs w:val="22"/>
        </w:rPr>
      </w:pPr>
    </w:p>
    <w:p w14:paraId="78CBF720" w14:textId="43D4839B" w:rsidR="00F84B64" w:rsidRPr="007D1B90" w:rsidRDefault="00F84B64" w:rsidP="004C1339">
      <w:pPr>
        <w:jc w:val="center"/>
        <w:rPr>
          <w:rFonts w:ascii="Arial" w:hAnsi="Arial" w:cs="Arial"/>
          <w:color w:val="auto"/>
          <w:sz w:val="22"/>
          <w:szCs w:val="22"/>
        </w:rPr>
      </w:pPr>
    </w:p>
    <w:p w14:paraId="4AC9B5C9" w14:textId="374FD01D" w:rsidR="00F84B64" w:rsidRPr="007D1B90" w:rsidRDefault="00F84B64" w:rsidP="004C1339">
      <w:pPr>
        <w:jc w:val="center"/>
        <w:rPr>
          <w:rFonts w:ascii="Arial" w:hAnsi="Arial" w:cs="Arial"/>
          <w:color w:val="auto"/>
          <w:sz w:val="22"/>
          <w:szCs w:val="22"/>
        </w:rPr>
      </w:pPr>
    </w:p>
    <w:p w14:paraId="0BEFB830" w14:textId="0679C024" w:rsidR="00F84B64" w:rsidRPr="007D1B90" w:rsidRDefault="00F84B64" w:rsidP="004C1339">
      <w:pPr>
        <w:jc w:val="center"/>
        <w:rPr>
          <w:rFonts w:ascii="Arial" w:hAnsi="Arial" w:cs="Arial"/>
          <w:color w:val="auto"/>
          <w:sz w:val="22"/>
          <w:szCs w:val="22"/>
        </w:rPr>
      </w:pPr>
    </w:p>
    <w:p w14:paraId="7C35C52F" w14:textId="43647AFD" w:rsidR="000F010E" w:rsidRPr="007D1B90" w:rsidRDefault="000F010E" w:rsidP="000F010E">
      <w:pPr>
        <w:pStyle w:val="Estilo2"/>
        <w:tabs>
          <w:tab w:val="left" w:pos="425"/>
        </w:tabs>
        <w:spacing w:before="40"/>
        <w:jc w:val="center"/>
        <w:rPr>
          <w:rFonts w:cs="Arial"/>
          <w:b/>
          <w:sz w:val="22"/>
          <w:szCs w:val="22"/>
          <w:u w:val="single"/>
          <w:lang w:val="es-ES_tradnl"/>
        </w:rPr>
      </w:pPr>
      <w:bookmarkStart w:id="0" w:name="_Hlk56183803"/>
      <w:r w:rsidRPr="007D1B90">
        <w:rPr>
          <w:rFonts w:cs="Arial"/>
          <w:b/>
          <w:color w:val="000000"/>
          <w:sz w:val="22"/>
          <w:szCs w:val="22"/>
          <w:u w:val="single"/>
          <w:lang w:eastAsia="es-ES"/>
        </w:rPr>
        <w:t>RESOLUCIÓN</w:t>
      </w:r>
      <w:r w:rsidR="007D1B90">
        <w:rPr>
          <w:rFonts w:cs="Arial"/>
          <w:b/>
          <w:color w:val="000000"/>
          <w:sz w:val="22"/>
          <w:szCs w:val="22"/>
          <w:u w:val="single"/>
          <w:lang w:eastAsia="es-ES"/>
        </w:rPr>
        <w:t xml:space="preserve"> N° 2383</w:t>
      </w:r>
    </w:p>
    <w:bookmarkEnd w:id="0"/>
    <w:p w14:paraId="35DAA80B" w14:textId="77777777" w:rsidR="000F010E" w:rsidRPr="007D1B90" w:rsidRDefault="000F010E" w:rsidP="000F010E">
      <w:pPr>
        <w:pStyle w:val="Sangradetextonormal"/>
        <w:tabs>
          <w:tab w:val="left" w:pos="425"/>
        </w:tabs>
        <w:ind w:left="5245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06D6D2A" w14:textId="3FB029FC" w:rsidR="000F010E" w:rsidRPr="007D1B90" w:rsidRDefault="000F010E" w:rsidP="000F010E">
      <w:pPr>
        <w:pStyle w:val="Sangradetextonormal"/>
        <w:tabs>
          <w:tab w:val="left" w:pos="425"/>
        </w:tabs>
        <w:ind w:left="5245"/>
        <w:jc w:val="both"/>
        <w:rPr>
          <w:rFonts w:ascii="Arial" w:hAnsi="Arial" w:cs="Arial"/>
          <w:sz w:val="22"/>
          <w:szCs w:val="22"/>
          <w:lang w:val="es-ES_tradnl"/>
        </w:rPr>
      </w:pPr>
      <w:bookmarkStart w:id="1" w:name="_Hlk56183822"/>
      <w:r w:rsidRPr="007D1B90">
        <w:rPr>
          <w:rFonts w:ascii="Arial" w:hAnsi="Arial" w:cs="Arial"/>
          <w:sz w:val="22"/>
          <w:szCs w:val="22"/>
          <w:lang w:val="es-ES_tradnl"/>
        </w:rPr>
        <w:t>Metodología para la Transmisión de Datos Estadísticos Trimestrales sobre el Transporte Acuático Internacional de mercancías y pasajeros</w:t>
      </w:r>
      <w:r w:rsidR="006355CA" w:rsidRPr="007D1B90">
        <w:rPr>
          <w:rFonts w:ascii="Arial" w:hAnsi="Arial" w:cs="Arial"/>
          <w:sz w:val="22"/>
          <w:szCs w:val="22"/>
          <w:lang w:val="es-ES_tradnl"/>
        </w:rPr>
        <w:t xml:space="preserve">. </w:t>
      </w:r>
    </w:p>
    <w:bookmarkEnd w:id="1"/>
    <w:p w14:paraId="21019C75" w14:textId="77777777" w:rsidR="000F010E" w:rsidRPr="007D1B90" w:rsidRDefault="000F010E" w:rsidP="000F010E">
      <w:pPr>
        <w:pStyle w:val="Estilo2"/>
        <w:tabs>
          <w:tab w:val="left" w:pos="425"/>
        </w:tabs>
        <w:rPr>
          <w:rFonts w:cs="Arial"/>
          <w:sz w:val="22"/>
          <w:szCs w:val="22"/>
          <w:lang w:val="es-ES_tradnl"/>
        </w:rPr>
      </w:pPr>
    </w:p>
    <w:p w14:paraId="55DBF0D2" w14:textId="77777777" w:rsidR="000F010E" w:rsidRPr="007D1B90" w:rsidRDefault="000F010E" w:rsidP="000F010E">
      <w:pPr>
        <w:pStyle w:val="Estilo2"/>
        <w:tabs>
          <w:tab w:val="left" w:pos="425"/>
        </w:tabs>
        <w:rPr>
          <w:rFonts w:cs="Arial"/>
          <w:sz w:val="22"/>
          <w:szCs w:val="22"/>
          <w:lang w:val="es-ES_tradnl"/>
        </w:rPr>
      </w:pPr>
    </w:p>
    <w:p w14:paraId="71B28A98" w14:textId="77777777" w:rsidR="000F010E" w:rsidRPr="00836B74" w:rsidRDefault="000F010E" w:rsidP="000F010E">
      <w:pPr>
        <w:pStyle w:val="Estilo2"/>
        <w:tabs>
          <w:tab w:val="left" w:pos="425"/>
        </w:tabs>
        <w:rPr>
          <w:rFonts w:cs="Arial"/>
          <w:b/>
          <w:sz w:val="22"/>
          <w:szCs w:val="22"/>
          <w:lang w:val="es-ES_tradnl"/>
        </w:rPr>
      </w:pPr>
      <w:r w:rsidRPr="007D1B90">
        <w:rPr>
          <w:rFonts w:cs="Arial"/>
          <w:sz w:val="22"/>
          <w:szCs w:val="22"/>
          <w:lang w:val="es-ES_tradnl"/>
        </w:rPr>
        <w:tab/>
      </w:r>
      <w:r w:rsidRPr="00836B74">
        <w:rPr>
          <w:rFonts w:cs="Arial"/>
          <w:b/>
          <w:sz w:val="22"/>
          <w:szCs w:val="22"/>
          <w:lang w:val="es-ES_tradnl"/>
        </w:rPr>
        <w:t>LA SECRETARIA GENERAL DE LA COMUNIDAD ANDINA,</w:t>
      </w:r>
    </w:p>
    <w:p w14:paraId="697BCF0B" w14:textId="77777777" w:rsidR="000F010E" w:rsidRPr="007D1B90" w:rsidRDefault="000F010E" w:rsidP="000F010E">
      <w:pPr>
        <w:pStyle w:val="Estilo2"/>
        <w:tabs>
          <w:tab w:val="left" w:pos="425"/>
        </w:tabs>
        <w:autoSpaceDE w:val="0"/>
        <w:autoSpaceDN w:val="0"/>
        <w:adjustRightInd w:val="0"/>
        <w:rPr>
          <w:rFonts w:cs="Arial"/>
          <w:sz w:val="22"/>
          <w:szCs w:val="22"/>
          <w:lang w:val="es-ES_tradnl"/>
        </w:rPr>
      </w:pPr>
    </w:p>
    <w:p w14:paraId="4DC2D381" w14:textId="47B75EB3" w:rsidR="000F010E" w:rsidRPr="007D1B90" w:rsidRDefault="000F010E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7D1B90">
        <w:rPr>
          <w:rFonts w:ascii="Arial" w:hAnsi="Arial" w:cs="Arial"/>
          <w:sz w:val="22"/>
          <w:szCs w:val="22"/>
          <w:lang w:val="es-ES_tradnl"/>
        </w:rPr>
        <w:tab/>
      </w:r>
      <w:r w:rsidRPr="00836B74">
        <w:rPr>
          <w:rFonts w:ascii="Arial" w:hAnsi="Arial" w:cs="Arial"/>
          <w:b/>
          <w:sz w:val="22"/>
          <w:szCs w:val="22"/>
          <w:lang w:val="es-ES_tradnl"/>
        </w:rPr>
        <w:t>VISTOS:</w:t>
      </w:r>
      <w:r w:rsidRPr="007D1B90">
        <w:rPr>
          <w:rFonts w:ascii="Arial" w:hAnsi="Arial" w:cs="Arial"/>
          <w:sz w:val="22"/>
          <w:szCs w:val="22"/>
          <w:lang w:val="es-ES_tradnl"/>
        </w:rPr>
        <w:t xml:space="preserve"> El artículo 53 y 54 del Acuerdo de Cartagena, las Decisiones 288, 314, 390, </w:t>
      </w:r>
      <w:r w:rsidR="00926428" w:rsidRPr="007D1B90">
        <w:rPr>
          <w:rFonts w:ascii="Arial" w:hAnsi="Arial" w:cs="Arial"/>
          <w:sz w:val="22"/>
          <w:szCs w:val="22"/>
          <w:lang w:val="es-ES_tradnl"/>
        </w:rPr>
        <w:t xml:space="preserve">842 y </w:t>
      </w:r>
      <w:r w:rsidR="003D5654" w:rsidRPr="007D1B90">
        <w:rPr>
          <w:rFonts w:ascii="Arial" w:hAnsi="Arial" w:cs="Arial"/>
          <w:sz w:val="22"/>
          <w:szCs w:val="22"/>
          <w:lang w:val="es-ES_tradnl"/>
        </w:rPr>
        <w:t>911</w:t>
      </w:r>
      <w:r w:rsidRPr="007D1B90">
        <w:rPr>
          <w:rFonts w:ascii="Arial" w:hAnsi="Arial" w:cs="Arial"/>
          <w:sz w:val="22"/>
          <w:szCs w:val="22"/>
          <w:lang w:val="es-ES_tradnl"/>
        </w:rPr>
        <w:t xml:space="preserve"> de la Comunidad Andina;</w:t>
      </w:r>
      <w:r w:rsidR="00AA1BFA" w:rsidRPr="007D1B90">
        <w:rPr>
          <w:rFonts w:ascii="Arial" w:hAnsi="Arial" w:cs="Arial"/>
          <w:sz w:val="22"/>
          <w:szCs w:val="22"/>
          <w:lang w:val="es-ES_tradnl"/>
        </w:rPr>
        <w:t xml:space="preserve"> la Resolución 1409</w:t>
      </w:r>
      <w:r w:rsidR="00267AD4" w:rsidRPr="007D1B90">
        <w:rPr>
          <w:rFonts w:ascii="Arial" w:hAnsi="Arial" w:cs="Arial"/>
          <w:sz w:val="22"/>
          <w:szCs w:val="22"/>
          <w:lang w:val="es-ES_tradnl"/>
        </w:rPr>
        <w:t xml:space="preserve"> de la Secretaría General de la Comunidad Andina; y,</w:t>
      </w:r>
    </w:p>
    <w:p w14:paraId="4638D507" w14:textId="77777777" w:rsidR="000F010E" w:rsidRPr="007D1B90" w:rsidRDefault="000F010E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D514D3B" w14:textId="77777777" w:rsidR="000F010E" w:rsidRPr="007D1B90" w:rsidRDefault="000F010E" w:rsidP="000F010E">
      <w:pPr>
        <w:pStyle w:val="Estilo2"/>
        <w:tabs>
          <w:tab w:val="left" w:pos="425"/>
        </w:tabs>
        <w:rPr>
          <w:rFonts w:cs="Arial"/>
          <w:sz w:val="22"/>
          <w:szCs w:val="22"/>
          <w:lang w:val="es-ES_tradnl"/>
        </w:rPr>
      </w:pPr>
      <w:r w:rsidRPr="007D1B90">
        <w:rPr>
          <w:rFonts w:cs="Arial"/>
          <w:sz w:val="22"/>
          <w:szCs w:val="22"/>
          <w:lang w:val="es-ES_tradnl"/>
        </w:rPr>
        <w:tab/>
      </w:r>
      <w:r w:rsidRPr="00836B74">
        <w:rPr>
          <w:rFonts w:cs="Arial"/>
          <w:b/>
          <w:sz w:val="22"/>
          <w:szCs w:val="22"/>
          <w:lang w:val="es-ES_tradnl"/>
        </w:rPr>
        <w:t>CONSIDERANDO:</w:t>
      </w:r>
      <w:r w:rsidRPr="007D1B90">
        <w:rPr>
          <w:rFonts w:cs="Arial"/>
          <w:sz w:val="22"/>
          <w:szCs w:val="22"/>
          <w:lang w:val="es-ES_tradnl"/>
        </w:rPr>
        <w:t xml:space="preserve"> </w:t>
      </w:r>
      <w:r w:rsidRPr="007D1B90">
        <w:rPr>
          <w:rFonts w:cs="Arial"/>
          <w:sz w:val="22"/>
          <w:szCs w:val="22"/>
        </w:rPr>
        <w:t>Que, para el seguimiento y evaluación de los avances del proceso de integración, la información estadística constituye uno de los principales instrumentos que permiten a los Países Miembros y la Secretaría General de la Comunidad Andina ejecutar sus políticas y determinar acciones en torno a la integración comunitaria</w:t>
      </w:r>
      <w:r w:rsidRPr="007D1B90">
        <w:rPr>
          <w:rFonts w:cs="Arial"/>
          <w:sz w:val="22"/>
          <w:szCs w:val="22"/>
          <w:lang w:val="es-ES_tradnl"/>
        </w:rPr>
        <w:t>;</w:t>
      </w:r>
    </w:p>
    <w:p w14:paraId="030C8231" w14:textId="77777777" w:rsidR="000F010E" w:rsidRPr="007D1B90" w:rsidRDefault="000F010E" w:rsidP="000F010E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1EB364B" w14:textId="7D498D80" w:rsidR="000F010E" w:rsidRPr="007D1B90" w:rsidRDefault="000F010E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B90">
        <w:rPr>
          <w:rFonts w:ascii="Arial" w:hAnsi="Arial" w:cs="Arial"/>
          <w:sz w:val="22"/>
          <w:szCs w:val="22"/>
        </w:rPr>
        <w:tab/>
        <w:t xml:space="preserve">Que, los órganos e instituciones que conforman el Sistema Andino de </w:t>
      </w:r>
      <w:r w:rsidR="00073455" w:rsidRPr="007D1B90">
        <w:rPr>
          <w:rFonts w:ascii="Arial" w:hAnsi="Arial" w:cs="Arial"/>
          <w:sz w:val="22"/>
          <w:szCs w:val="22"/>
        </w:rPr>
        <w:t>Integración</w:t>
      </w:r>
      <w:r w:rsidRPr="007D1B90">
        <w:rPr>
          <w:rFonts w:ascii="Arial" w:hAnsi="Arial" w:cs="Arial"/>
          <w:sz w:val="22"/>
          <w:szCs w:val="22"/>
        </w:rPr>
        <w:t xml:space="preserve"> necesitan </w:t>
      </w:r>
      <w:r w:rsidR="00196B8E" w:rsidRPr="007D1B90">
        <w:rPr>
          <w:rFonts w:ascii="Arial" w:hAnsi="Arial" w:cs="Arial"/>
          <w:sz w:val="22"/>
          <w:szCs w:val="22"/>
        </w:rPr>
        <w:t>contar con</w:t>
      </w:r>
      <w:r w:rsidRPr="007D1B90">
        <w:rPr>
          <w:rFonts w:ascii="Arial" w:hAnsi="Arial" w:cs="Arial"/>
          <w:sz w:val="22"/>
          <w:szCs w:val="22"/>
        </w:rPr>
        <w:t xml:space="preserve"> estadísticas armonizadas, oportunas y confiables sobre la situación y la evolución del transporte acuático de mercancías y de pasajeros;</w:t>
      </w:r>
    </w:p>
    <w:p w14:paraId="078EA056" w14:textId="77777777" w:rsidR="000F010E" w:rsidRPr="007D1B90" w:rsidRDefault="000F010E" w:rsidP="000F010E">
      <w:pPr>
        <w:pStyle w:val="Estilo2"/>
        <w:tabs>
          <w:tab w:val="left" w:pos="425"/>
        </w:tabs>
        <w:rPr>
          <w:rFonts w:cs="Arial"/>
          <w:sz w:val="22"/>
          <w:szCs w:val="22"/>
          <w:lang w:val="es-ES_tradnl"/>
        </w:rPr>
      </w:pPr>
    </w:p>
    <w:p w14:paraId="05A9B97F" w14:textId="10C59AE8" w:rsidR="000F010E" w:rsidRPr="007D1B90" w:rsidRDefault="000F010E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B90">
        <w:rPr>
          <w:rFonts w:ascii="Arial" w:hAnsi="Arial" w:cs="Arial"/>
          <w:sz w:val="22"/>
          <w:szCs w:val="22"/>
        </w:rPr>
        <w:tab/>
        <w:t xml:space="preserve">Que, la Decisión 288 establece la libertad de acceso para la carga originada y destinada, por vía marítima, dentro de la </w:t>
      </w:r>
      <w:r w:rsidR="00196B8E" w:rsidRPr="007D1B90">
        <w:rPr>
          <w:rFonts w:ascii="Arial" w:hAnsi="Arial" w:cs="Arial"/>
          <w:sz w:val="22"/>
          <w:szCs w:val="22"/>
        </w:rPr>
        <w:t>S</w:t>
      </w:r>
      <w:r w:rsidRPr="007D1B90">
        <w:rPr>
          <w:rFonts w:ascii="Arial" w:hAnsi="Arial" w:cs="Arial"/>
          <w:sz w:val="22"/>
          <w:szCs w:val="22"/>
        </w:rPr>
        <w:t>ubregión, a ser transportada por buques de propiedad, fletados u operados por Compañías Navieras de los Países Miembros y de terceros países;</w:t>
      </w:r>
    </w:p>
    <w:p w14:paraId="5B3DDDBB" w14:textId="77777777" w:rsidR="000F010E" w:rsidRPr="007D1B90" w:rsidRDefault="000F010E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70294B" w14:textId="7E903F1D" w:rsidR="000F010E" w:rsidRPr="007D1B90" w:rsidRDefault="000F010E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B90">
        <w:rPr>
          <w:rFonts w:ascii="Arial" w:hAnsi="Arial" w:cs="Arial"/>
          <w:sz w:val="22"/>
          <w:szCs w:val="22"/>
        </w:rPr>
        <w:tab/>
        <w:t>Que, la Decisión 314</w:t>
      </w:r>
      <w:r w:rsidR="001D7C40" w:rsidRPr="007D1B90">
        <w:rPr>
          <w:rFonts w:ascii="Arial" w:hAnsi="Arial" w:cs="Arial"/>
          <w:sz w:val="22"/>
          <w:szCs w:val="22"/>
        </w:rPr>
        <w:t xml:space="preserve">, </w:t>
      </w:r>
      <w:r w:rsidR="00D44A18" w:rsidRPr="007D1B90">
        <w:rPr>
          <w:rFonts w:ascii="Arial" w:hAnsi="Arial" w:cs="Arial"/>
          <w:sz w:val="22"/>
          <w:szCs w:val="22"/>
        </w:rPr>
        <w:t>modificada por la Decisión 390,</w:t>
      </w:r>
      <w:r w:rsidRPr="007D1B90">
        <w:rPr>
          <w:rFonts w:ascii="Arial" w:hAnsi="Arial" w:cs="Arial"/>
          <w:sz w:val="22"/>
          <w:szCs w:val="22"/>
        </w:rPr>
        <w:t xml:space="preserve"> establece la libertad de acceso a las cargas transportadas por vía marítima que genere el comercio exterior de los países de la Subregión, conforme</w:t>
      </w:r>
      <w:r w:rsidR="00164CFC" w:rsidRPr="007D1B90">
        <w:rPr>
          <w:rFonts w:ascii="Arial" w:hAnsi="Arial" w:cs="Arial"/>
          <w:sz w:val="22"/>
          <w:szCs w:val="22"/>
        </w:rPr>
        <w:t xml:space="preserve"> a los</w:t>
      </w:r>
      <w:r w:rsidRPr="007D1B90">
        <w:rPr>
          <w:rFonts w:ascii="Arial" w:hAnsi="Arial" w:cs="Arial"/>
          <w:sz w:val="22"/>
          <w:szCs w:val="22"/>
        </w:rPr>
        <w:t xml:space="preserve"> requisitos y condiciones señaladas en </w:t>
      </w:r>
      <w:r w:rsidR="00E1413C" w:rsidRPr="007D1B90">
        <w:rPr>
          <w:rFonts w:ascii="Arial" w:hAnsi="Arial" w:cs="Arial"/>
          <w:sz w:val="22"/>
          <w:szCs w:val="22"/>
        </w:rPr>
        <w:t>dicha</w:t>
      </w:r>
      <w:r w:rsidRPr="007D1B90">
        <w:rPr>
          <w:rFonts w:ascii="Arial" w:hAnsi="Arial" w:cs="Arial"/>
          <w:sz w:val="22"/>
          <w:szCs w:val="22"/>
        </w:rPr>
        <w:t xml:space="preserve"> norma comunitaria;</w:t>
      </w:r>
    </w:p>
    <w:p w14:paraId="47BF5A35" w14:textId="77777777" w:rsidR="00E570A5" w:rsidRPr="007D1B90" w:rsidRDefault="00E570A5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DB6F17" w14:textId="6B559499" w:rsidR="00E570A5" w:rsidRPr="007D1B90" w:rsidRDefault="00CF7EF7" w:rsidP="00E570A5">
      <w:pPr>
        <w:pStyle w:val="Estilo2"/>
        <w:tabs>
          <w:tab w:val="left" w:pos="425"/>
        </w:tabs>
        <w:rPr>
          <w:rFonts w:cs="Arial"/>
          <w:sz w:val="22"/>
          <w:szCs w:val="22"/>
          <w:lang w:val="es-ES_tradnl"/>
        </w:rPr>
      </w:pPr>
      <w:r w:rsidRPr="007D1B90">
        <w:rPr>
          <w:rFonts w:cs="Arial"/>
          <w:sz w:val="22"/>
          <w:szCs w:val="22"/>
          <w:lang w:val="es-ES_tradnl"/>
        </w:rPr>
        <w:tab/>
      </w:r>
      <w:r w:rsidR="00E570A5" w:rsidRPr="007D1B90">
        <w:rPr>
          <w:rFonts w:cs="Arial"/>
          <w:sz w:val="22"/>
          <w:szCs w:val="22"/>
          <w:lang w:val="es-ES_tradnl"/>
        </w:rPr>
        <w:t xml:space="preserve">Que, la Decisión 842 dispone que los Países Miembros elaborarán estadísticas comunitarias </w:t>
      </w:r>
      <w:r w:rsidR="009F3147" w:rsidRPr="007D1B90">
        <w:rPr>
          <w:rFonts w:cs="Arial"/>
          <w:sz w:val="22"/>
          <w:szCs w:val="22"/>
          <w:lang w:val="es-ES_tradnl"/>
        </w:rPr>
        <w:t>armonizadas</w:t>
      </w:r>
      <w:r w:rsidR="002A54A1" w:rsidRPr="007D1B90">
        <w:rPr>
          <w:rFonts w:cs="Arial"/>
          <w:sz w:val="22"/>
          <w:szCs w:val="22"/>
          <w:lang w:val="es-ES_tradnl"/>
        </w:rPr>
        <w:t xml:space="preserve"> </w:t>
      </w:r>
      <w:r w:rsidR="00E570A5" w:rsidRPr="007D1B90">
        <w:rPr>
          <w:rFonts w:cs="Arial"/>
          <w:sz w:val="22"/>
          <w:szCs w:val="22"/>
          <w:lang w:val="es-ES_tradnl"/>
        </w:rPr>
        <w:t>sobre el transporte acuático internacional de mercancías y pasajeros, efectuado por buques comerciales que hagan escala en los puertos situados en su territorio;</w:t>
      </w:r>
    </w:p>
    <w:p w14:paraId="7507350A" w14:textId="77777777" w:rsidR="00E570A5" w:rsidRPr="007D1B90" w:rsidRDefault="00E570A5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FB62B4E" w14:textId="09418954" w:rsidR="00010BFE" w:rsidRPr="007D1B90" w:rsidRDefault="00CF7EF7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B90">
        <w:rPr>
          <w:rFonts w:ascii="Arial" w:hAnsi="Arial" w:cs="Arial"/>
          <w:sz w:val="22"/>
          <w:szCs w:val="22"/>
          <w:lang w:val="es-ES_tradnl"/>
        </w:rPr>
        <w:tab/>
      </w:r>
      <w:r w:rsidR="00010BFE" w:rsidRPr="007D1B90">
        <w:rPr>
          <w:rFonts w:ascii="Arial" w:hAnsi="Arial" w:cs="Arial"/>
          <w:sz w:val="22"/>
          <w:szCs w:val="22"/>
          <w:lang w:val="es-ES_tradnl"/>
        </w:rPr>
        <w:t>Que, los artículos 4 y 5 de la mencionada norma comunitaria, facultan a la Secretaría General a</w:t>
      </w:r>
      <w:r w:rsidR="00010BFE" w:rsidRPr="007D1B90">
        <w:rPr>
          <w:rFonts w:ascii="Arial" w:hAnsi="Arial" w:cs="Arial"/>
          <w:b/>
          <w:sz w:val="22"/>
          <w:szCs w:val="22"/>
        </w:rPr>
        <w:t xml:space="preserve"> </w:t>
      </w:r>
      <w:r w:rsidR="00010BFE" w:rsidRPr="007D1B90">
        <w:rPr>
          <w:rFonts w:ascii="Arial" w:hAnsi="Arial" w:cs="Arial"/>
          <w:sz w:val="22"/>
          <w:szCs w:val="22"/>
        </w:rPr>
        <w:t xml:space="preserve">adoptar, mediante Resolución, las variables, definiciones, mecanismos y otros datos técnicos para la debida aplicación de la Decisión, </w:t>
      </w:r>
      <w:r w:rsidR="00045F01" w:rsidRPr="007D1B90">
        <w:rPr>
          <w:rFonts w:ascii="Arial" w:hAnsi="Arial" w:cs="Arial"/>
          <w:sz w:val="22"/>
          <w:szCs w:val="22"/>
        </w:rPr>
        <w:t>ten</w:t>
      </w:r>
      <w:r w:rsidR="00441AB5" w:rsidRPr="007D1B90">
        <w:rPr>
          <w:rFonts w:ascii="Arial" w:hAnsi="Arial" w:cs="Arial"/>
          <w:sz w:val="22"/>
          <w:szCs w:val="22"/>
        </w:rPr>
        <w:t xml:space="preserve">iendo en cuenta las recomendaciones efectuadas </w:t>
      </w:r>
      <w:r w:rsidR="00257C52" w:rsidRPr="007D1B90">
        <w:rPr>
          <w:rFonts w:ascii="Arial" w:hAnsi="Arial" w:cs="Arial"/>
          <w:sz w:val="22"/>
          <w:szCs w:val="22"/>
        </w:rPr>
        <w:t xml:space="preserve">en las reuniones </w:t>
      </w:r>
      <w:r w:rsidR="00010BFE" w:rsidRPr="007D1B90">
        <w:rPr>
          <w:rFonts w:ascii="Arial" w:hAnsi="Arial" w:cs="Arial"/>
          <w:sz w:val="22"/>
          <w:szCs w:val="22"/>
        </w:rPr>
        <w:t>de los expertos gubernamentales en estadísticas de transporte acuático</w:t>
      </w:r>
      <w:r w:rsidR="00257C52" w:rsidRPr="007D1B90">
        <w:rPr>
          <w:rFonts w:ascii="Arial" w:hAnsi="Arial" w:cs="Arial"/>
          <w:sz w:val="22"/>
          <w:szCs w:val="22"/>
        </w:rPr>
        <w:t xml:space="preserve"> del Comité Andino de Estadísticas</w:t>
      </w:r>
      <w:r w:rsidR="00010BFE" w:rsidRPr="007D1B90">
        <w:rPr>
          <w:rFonts w:ascii="Arial" w:hAnsi="Arial" w:cs="Arial"/>
          <w:sz w:val="22"/>
          <w:szCs w:val="22"/>
        </w:rPr>
        <w:t>;</w:t>
      </w:r>
    </w:p>
    <w:p w14:paraId="3CED24B2" w14:textId="77777777" w:rsidR="000F010E" w:rsidRPr="007D1B90" w:rsidRDefault="000F010E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A5A3A4" w14:textId="41179C9D" w:rsidR="000F010E" w:rsidRPr="007D1B90" w:rsidRDefault="000F010E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D1B90">
        <w:rPr>
          <w:rFonts w:ascii="Arial" w:hAnsi="Arial" w:cs="Arial"/>
          <w:sz w:val="22"/>
          <w:szCs w:val="22"/>
        </w:rPr>
        <w:tab/>
        <w:t xml:space="preserve">Que, la Decisión </w:t>
      </w:r>
      <w:r w:rsidR="00FF19A8" w:rsidRPr="007D1B90">
        <w:rPr>
          <w:rFonts w:ascii="Arial" w:hAnsi="Arial" w:cs="Arial"/>
          <w:sz w:val="22"/>
          <w:szCs w:val="22"/>
        </w:rPr>
        <w:t>911</w:t>
      </w:r>
      <w:r w:rsidRPr="007D1B90">
        <w:rPr>
          <w:rFonts w:ascii="Arial" w:hAnsi="Arial" w:cs="Arial"/>
          <w:sz w:val="22"/>
          <w:szCs w:val="22"/>
        </w:rPr>
        <w:t xml:space="preserve"> aprobó </w:t>
      </w:r>
      <w:r w:rsidR="00AF436A" w:rsidRPr="007D1B90">
        <w:rPr>
          <w:rFonts w:ascii="Arial" w:hAnsi="Arial" w:cs="Arial"/>
          <w:sz w:val="22"/>
          <w:szCs w:val="22"/>
        </w:rPr>
        <w:t>la extensión d</w:t>
      </w:r>
      <w:r w:rsidRPr="007D1B90">
        <w:rPr>
          <w:rFonts w:ascii="Arial" w:hAnsi="Arial" w:cs="Arial"/>
          <w:sz w:val="22"/>
          <w:szCs w:val="22"/>
        </w:rPr>
        <w:t xml:space="preserve">el Programa Estadístico Comunitario para el periodo </w:t>
      </w:r>
      <w:r w:rsidR="00FB5662" w:rsidRPr="007D1B90">
        <w:rPr>
          <w:rFonts w:ascii="Arial" w:hAnsi="Arial" w:cs="Arial"/>
          <w:sz w:val="22"/>
          <w:szCs w:val="22"/>
        </w:rPr>
        <w:t>2023</w:t>
      </w:r>
      <w:r w:rsidRPr="007D1B90">
        <w:rPr>
          <w:rFonts w:ascii="Arial" w:hAnsi="Arial" w:cs="Arial"/>
          <w:sz w:val="22"/>
          <w:szCs w:val="22"/>
        </w:rPr>
        <w:t>-202</w:t>
      </w:r>
      <w:r w:rsidR="00AF436A" w:rsidRPr="007D1B90">
        <w:rPr>
          <w:rFonts w:ascii="Arial" w:hAnsi="Arial" w:cs="Arial"/>
          <w:sz w:val="22"/>
          <w:szCs w:val="22"/>
        </w:rPr>
        <w:t>5</w:t>
      </w:r>
      <w:r w:rsidR="00580FA0" w:rsidRPr="007D1B90">
        <w:rPr>
          <w:rFonts w:ascii="Arial" w:hAnsi="Arial" w:cs="Arial"/>
          <w:sz w:val="22"/>
          <w:szCs w:val="22"/>
        </w:rPr>
        <w:t>. El citado PEC</w:t>
      </w:r>
      <w:r w:rsidRPr="007D1B90">
        <w:rPr>
          <w:rFonts w:ascii="Arial" w:hAnsi="Arial" w:cs="Arial"/>
          <w:sz w:val="22"/>
          <w:szCs w:val="22"/>
        </w:rPr>
        <w:t xml:space="preserve"> estableció como uno de sus objetivos proporcionar información estadística armonizada y oportuna para apoyar el desarrollo, el </w:t>
      </w:r>
      <w:r w:rsidR="007524C8" w:rsidRPr="007D1B90">
        <w:rPr>
          <w:rFonts w:ascii="Arial" w:hAnsi="Arial" w:cs="Arial"/>
          <w:sz w:val="22"/>
          <w:szCs w:val="22"/>
        </w:rPr>
        <w:t>cimiento</w:t>
      </w:r>
      <w:r w:rsidRPr="007D1B90">
        <w:rPr>
          <w:rFonts w:ascii="Arial" w:hAnsi="Arial" w:cs="Arial"/>
          <w:sz w:val="22"/>
          <w:szCs w:val="22"/>
        </w:rPr>
        <w:t xml:space="preserve"> y la evaluación de las políticas de la Comunidad Andina; como son: Integración Comercial, Transporte, entre otras. Asimismo, dicha norma dispuso la realización de diversas acciones como: desarrollar un Sistema de Información de Transporte Acuático;</w:t>
      </w:r>
    </w:p>
    <w:p w14:paraId="1D83C8C3" w14:textId="77777777" w:rsidR="000F010E" w:rsidRPr="007D1B90" w:rsidRDefault="000F010E" w:rsidP="000F010E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7081AF" w14:textId="636EFEDC" w:rsidR="000F010E" w:rsidRPr="007D1B90" w:rsidRDefault="000F010E" w:rsidP="00580FA0">
      <w:pPr>
        <w:pStyle w:val="Estilo2"/>
        <w:tabs>
          <w:tab w:val="left" w:pos="425"/>
        </w:tabs>
        <w:rPr>
          <w:rFonts w:cs="Arial"/>
          <w:sz w:val="22"/>
          <w:szCs w:val="22"/>
          <w:lang w:val="es-ES_tradnl"/>
        </w:rPr>
      </w:pPr>
      <w:r w:rsidRPr="007D1B90">
        <w:rPr>
          <w:rFonts w:cs="Arial"/>
          <w:sz w:val="22"/>
          <w:szCs w:val="22"/>
          <w:lang w:val="es-ES_tradnl"/>
        </w:rPr>
        <w:tab/>
        <w:t>Que, a efecto</w:t>
      </w:r>
      <w:r w:rsidR="00C9412E" w:rsidRPr="007D1B90">
        <w:rPr>
          <w:rFonts w:cs="Arial"/>
          <w:sz w:val="22"/>
          <w:szCs w:val="22"/>
          <w:lang w:val="es-ES_tradnl"/>
        </w:rPr>
        <w:t>s</w:t>
      </w:r>
      <w:r w:rsidRPr="007D1B90">
        <w:rPr>
          <w:rFonts w:cs="Arial"/>
          <w:sz w:val="22"/>
          <w:szCs w:val="22"/>
          <w:lang w:val="es-ES_tradnl"/>
        </w:rPr>
        <w:t xml:space="preserve"> de permitir </w:t>
      </w:r>
      <w:r w:rsidR="00F425CC" w:rsidRPr="007D1B90">
        <w:rPr>
          <w:rFonts w:cs="Arial"/>
          <w:sz w:val="22"/>
          <w:szCs w:val="22"/>
          <w:lang w:val="es-ES_tradnl"/>
        </w:rPr>
        <w:t xml:space="preserve">la </w:t>
      </w:r>
      <w:r w:rsidRPr="007D1B90">
        <w:rPr>
          <w:rFonts w:cs="Arial"/>
          <w:sz w:val="22"/>
          <w:szCs w:val="22"/>
          <w:lang w:val="es-ES_tradnl"/>
        </w:rPr>
        <w:t xml:space="preserve">debida aplicación y desarrollo de la Decisión 842, así como para actualizar el marco normativo, facilitar el envío, recolección y difusión de las estadísticas </w:t>
      </w:r>
      <w:r w:rsidRPr="007D1B90">
        <w:rPr>
          <w:rFonts w:cs="Arial"/>
          <w:sz w:val="22"/>
          <w:szCs w:val="22"/>
          <w:lang w:val="es-ES_tradnl"/>
        </w:rPr>
        <w:lastRenderedPageBreak/>
        <w:t xml:space="preserve">comunitarias de transporte acuático en la Comunidad Andina, resulta conveniente aprobar nuevas disposiciones técnicas para la transmisión de dichos datos; </w:t>
      </w:r>
    </w:p>
    <w:p w14:paraId="612C119B" w14:textId="77777777" w:rsidR="000F010E" w:rsidRPr="007D1B90" w:rsidRDefault="000F010E" w:rsidP="000F010E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AC4B09" w14:textId="7559D80F" w:rsidR="000F010E" w:rsidRPr="007D1B90" w:rsidRDefault="000F010E" w:rsidP="000F010E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D1B90">
        <w:rPr>
          <w:rFonts w:ascii="Arial" w:hAnsi="Arial" w:cs="Arial"/>
          <w:sz w:val="22"/>
          <w:szCs w:val="22"/>
          <w:lang w:val="es-ES_tradnl"/>
        </w:rPr>
        <w:tab/>
      </w:r>
      <w:r w:rsidRPr="007D1B90">
        <w:rPr>
          <w:rFonts w:ascii="Arial" w:hAnsi="Arial" w:cs="Arial"/>
          <w:iCs/>
          <w:sz w:val="22"/>
          <w:szCs w:val="22"/>
          <w:lang w:val="es-ES_tradnl"/>
        </w:rPr>
        <w:t>Que, los expertos gubernamentales en estadísticas de transporte acuático de los Países Miembros, en su reunión realizada e</w:t>
      </w:r>
      <w:r w:rsidR="00576D76" w:rsidRPr="007D1B90">
        <w:rPr>
          <w:rFonts w:ascii="Arial" w:hAnsi="Arial" w:cs="Arial"/>
          <w:iCs/>
          <w:sz w:val="22"/>
          <w:szCs w:val="22"/>
          <w:lang w:val="es-ES_tradnl"/>
        </w:rPr>
        <w:t xml:space="preserve">ntre el 1 y el 3 de agosto </w:t>
      </w:r>
      <w:r w:rsidRPr="007D1B90">
        <w:rPr>
          <w:rFonts w:ascii="Arial" w:hAnsi="Arial" w:cs="Arial"/>
          <w:iCs/>
          <w:sz w:val="22"/>
          <w:szCs w:val="22"/>
          <w:lang w:val="es-ES_tradnl"/>
        </w:rPr>
        <w:t>de 20</w:t>
      </w:r>
      <w:r w:rsidR="00576D76" w:rsidRPr="007D1B90">
        <w:rPr>
          <w:rFonts w:ascii="Arial" w:hAnsi="Arial" w:cs="Arial"/>
          <w:iCs/>
          <w:sz w:val="22"/>
          <w:szCs w:val="22"/>
          <w:lang w:val="es-ES_tradnl"/>
        </w:rPr>
        <w:t>23</w:t>
      </w:r>
      <w:r w:rsidRPr="007D1B90">
        <w:rPr>
          <w:rFonts w:ascii="Arial" w:hAnsi="Arial" w:cs="Arial"/>
          <w:iCs/>
          <w:sz w:val="22"/>
          <w:szCs w:val="22"/>
          <w:lang w:val="es-ES_tradnl"/>
        </w:rPr>
        <w:t xml:space="preserve">, </w:t>
      </w:r>
      <w:r w:rsidRPr="007D1B90">
        <w:rPr>
          <w:rFonts w:ascii="Arial" w:hAnsi="Arial" w:cs="Arial"/>
          <w:sz w:val="22"/>
          <w:szCs w:val="22"/>
          <w:lang w:val="es-ES_tradnl"/>
        </w:rPr>
        <w:t xml:space="preserve">manifestaron su opinión favorable al texto de la Metodología para la Transmisión de datos estadísticos trimestrales sobre el transporte acuático internacional de mercancías y pasajeros; </w:t>
      </w:r>
    </w:p>
    <w:p w14:paraId="56C78F68" w14:textId="77777777" w:rsidR="000F010E" w:rsidRPr="007D1B90" w:rsidRDefault="000F010E" w:rsidP="000F010E">
      <w:pPr>
        <w:tabs>
          <w:tab w:val="left" w:pos="425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</w:p>
    <w:p w14:paraId="40D55B6D" w14:textId="69A7F68F" w:rsidR="000F010E" w:rsidRPr="007D1B90" w:rsidRDefault="000F010E" w:rsidP="000F010E">
      <w:pPr>
        <w:tabs>
          <w:tab w:val="left" w:pos="425"/>
        </w:tabs>
        <w:jc w:val="both"/>
        <w:rPr>
          <w:rFonts w:ascii="Arial" w:hAnsi="Arial" w:cs="Arial"/>
          <w:iCs/>
          <w:sz w:val="22"/>
          <w:szCs w:val="22"/>
          <w:lang w:val="es-ES_tradnl"/>
        </w:rPr>
      </w:pPr>
      <w:r w:rsidRPr="007D1B90">
        <w:rPr>
          <w:rFonts w:ascii="Arial" w:hAnsi="Arial" w:cs="Arial"/>
          <w:iCs/>
          <w:sz w:val="22"/>
          <w:szCs w:val="22"/>
          <w:lang w:val="es-ES_tradnl"/>
        </w:rPr>
        <w:tab/>
        <w:t xml:space="preserve">Que, el Comité Andino de Estadísticas (CAE), en su </w:t>
      </w:r>
      <w:r w:rsidR="00B645F8" w:rsidRPr="007D1B90">
        <w:rPr>
          <w:rFonts w:ascii="Arial" w:hAnsi="Arial" w:cs="Arial"/>
          <w:iCs/>
          <w:sz w:val="22"/>
          <w:szCs w:val="22"/>
          <w:lang w:val="es-ES_tradnl"/>
        </w:rPr>
        <w:t>XLVI</w:t>
      </w:r>
      <w:r w:rsidRPr="007D1B90">
        <w:rPr>
          <w:rFonts w:ascii="Arial" w:hAnsi="Arial" w:cs="Arial"/>
          <w:iCs/>
          <w:sz w:val="22"/>
          <w:szCs w:val="22"/>
          <w:lang w:val="es-ES_tradnl"/>
        </w:rPr>
        <w:t xml:space="preserve"> Reunión </w:t>
      </w:r>
      <w:r w:rsidR="00FE7798" w:rsidRPr="007D1B90">
        <w:rPr>
          <w:rFonts w:ascii="Arial" w:hAnsi="Arial" w:cs="Arial"/>
          <w:iCs/>
          <w:sz w:val="22"/>
          <w:szCs w:val="22"/>
          <w:lang w:val="es-ES_tradnl"/>
        </w:rPr>
        <w:t>O</w:t>
      </w:r>
      <w:r w:rsidR="00B645F8" w:rsidRPr="007D1B90">
        <w:rPr>
          <w:rFonts w:ascii="Arial" w:hAnsi="Arial" w:cs="Arial"/>
          <w:iCs/>
          <w:sz w:val="22"/>
          <w:szCs w:val="22"/>
          <w:lang w:val="es-ES_tradnl"/>
        </w:rPr>
        <w:t>rdinaria</w:t>
      </w:r>
      <w:r w:rsidRPr="007D1B90">
        <w:rPr>
          <w:rFonts w:ascii="Arial" w:hAnsi="Arial" w:cs="Arial"/>
          <w:iCs/>
          <w:sz w:val="22"/>
          <w:szCs w:val="22"/>
          <w:lang w:val="es-ES_tradnl"/>
        </w:rPr>
        <w:t xml:space="preserve"> efectuada bajo la modalidad de </w:t>
      </w:r>
      <w:r w:rsidR="00FE7798" w:rsidRPr="007D1B90">
        <w:rPr>
          <w:rFonts w:ascii="Arial" w:hAnsi="Arial" w:cs="Arial"/>
          <w:iCs/>
          <w:sz w:val="22"/>
          <w:szCs w:val="22"/>
          <w:lang w:val="es-ES_tradnl"/>
        </w:rPr>
        <w:t>videoconferencia</w:t>
      </w:r>
      <w:r w:rsidRPr="007D1B90">
        <w:rPr>
          <w:rFonts w:ascii="Arial" w:hAnsi="Arial" w:cs="Arial"/>
          <w:iCs/>
          <w:sz w:val="22"/>
          <w:szCs w:val="22"/>
          <w:lang w:val="es-ES_tradnl"/>
        </w:rPr>
        <w:t xml:space="preserve"> el </w:t>
      </w:r>
      <w:r w:rsidR="00FE7798" w:rsidRPr="007D1B90">
        <w:rPr>
          <w:rFonts w:ascii="Arial" w:hAnsi="Arial" w:cs="Arial"/>
          <w:iCs/>
          <w:sz w:val="22"/>
          <w:szCs w:val="22"/>
          <w:lang w:val="es-ES_tradnl"/>
        </w:rPr>
        <w:t>17</w:t>
      </w:r>
      <w:r w:rsidRPr="007D1B90">
        <w:rPr>
          <w:rFonts w:ascii="Arial" w:hAnsi="Arial" w:cs="Arial"/>
          <w:iCs/>
          <w:sz w:val="22"/>
          <w:szCs w:val="22"/>
          <w:lang w:val="es-ES_tradnl"/>
        </w:rPr>
        <w:t xml:space="preserve"> de </w:t>
      </w:r>
      <w:r w:rsidR="00FE7798" w:rsidRPr="007D1B90">
        <w:rPr>
          <w:rFonts w:ascii="Arial" w:hAnsi="Arial" w:cs="Arial"/>
          <w:iCs/>
          <w:sz w:val="22"/>
          <w:szCs w:val="22"/>
          <w:lang w:val="es-ES_tradnl"/>
        </w:rPr>
        <w:t>enero</w:t>
      </w:r>
      <w:r w:rsidRPr="007D1B90">
        <w:rPr>
          <w:rFonts w:ascii="Arial" w:hAnsi="Arial" w:cs="Arial"/>
          <w:iCs/>
          <w:sz w:val="22"/>
          <w:szCs w:val="22"/>
          <w:lang w:val="es-ES_tradnl"/>
        </w:rPr>
        <w:t xml:space="preserve"> de 20</w:t>
      </w:r>
      <w:r w:rsidR="00FE7798" w:rsidRPr="007D1B90">
        <w:rPr>
          <w:rFonts w:ascii="Arial" w:hAnsi="Arial" w:cs="Arial"/>
          <w:iCs/>
          <w:sz w:val="22"/>
          <w:szCs w:val="22"/>
          <w:lang w:val="es-ES_tradnl"/>
        </w:rPr>
        <w:t>24</w:t>
      </w:r>
      <w:r w:rsidRPr="007D1B90">
        <w:rPr>
          <w:rFonts w:ascii="Arial" w:hAnsi="Arial" w:cs="Arial"/>
          <w:iCs/>
          <w:sz w:val="22"/>
          <w:szCs w:val="22"/>
          <w:lang w:val="es-ES_tradnl"/>
        </w:rPr>
        <w:t>, recomendó</w:t>
      </w:r>
      <w:r w:rsidRPr="007D1B90">
        <w:rPr>
          <w:rFonts w:ascii="Arial" w:hAnsi="Arial" w:cs="Arial"/>
          <w:sz w:val="22"/>
          <w:szCs w:val="22"/>
          <w:lang w:val="es-ES_tradnl"/>
        </w:rPr>
        <w:t xml:space="preserve"> su adopción mediante Resolución de la Secretaría General; </w:t>
      </w:r>
    </w:p>
    <w:p w14:paraId="1C67A936" w14:textId="77777777" w:rsidR="000F010E" w:rsidRPr="007D1B90" w:rsidRDefault="000F010E" w:rsidP="000F010E">
      <w:pPr>
        <w:tabs>
          <w:tab w:val="left" w:pos="425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val="es-ES_tradnl"/>
        </w:rPr>
      </w:pPr>
    </w:p>
    <w:p w14:paraId="78470814" w14:textId="77777777" w:rsidR="000F010E" w:rsidRPr="007D1B90" w:rsidRDefault="000F010E" w:rsidP="000F010E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80DEF2F" w14:textId="77777777" w:rsidR="000F010E" w:rsidRPr="007D1B90" w:rsidRDefault="000F010E" w:rsidP="000F010E">
      <w:pPr>
        <w:tabs>
          <w:tab w:val="left" w:pos="425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7D1B90">
        <w:rPr>
          <w:rFonts w:ascii="Arial" w:hAnsi="Arial" w:cs="Arial"/>
          <w:b/>
          <w:sz w:val="22"/>
          <w:szCs w:val="22"/>
          <w:lang w:val="es-ES_tradnl"/>
        </w:rPr>
        <w:t>RESUELVE:</w:t>
      </w:r>
    </w:p>
    <w:p w14:paraId="299DCB19" w14:textId="77777777" w:rsidR="000F010E" w:rsidRPr="007D1B90" w:rsidRDefault="000F010E" w:rsidP="000F010E">
      <w:pPr>
        <w:tabs>
          <w:tab w:val="left" w:pos="425"/>
        </w:tabs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25853C93" w14:textId="77777777" w:rsidR="000F010E" w:rsidRPr="007D1B90" w:rsidRDefault="000F010E" w:rsidP="000F010E">
      <w:pPr>
        <w:tabs>
          <w:tab w:val="left" w:pos="425"/>
        </w:tabs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0371999D" w14:textId="5CA105EE" w:rsidR="000F010E" w:rsidRPr="007D1B90" w:rsidRDefault="000F010E" w:rsidP="000F010E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D1B90">
        <w:rPr>
          <w:rFonts w:ascii="Arial" w:hAnsi="Arial" w:cs="Arial"/>
          <w:b/>
          <w:sz w:val="22"/>
          <w:szCs w:val="22"/>
          <w:lang w:val="es-ES_tradnl"/>
        </w:rPr>
        <w:tab/>
        <w:t>Artículo 1.-</w:t>
      </w:r>
      <w:r w:rsidRPr="007D1B90">
        <w:rPr>
          <w:rFonts w:ascii="Arial" w:hAnsi="Arial" w:cs="Arial"/>
          <w:sz w:val="22"/>
          <w:szCs w:val="22"/>
          <w:lang w:val="es-ES_tradnl"/>
        </w:rPr>
        <w:t xml:space="preserve"> Adoptar la Metodología para la Transmisión de Datos Estadísticos Trimestrales sobre el Transporte Acuático Internacional de Mercancías y Pasajeros, contenido en el Anexo de la presente Resolución.</w:t>
      </w:r>
    </w:p>
    <w:p w14:paraId="381ED714" w14:textId="77777777" w:rsidR="000F010E" w:rsidRPr="007D1B90" w:rsidRDefault="000F010E" w:rsidP="000F010E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22DF934" w14:textId="527E1BFD" w:rsidR="000F010E" w:rsidRPr="007D1B90" w:rsidRDefault="000F010E" w:rsidP="000F010E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D1B90">
        <w:rPr>
          <w:rFonts w:ascii="Arial" w:hAnsi="Arial" w:cs="Arial"/>
          <w:b/>
          <w:sz w:val="22"/>
          <w:szCs w:val="22"/>
          <w:lang w:val="es-ES_tradnl"/>
        </w:rPr>
        <w:tab/>
      </w:r>
      <w:bookmarkStart w:id="2" w:name="_Hlk39042713"/>
      <w:r w:rsidRPr="007D1B90">
        <w:rPr>
          <w:rFonts w:ascii="Arial" w:hAnsi="Arial" w:cs="Arial"/>
          <w:b/>
          <w:sz w:val="22"/>
          <w:szCs w:val="22"/>
          <w:lang w:val="es-ES_tradnl"/>
        </w:rPr>
        <w:t>Artículo 2.-</w:t>
      </w:r>
      <w:r w:rsidRPr="007D1B90">
        <w:rPr>
          <w:rFonts w:ascii="Arial" w:hAnsi="Arial" w:cs="Arial"/>
          <w:sz w:val="22"/>
          <w:szCs w:val="22"/>
          <w:lang w:val="es-ES_tradnl"/>
        </w:rPr>
        <w:t xml:space="preserve"> Los Países Miembros deberán </w:t>
      </w:r>
      <w:r w:rsidR="00264D83" w:rsidRPr="007D1B90">
        <w:rPr>
          <w:rFonts w:ascii="Arial" w:hAnsi="Arial" w:cs="Arial"/>
          <w:sz w:val="22"/>
          <w:szCs w:val="22"/>
          <w:lang w:val="es-ES_tradnl"/>
        </w:rPr>
        <w:t xml:space="preserve">notificar </w:t>
      </w:r>
      <w:r w:rsidRPr="007D1B90">
        <w:rPr>
          <w:rFonts w:ascii="Arial" w:hAnsi="Arial" w:cs="Arial"/>
          <w:sz w:val="22"/>
          <w:szCs w:val="22"/>
          <w:lang w:val="es-ES_tradnl"/>
        </w:rPr>
        <w:t>a la Secretaría General de la Comunidad Andina</w:t>
      </w:r>
      <w:r w:rsidR="00C90E8C" w:rsidRPr="007D1B90">
        <w:rPr>
          <w:rFonts w:ascii="Arial" w:hAnsi="Arial" w:cs="Arial"/>
          <w:sz w:val="22"/>
          <w:szCs w:val="22"/>
          <w:lang w:val="es-ES_tradnl"/>
        </w:rPr>
        <w:t xml:space="preserve">, a </w:t>
      </w:r>
      <w:r w:rsidR="00B2430C" w:rsidRPr="007D1B90">
        <w:rPr>
          <w:rFonts w:ascii="Arial" w:hAnsi="Arial" w:cs="Arial"/>
          <w:sz w:val="22"/>
          <w:szCs w:val="22"/>
          <w:lang w:val="es-ES_tradnl"/>
        </w:rPr>
        <w:t>través de</w:t>
      </w:r>
      <w:r w:rsidR="00C90E8C" w:rsidRPr="007D1B90">
        <w:rPr>
          <w:rFonts w:ascii="Arial" w:hAnsi="Arial" w:cs="Arial"/>
          <w:sz w:val="22"/>
          <w:szCs w:val="22"/>
          <w:lang w:val="es-ES_tradnl"/>
        </w:rPr>
        <w:t xml:space="preserve"> sus órganos de enlace,</w:t>
      </w:r>
      <w:r w:rsidR="00ED1657" w:rsidRPr="007D1B90">
        <w:rPr>
          <w:rFonts w:ascii="Arial" w:hAnsi="Arial" w:cs="Arial"/>
          <w:sz w:val="22"/>
          <w:szCs w:val="22"/>
          <w:lang w:val="es-ES_tradnl"/>
        </w:rPr>
        <w:t xml:space="preserve"> las autoridades nacionales competentes responsables de la transmisión de datos a que hace referencia el artículo anterior</w:t>
      </w:r>
      <w:r w:rsidRPr="007D1B90">
        <w:rPr>
          <w:rFonts w:ascii="Arial" w:hAnsi="Arial" w:cs="Arial"/>
          <w:sz w:val="22"/>
          <w:szCs w:val="22"/>
          <w:lang w:val="es-ES_tradnl"/>
        </w:rPr>
        <w:t xml:space="preserve">, dentro del plazo de </w:t>
      </w:r>
      <w:r w:rsidR="00961473" w:rsidRPr="007D1B90">
        <w:rPr>
          <w:rFonts w:ascii="Arial" w:hAnsi="Arial" w:cs="Arial"/>
          <w:sz w:val="22"/>
          <w:szCs w:val="22"/>
          <w:lang w:val="es-ES_tradnl"/>
        </w:rPr>
        <w:t>sesenta (</w:t>
      </w:r>
      <w:r w:rsidRPr="007D1B90">
        <w:rPr>
          <w:rFonts w:ascii="Arial" w:hAnsi="Arial" w:cs="Arial"/>
          <w:sz w:val="22"/>
          <w:szCs w:val="22"/>
          <w:lang w:val="es-ES_tradnl"/>
        </w:rPr>
        <w:t>60</w:t>
      </w:r>
      <w:r w:rsidR="006F6347" w:rsidRPr="007D1B90">
        <w:rPr>
          <w:rFonts w:ascii="Arial" w:hAnsi="Arial" w:cs="Arial"/>
          <w:sz w:val="22"/>
          <w:szCs w:val="22"/>
          <w:lang w:val="es-ES_tradnl"/>
        </w:rPr>
        <w:t>)</w:t>
      </w:r>
      <w:r w:rsidRPr="007D1B90">
        <w:rPr>
          <w:rFonts w:ascii="Arial" w:hAnsi="Arial" w:cs="Arial"/>
          <w:sz w:val="22"/>
          <w:szCs w:val="22"/>
          <w:lang w:val="es-ES_tradnl"/>
        </w:rPr>
        <w:t xml:space="preserve"> días calendario,</w:t>
      </w:r>
      <w:r w:rsidR="009F11B9" w:rsidRPr="007D1B90">
        <w:rPr>
          <w:rFonts w:ascii="Arial" w:hAnsi="Arial" w:cs="Arial"/>
          <w:sz w:val="22"/>
          <w:szCs w:val="22"/>
          <w:lang w:val="es-ES_tradnl"/>
        </w:rPr>
        <w:t xml:space="preserve"> contados</w:t>
      </w:r>
      <w:r w:rsidRPr="007D1B90">
        <w:rPr>
          <w:rFonts w:ascii="Arial" w:hAnsi="Arial" w:cs="Arial"/>
          <w:sz w:val="22"/>
          <w:szCs w:val="22"/>
          <w:lang w:val="es-ES_tradnl"/>
        </w:rPr>
        <w:t xml:space="preserve"> a partir de la vigencia de la presente Resolución</w:t>
      </w:r>
      <w:r w:rsidR="00456544" w:rsidRPr="007D1B90">
        <w:rPr>
          <w:rFonts w:ascii="Arial" w:hAnsi="Arial" w:cs="Arial"/>
          <w:sz w:val="22"/>
          <w:szCs w:val="22"/>
          <w:lang w:val="es-ES_tradnl"/>
        </w:rPr>
        <w:t>.</w:t>
      </w:r>
    </w:p>
    <w:p w14:paraId="08BDF8B1" w14:textId="77777777" w:rsidR="000F010E" w:rsidRPr="007D1B90" w:rsidRDefault="000F010E" w:rsidP="000F010E">
      <w:pPr>
        <w:tabs>
          <w:tab w:val="left" w:pos="425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AFA45A3" w14:textId="2520F894" w:rsidR="000F010E" w:rsidRPr="007D1B90" w:rsidRDefault="000F010E" w:rsidP="000F010E">
      <w:pPr>
        <w:pStyle w:val="Estilo2"/>
        <w:tabs>
          <w:tab w:val="left" w:pos="426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D1B90">
        <w:rPr>
          <w:rFonts w:cs="Arial"/>
          <w:b/>
          <w:sz w:val="22"/>
          <w:szCs w:val="22"/>
        </w:rPr>
        <w:tab/>
        <w:t xml:space="preserve">Artículo 3.- </w:t>
      </w:r>
      <w:bookmarkEnd w:id="2"/>
      <w:r w:rsidRPr="007D1B90">
        <w:rPr>
          <w:rFonts w:cs="Arial"/>
          <w:sz w:val="22"/>
          <w:szCs w:val="22"/>
        </w:rPr>
        <w:t xml:space="preserve">Las autoridades nacionales competentes responsables de la transmisión de datos, remitirán a la Secretaría General de la Comunidad Andina, trimestralmente y dentro de los tres </w:t>
      </w:r>
      <w:r w:rsidR="007B06F1" w:rsidRPr="007D1B90">
        <w:rPr>
          <w:rFonts w:cs="Arial"/>
          <w:sz w:val="22"/>
          <w:szCs w:val="22"/>
        </w:rPr>
        <w:t xml:space="preserve">(3) </w:t>
      </w:r>
      <w:r w:rsidRPr="007D1B90">
        <w:rPr>
          <w:rFonts w:cs="Arial"/>
          <w:sz w:val="22"/>
          <w:szCs w:val="22"/>
        </w:rPr>
        <w:t>meses posteriores al período de referencia de la información, los datos obtenidos de la aplicación de</w:t>
      </w:r>
      <w:r w:rsidR="007E7356" w:rsidRPr="007D1B90">
        <w:rPr>
          <w:rFonts w:cs="Arial"/>
          <w:sz w:val="22"/>
          <w:szCs w:val="22"/>
        </w:rPr>
        <w:t xml:space="preserve"> la</w:t>
      </w:r>
      <w:r w:rsidRPr="007D1B90">
        <w:rPr>
          <w:rFonts w:cs="Arial"/>
          <w:sz w:val="22"/>
          <w:szCs w:val="22"/>
        </w:rPr>
        <w:t xml:space="preserve"> metodología a</w:t>
      </w:r>
      <w:r w:rsidR="00456544" w:rsidRPr="007D1B90">
        <w:rPr>
          <w:rFonts w:cs="Arial"/>
          <w:sz w:val="22"/>
          <w:szCs w:val="22"/>
        </w:rPr>
        <w:t xml:space="preserve"> la</w:t>
      </w:r>
      <w:r w:rsidRPr="007D1B90">
        <w:rPr>
          <w:rFonts w:cs="Arial"/>
          <w:sz w:val="22"/>
          <w:szCs w:val="22"/>
        </w:rPr>
        <w:t xml:space="preserve"> que se refiere el artículo 1 de la presente Resolución.</w:t>
      </w:r>
    </w:p>
    <w:p w14:paraId="6E4E65EA" w14:textId="77777777" w:rsidR="000F010E" w:rsidRPr="007D1B90" w:rsidRDefault="000F010E" w:rsidP="000F010E">
      <w:pPr>
        <w:pStyle w:val="Estilo2"/>
        <w:tabs>
          <w:tab w:val="left" w:pos="426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0A8AAD5" w14:textId="77777777" w:rsidR="000F010E" w:rsidRPr="007D1B90" w:rsidRDefault="000F010E" w:rsidP="000F010E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D1B90">
        <w:rPr>
          <w:rFonts w:ascii="Arial" w:hAnsi="Arial" w:cs="Arial"/>
          <w:b/>
          <w:sz w:val="22"/>
          <w:szCs w:val="22"/>
          <w:lang w:val="es-ES_tradnl"/>
        </w:rPr>
        <w:tab/>
        <w:t>Artículo 4.-</w:t>
      </w:r>
      <w:r w:rsidRPr="007D1B90">
        <w:rPr>
          <w:rFonts w:ascii="Arial" w:hAnsi="Arial" w:cs="Arial"/>
          <w:sz w:val="22"/>
          <w:szCs w:val="22"/>
          <w:lang w:val="es-ES_tradnl"/>
        </w:rPr>
        <w:t xml:space="preserve"> Derogar la Resolución 1409 de la Secretaría General de la Comunidad Andina.</w:t>
      </w:r>
    </w:p>
    <w:p w14:paraId="71AE8BB6" w14:textId="77777777" w:rsidR="000F010E" w:rsidRPr="007D1B90" w:rsidRDefault="000F010E" w:rsidP="000F010E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032B941" w14:textId="77777777" w:rsidR="000F010E" w:rsidRPr="007D1B90" w:rsidRDefault="000F010E" w:rsidP="000F010E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D1B90">
        <w:rPr>
          <w:rFonts w:ascii="Arial" w:hAnsi="Arial" w:cs="Arial"/>
          <w:sz w:val="22"/>
          <w:szCs w:val="22"/>
          <w:lang w:val="es-ES_tradnl"/>
        </w:rPr>
        <w:t>La presente Resolución entrará en vigencia a partir de su publicación en la Gaceta Oficial del Acuerdo de Cartagena.</w:t>
      </w:r>
    </w:p>
    <w:p w14:paraId="44F9E16F" w14:textId="77777777" w:rsidR="000F010E" w:rsidRPr="007D1B90" w:rsidRDefault="000F010E" w:rsidP="000F010E">
      <w:pPr>
        <w:pStyle w:val="Estilo2"/>
        <w:tabs>
          <w:tab w:val="left" w:pos="426"/>
        </w:tabs>
        <w:rPr>
          <w:rFonts w:cs="Arial"/>
          <w:sz w:val="22"/>
          <w:szCs w:val="22"/>
        </w:rPr>
      </w:pPr>
    </w:p>
    <w:p w14:paraId="414A2B9A" w14:textId="50B60A79" w:rsidR="000F010E" w:rsidRDefault="000F010E" w:rsidP="000F010E">
      <w:pPr>
        <w:pStyle w:val="Estilo2"/>
        <w:tabs>
          <w:tab w:val="left" w:pos="426"/>
        </w:tabs>
        <w:rPr>
          <w:rFonts w:cs="Arial"/>
          <w:sz w:val="22"/>
          <w:szCs w:val="22"/>
        </w:rPr>
      </w:pPr>
      <w:r w:rsidRPr="007D1B90">
        <w:rPr>
          <w:rFonts w:cs="Arial"/>
          <w:sz w:val="22"/>
          <w:szCs w:val="22"/>
        </w:rPr>
        <w:tab/>
        <w:t xml:space="preserve">Dada en la ciudad de Lima, Perú, a los </w:t>
      </w:r>
      <w:r w:rsidR="007D1B90" w:rsidRPr="007D1B90">
        <w:rPr>
          <w:rFonts w:cs="Arial"/>
          <w:sz w:val="22"/>
          <w:szCs w:val="22"/>
        </w:rPr>
        <w:t>veintiocho</w:t>
      </w:r>
      <w:r w:rsidRPr="007D1B90">
        <w:rPr>
          <w:rFonts w:cs="Arial"/>
          <w:sz w:val="22"/>
          <w:szCs w:val="22"/>
        </w:rPr>
        <w:t xml:space="preserve"> días del mes de</w:t>
      </w:r>
      <w:r w:rsidR="007D1B90" w:rsidRPr="007D1B90">
        <w:rPr>
          <w:rFonts w:cs="Arial"/>
          <w:sz w:val="22"/>
          <w:szCs w:val="22"/>
        </w:rPr>
        <w:t xml:space="preserve"> febrero </w:t>
      </w:r>
      <w:r w:rsidRPr="007D1B90">
        <w:rPr>
          <w:rFonts w:cs="Arial"/>
          <w:sz w:val="22"/>
          <w:szCs w:val="22"/>
        </w:rPr>
        <w:t xml:space="preserve">del año </w:t>
      </w:r>
      <w:r w:rsidR="00C47840" w:rsidRPr="007D1B90">
        <w:rPr>
          <w:rFonts w:cs="Arial"/>
          <w:sz w:val="22"/>
          <w:szCs w:val="22"/>
        </w:rPr>
        <w:t>dos mil veinticuatro</w:t>
      </w:r>
      <w:r w:rsidRPr="007D1B90">
        <w:rPr>
          <w:rFonts w:cs="Arial"/>
          <w:sz w:val="22"/>
          <w:szCs w:val="22"/>
        </w:rPr>
        <w:t>.</w:t>
      </w:r>
    </w:p>
    <w:p w14:paraId="72BC921B" w14:textId="7ADB40F7" w:rsidR="00836B74" w:rsidRDefault="00836B74" w:rsidP="000F010E">
      <w:pPr>
        <w:pStyle w:val="Estilo2"/>
        <w:tabs>
          <w:tab w:val="left" w:pos="426"/>
        </w:tabs>
        <w:rPr>
          <w:rFonts w:cs="Arial"/>
          <w:sz w:val="22"/>
          <w:szCs w:val="22"/>
        </w:rPr>
      </w:pPr>
    </w:p>
    <w:p w14:paraId="48583625" w14:textId="54DF85BE" w:rsidR="00836B74" w:rsidRDefault="00836B74" w:rsidP="000F010E">
      <w:pPr>
        <w:pStyle w:val="Estilo2"/>
        <w:tabs>
          <w:tab w:val="left" w:pos="426"/>
        </w:tabs>
        <w:rPr>
          <w:rFonts w:cs="Arial"/>
          <w:sz w:val="22"/>
          <w:szCs w:val="22"/>
        </w:rPr>
      </w:pPr>
    </w:p>
    <w:p w14:paraId="1E1AB7DF" w14:textId="108B0ECD" w:rsidR="00836B74" w:rsidRDefault="00836B74" w:rsidP="000F010E">
      <w:pPr>
        <w:pStyle w:val="Estilo2"/>
        <w:tabs>
          <w:tab w:val="left" w:pos="426"/>
        </w:tabs>
        <w:rPr>
          <w:rFonts w:cs="Arial"/>
          <w:sz w:val="22"/>
          <w:szCs w:val="22"/>
        </w:rPr>
      </w:pPr>
    </w:p>
    <w:p w14:paraId="41C38B8A" w14:textId="68D87B6E" w:rsidR="00836B74" w:rsidRDefault="00836B74" w:rsidP="000F010E">
      <w:pPr>
        <w:pStyle w:val="Estilo2"/>
        <w:tabs>
          <w:tab w:val="left" w:pos="426"/>
        </w:tabs>
        <w:rPr>
          <w:rFonts w:cs="Arial"/>
          <w:sz w:val="22"/>
          <w:szCs w:val="22"/>
        </w:rPr>
      </w:pPr>
    </w:p>
    <w:p w14:paraId="54040792" w14:textId="77B2EECB" w:rsidR="00836B74" w:rsidRDefault="00836B74" w:rsidP="000F010E">
      <w:pPr>
        <w:pStyle w:val="Estilo2"/>
        <w:tabs>
          <w:tab w:val="left" w:pos="426"/>
        </w:tabs>
        <w:rPr>
          <w:rFonts w:cs="Arial"/>
          <w:sz w:val="22"/>
          <w:szCs w:val="22"/>
        </w:rPr>
      </w:pPr>
    </w:p>
    <w:p w14:paraId="267FE566" w14:textId="3CF9E209" w:rsidR="00836B74" w:rsidRDefault="00836B74" w:rsidP="000F010E">
      <w:pPr>
        <w:pStyle w:val="Estilo2"/>
        <w:tabs>
          <w:tab w:val="left" w:pos="426"/>
        </w:tabs>
        <w:rPr>
          <w:rFonts w:cs="Arial"/>
          <w:sz w:val="22"/>
          <w:szCs w:val="22"/>
        </w:rPr>
      </w:pPr>
    </w:p>
    <w:p w14:paraId="59614C22" w14:textId="77777777" w:rsidR="00836B74" w:rsidRPr="007D1B90" w:rsidRDefault="00836B74" w:rsidP="000F010E">
      <w:pPr>
        <w:pStyle w:val="Estilo2"/>
        <w:tabs>
          <w:tab w:val="left" w:pos="426"/>
        </w:tabs>
        <w:rPr>
          <w:rFonts w:cs="Arial"/>
          <w:sz w:val="22"/>
          <w:szCs w:val="22"/>
        </w:rPr>
      </w:pPr>
    </w:p>
    <w:p w14:paraId="59F274B8" w14:textId="77777777" w:rsidR="000F010E" w:rsidRPr="007D1B90" w:rsidRDefault="000F010E" w:rsidP="000F010E">
      <w:pPr>
        <w:tabs>
          <w:tab w:val="left" w:pos="425"/>
        </w:tabs>
        <w:rPr>
          <w:rFonts w:ascii="Arial" w:hAnsi="Arial" w:cs="Arial"/>
          <w:sz w:val="22"/>
          <w:szCs w:val="22"/>
          <w:lang w:val="es-ES_tradnl"/>
        </w:rPr>
      </w:pPr>
    </w:p>
    <w:p w14:paraId="7AC5BBF9" w14:textId="77777777" w:rsidR="0004020F" w:rsidRPr="007D1B90" w:rsidRDefault="0004020F" w:rsidP="000F010E">
      <w:pPr>
        <w:tabs>
          <w:tab w:val="left" w:pos="425"/>
        </w:tabs>
        <w:rPr>
          <w:rFonts w:ascii="Arial" w:hAnsi="Arial" w:cs="Arial"/>
          <w:sz w:val="22"/>
          <w:szCs w:val="22"/>
          <w:lang w:val="es-ES_tradnl"/>
        </w:rPr>
      </w:pPr>
    </w:p>
    <w:p w14:paraId="45749A33" w14:textId="2A9B9ADC" w:rsidR="000F010E" w:rsidRPr="007D1B90" w:rsidRDefault="00A061A7" w:rsidP="000F010E">
      <w:pPr>
        <w:jc w:val="center"/>
        <w:rPr>
          <w:rFonts w:ascii="Arial" w:hAnsi="Arial" w:cs="Arial"/>
          <w:sz w:val="22"/>
          <w:szCs w:val="22"/>
        </w:rPr>
      </w:pPr>
      <w:r w:rsidRPr="007D1B90">
        <w:rPr>
          <w:rFonts w:ascii="Arial" w:hAnsi="Arial" w:cs="Arial"/>
          <w:sz w:val="22"/>
          <w:szCs w:val="22"/>
        </w:rPr>
        <w:t>Gonzalo Guti</w:t>
      </w:r>
      <w:r w:rsidR="00707204" w:rsidRPr="007D1B90">
        <w:rPr>
          <w:rFonts w:ascii="Arial" w:hAnsi="Arial" w:cs="Arial"/>
          <w:sz w:val="22"/>
          <w:szCs w:val="22"/>
        </w:rPr>
        <w:t>é</w:t>
      </w:r>
      <w:r w:rsidRPr="007D1B90">
        <w:rPr>
          <w:rFonts w:ascii="Arial" w:hAnsi="Arial" w:cs="Arial"/>
          <w:sz w:val="22"/>
          <w:szCs w:val="22"/>
        </w:rPr>
        <w:t xml:space="preserve">rrez </w:t>
      </w:r>
      <w:proofErr w:type="spellStart"/>
      <w:r w:rsidR="00DC50AC" w:rsidRPr="007D1B90">
        <w:rPr>
          <w:rFonts w:ascii="Arial" w:hAnsi="Arial" w:cs="Arial"/>
          <w:sz w:val="22"/>
          <w:szCs w:val="22"/>
        </w:rPr>
        <w:t>Reinel</w:t>
      </w:r>
      <w:proofErr w:type="spellEnd"/>
    </w:p>
    <w:p w14:paraId="02E3BF51" w14:textId="7B97F321" w:rsidR="00DC50AC" w:rsidRPr="007D1B90" w:rsidRDefault="00DC50AC" w:rsidP="000F010E">
      <w:pPr>
        <w:jc w:val="center"/>
        <w:rPr>
          <w:rFonts w:ascii="Arial" w:hAnsi="Arial" w:cs="Arial"/>
          <w:sz w:val="22"/>
          <w:szCs w:val="22"/>
        </w:rPr>
      </w:pPr>
      <w:r w:rsidRPr="007D1B90">
        <w:rPr>
          <w:rFonts w:ascii="Arial" w:hAnsi="Arial" w:cs="Arial"/>
          <w:sz w:val="22"/>
          <w:szCs w:val="22"/>
        </w:rPr>
        <w:t xml:space="preserve">Embajador </w:t>
      </w:r>
    </w:p>
    <w:p w14:paraId="254C6AD3" w14:textId="0F573F57" w:rsidR="000F010E" w:rsidRPr="007D1B90" w:rsidRDefault="000F010E" w:rsidP="000F010E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7D1B90">
        <w:rPr>
          <w:rFonts w:ascii="Arial" w:hAnsi="Arial" w:cs="Arial"/>
          <w:sz w:val="22"/>
          <w:szCs w:val="22"/>
        </w:rPr>
        <w:t>Secretario General</w:t>
      </w:r>
      <w:r w:rsidR="002A4A13" w:rsidRPr="007D1B90">
        <w:rPr>
          <w:rFonts w:ascii="Arial" w:hAnsi="Arial" w:cs="Arial"/>
          <w:sz w:val="22"/>
          <w:szCs w:val="22"/>
        </w:rPr>
        <w:t xml:space="preserve"> </w:t>
      </w:r>
    </w:p>
    <w:p w14:paraId="599590C5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br w:type="page"/>
      </w: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ANEXO</w:t>
      </w:r>
    </w:p>
    <w:p w14:paraId="59DFAE81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75367C01" w14:textId="77777777" w:rsidR="000F010E" w:rsidRPr="007E2B1C" w:rsidRDefault="000F010E" w:rsidP="000F010E">
      <w:pPr>
        <w:pStyle w:val="Sangradetextonormal"/>
        <w:tabs>
          <w:tab w:val="left" w:pos="425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Metodología para la Transmisión de Datos Estadísticos Trimestrales sobre el Transporte Acuático Internacional de mercancías y pasajeros</w:t>
      </w:r>
    </w:p>
    <w:p w14:paraId="464016D8" w14:textId="77777777" w:rsidR="000F010E" w:rsidRPr="007E2B1C" w:rsidRDefault="000F010E" w:rsidP="000F010E">
      <w:pPr>
        <w:pStyle w:val="Sangradetextonormal"/>
        <w:tabs>
          <w:tab w:val="left" w:pos="425"/>
        </w:tabs>
        <w:spacing w:after="0"/>
        <w:ind w:left="0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3B92646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Contenido</w:t>
      </w:r>
    </w:p>
    <w:p w14:paraId="10FE220D" w14:textId="77777777" w:rsidR="000F010E" w:rsidRPr="007E2B1C" w:rsidRDefault="000F010E" w:rsidP="000F010E">
      <w:pPr>
        <w:ind w:left="360"/>
        <w:rPr>
          <w:rFonts w:ascii="Arial" w:hAnsi="Arial" w:cs="Arial"/>
          <w:b/>
          <w:sz w:val="24"/>
          <w:szCs w:val="24"/>
          <w:lang w:val="es-ES_tradnl"/>
        </w:rPr>
      </w:pPr>
    </w:p>
    <w:p w14:paraId="006CFF4E" w14:textId="77777777" w:rsidR="000F010E" w:rsidRPr="007E2B1C" w:rsidRDefault="000F010E" w:rsidP="000F010E">
      <w:pPr>
        <w:ind w:left="360"/>
        <w:rPr>
          <w:rFonts w:ascii="Arial" w:hAnsi="Arial" w:cs="Arial"/>
          <w:b/>
          <w:sz w:val="24"/>
          <w:szCs w:val="24"/>
          <w:lang w:val="es-ES_tradnl"/>
        </w:rPr>
      </w:pPr>
    </w:p>
    <w:p w14:paraId="708AF7C0" w14:textId="77777777" w:rsidR="000F010E" w:rsidRPr="007E2B1C" w:rsidRDefault="000F010E" w:rsidP="000F010E">
      <w:pPr>
        <w:numPr>
          <w:ilvl w:val="0"/>
          <w:numId w:val="26"/>
        </w:numPr>
        <w:ind w:hanging="654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Introducción</w:t>
      </w:r>
    </w:p>
    <w:p w14:paraId="1E4F653B" w14:textId="77777777" w:rsidR="000F010E" w:rsidRPr="007E2B1C" w:rsidRDefault="000F010E" w:rsidP="000F010E">
      <w:pPr>
        <w:numPr>
          <w:ilvl w:val="0"/>
          <w:numId w:val="26"/>
        </w:numPr>
        <w:ind w:hanging="654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Objetivo</w:t>
      </w:r>
    </w:p>
    <w:p w14:paraId="66EB5DC6" w14:textId="77777777" w:rsidR="000F010E" w:rsidRPr="007E2B1C" w:rsidRDefault="000F010E" w:rsidP="000F010E">
      <w:pPr>
        <w:numPr>
          <w:ilvl w:val="0"/>
          <w:numId w:val="26"/>
        </w:numPr>
        <w:ind w:hanging="654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Definiciones</w:t>
      </w:r>
    </w:p>
    <w:p w14:paraId="6E7970DC" w14:textId="77777777" w:rsidR="000F010E" w:rsidRPr="007E2B1C" w:rsidRDefault="000F010E" w:rsidP="000F010E">
      <w:pPr>
        <w:numPr>
          <w:ilvl w:val="0"/>
          <w:numId w:val="26"/>
        </w:numPr>
        <w:ind w:hanging="654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 xml:space="preserve">Datos que enviarán los Países Miembros </w:t>
      </w:r>
    </w:p>
    <w:p w14:paraId="43EB9265" w14:textId="77777777" w:rsidR="000F010E" w:rsidRPr="007E2B1C" w:rsidRDefault="000F010E" w:rsidP="000F010E">
      <w:pPr>
        <w:numPr>
          <w:ilvl w:val="0"/>
          <w:numId w:val="26"/>
        </w:numPr>
        <w:ind w:hanging="654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Procedimiento para el envío de los datos estadísticos</w:t>
      </w:r>
    </w:p>
    <w:p w14:paraId="3F5C0AE0" w14:textId="77777777" w:rsidR="000F010E" w:rsidRPr="007E2B1C" w:rsidRDefault="000F010E" w:rsidP="000F010E">
      <w:pPr>
        <w:numPr>
          <w:ilvl w:val="0"/>
          <w:numId w:val="26"/>
        </w:numPr>
        <w:ind w:hanging="654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Tablas de apoyo</w:t>
      </w:r>
    </w:p>
    <w:p w14:paraId="491A1994" w14:textId="77777777" w:rsidR="000F010E" w:rsidRPr="007E2B1C" w:rsidRDefault="000F010E" w:rsidP="000F010E">
      <w:pPr>
        <w:ind w:left="1080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Tabla 1: Periodo de reporte de las estadísticas</w:t>
      </w:r>
    </w:p>
    <w:p w14:paraId="09541351" w14:textId="77777777" w:rsidR="000F010E" w:rsidRPr="007E2B1C" w:rsidRDefault="000F010E" w:rsidP="000F010E">
      <w:pPr>
        <w:ind w:left="1080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Tabla 2: Clasificación del tipo de cargamento</w:t>
      </w:r>
    </w:p>
    <w:p w14:paraId="7975C803" w14:textId="77777777" w:rsidR="000F010E" w:rsidRPr="007E2B1C" w:rsidRDefault="000F010E" w:rsidP="000F010E">
      <w:pPr>
        <w:ind w:left="1080"/>
        <w:rPr>
          <w:rFonts w:ascii="Arial" w:hAnsi="Arial" w:cs="Arial"/>
          <w:sz w:val="24"/>
          <w:szCs w:val="24"/>
        </w:rPr>
      </w:pPr>
    </w:p>
    <w:p w14:paraId="36872722" w14:textId="77777777" w:rsidR="000F010E" w:rsidRPr="007E2B1C" w:rsidRDefault="000F010E" w:rsidP="000F010E">
      <w:pPr>
        <w:ind w:left="1080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Tablas referenciales:</w:t>
      </w:r>
    </w:p>
    <w:p w14:paraId="79F5098E" w14:textId="77777777" w:rsidR="000F010E" w:rsidRPr="007E2B1C" w:rsidRDefault="000F010E" w:rsidP="000F010E">
      <w:pPr>
        <w:ind w:left="1080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 xml:space="preserve">Nomenclatura Común del Sistema Armonizado de los Países Miembros de la Comunidad Andina </w:t>
      </w:r>
    </w:p>
    <w:p w14:paraId="487C945B" w14:textId="77777777" w:rsidR="000F010E" w:rsidRPr="007E2B1C" w:rsidRDefault="000F010E" w:rsidP="000F010E">
      <w:pPr>
        <w:ind w:left="1080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Puertos que registran tráfico internacional de mercancías y pasajeros en la Comunidad Andina.</w:t>
      </w:r>
    </w:p>
    <w:p w14:paraId="6E5445FE" w14:textId="77777777" w:rsidR="000F010E" w:rsidRPr="007E2B1C" w:rsidRDefault="000F010E" w:rsidP="000F010E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Tabulados de transmisión de los datos</w:t>
      </w:r>
    </w:p>
    <w:p w14:paraId="320E006F" w14:textId="77777777" w:rsidR="000F010E" w:rsidRPr="00953E55" w:rsidRDefault="000F010E" w:rsidP="000F010E">
      <w:pPr>
        <w:ind w:left="1080"/>
        <w:rPr>
          <w:rFonts w:ascii="Arial" w:hAnsi="Arial"/>
        </w:rPr>
      </w:pPr>
    </w:p>
    <w:p w14:paraId="5E33702C" w14:textId="77777777" w:rsidR="000F010E" w:rsidRDefault="000F010E" w:rsidP="000F010E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76633D9E" w14:textId="77777777" w:rsidR="000F010E" w:rsidRPr="007E2B1C" w:rsidRDefault="000F010E" w:rsidP="000F010E">
      <w:pPr>
        <w:rPr>
          <w:rFonts w:ascii="Arial" w:hAnsi="Arial" w:cs="Arial"/>
          <w:sz w:val="24"/>
          <w:szCs w:val="24"/>
        </w:rPr>
      </w:pPr>
    </w:p>
    <w:p w14:paraId="583FDD58" w14:textId="77777777" w:rsidR="000F010E" w:rsidRPr="007E2B1C" w:rsidRDefault="000F010E" w:rsidP="000F010E">
      <w:pPr>
        <w:numPr>
          <w:ilvl w:val="0"/>
          <w:numId w:val="23"/>
        </w:numPr>
        <w:tabs>
          <w:tab w:val="clear" w:pos="1080"/>
          <w:tab w:val="num" w:pos="426"/>
        </w:tabs>
        <w:ind w:hanging="1080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Introducción</w:t>
      </w:r>
    </w:p>
    <w:p w14:paraId="251B580E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250DD7D2" w14:textId="4C4BEAE0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La Comunidad Andina, a fin de promover efectivamente el desarrollo del transporte acuático, requiere información pertinente</w:t>
      </w:r>
      <w:r w:rsidR="008266CF">
        <w:rPr>
          <w:rFonts w:ascii="Arial" w:hAnsi="Arial" w:cs="Arial"/>
          <w:sz w:val="24"/>
          <w:szCs w:val="24"/>
          <w:lang w:val="es-ES_tradnl"/>
        </w:rPr>
        <w:t>, oportuna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y de calidad, que le permita monitorear, evaluar y tomar decisiones de políticas relativas al transporte acuático acorde con la evolución del proceso de integración andino y de los alcances del comercio. En ese sentido, es indispensable el desarrollo de un </w:t>
      </w:r>
      <w:r w:rsidR="008266CF">
        <w:rPr>
          <w:rFonts w:ascii="Arial" w:hAnsi="Arial" w:cs="Arial"/>
          <w:sz w:val="24"/>
          <w:szCs w:val="24"/>
          <w:lang w:val="es-ES_tradnl"/>
        </w:rPr>
        <w:t>s</w:t>
      </w:r>
      <w:r w:rsidRPr="007E2B1C">
        <w:rPr>
          <w:rFonts w:ascii="Arial" w:hAnsi="Arial" w:cs="Arial"/>
          <w:sz w:val="24"/>
          <w:szCs w:val="24"/>
          <w:lang w:val="es-ES_tradnl"/>
        </w:rPr>
        <w:t>istema electrónico que permita el almacenamiento de datos y la generación de estadísticas comunitarias.</w:t>
      </w:r>
    </w:p>
    <w:p w14:paraId="1F1D58C0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3E27FD6" w14:textId="77777777" w:rsidR="000F010E" w:rsidRPr="007E2B1C" w:rsidRDefault="000F010E" w:rsidP="000F010E">
      <w:pPr>
        <w:pStyle w:val="Estilo2"/>
        <w:autoSpaceDE w:val="0"/>
        <w:autoSpaceDN w:val="0"/>
        <w:adjustRightInd w:val="0"/>
        <w:rPr>
          <w:rFonts w:cs="Arial"/>
          <w:szCs w:val="24"/>
          <w:lang w:val="es-ES_tradnl"/>
        </w:rPr>
      </w:pPr>
      <w:r w:rsidRPr="007E2B1C">
        <w:rPr>
          <w:rFonts w:cs="Arial"/>
          <w:szCs w:val="24"/>
          <w:lang w:val="es-ES_tradnl"/>
        </w:rPr>
        <w:t xml:space="preserve">Esta metodología propone el procedimiento para la transmisión de la información estadística trimestral sobre el transporte acuático internacional de mercancías y pasajeros, que forma parte del artículo 3 de </w:t>
      </w:r>
      <w:smartTag w:uri="urn:schemas-microsoft-com:office:smarttags" w:element="PersonName">
        <w:smartTagPr>
          <w:attr w:name="ProductID" w:val="la Decisi￳n"/>
        </w:smartTagPr>
        <w:r w:rsidRPr="007E2B1C">
          <w:rPr>
            <w:rFonts w:cs="Arial"/>
            <w:szCs w:val="24"/>
            <w:lang w:val="es-ES_tradnl"/>
          </w:rPr>
          <w:t>la Decisión</w:t>
        </w:r>
      </w:smartTag>
      <w:r w:rsidRPr="007E2B1C">
        <w:rPr>
          <w:rFonts w:cs="Arial"/>
          <w:szCs w:val="24"/>
          <w:lang w:val="es-ES_tradnl"/>
        </w:rPr>
        <w:t xml:space="preserve"> 842, Elaboración de Estadísticas de Transporte Acuático de la Comunidad Andina. </w:t>
      </w:r>
    </w:p>
    <w:p w14:paraId="634F1686" w14:textId="77777777" w:rsidR="000F010E" w:rsidRPr="007E2B1C" w:rsidRDefault="000F010E" w:rsidP="000F010E">
      <w:pPr>
        <w:pStyle w:val="Estilo2"/>
        <w:autoSpaceDE w:val="0"/>
        <w:autoSpaceDN w:val="0"/>
        <w:adjustRightInd w:val="0"/>
        <w:rPr>
          <w:rFonts w:cs="Arial"/>
          <w:szCs w:val="24"/>
          <w:lang w:val="es-ES_tradnl"/>
        </w:rPr>
      </w:pPr>
    </w:p>
    <w:p w14:paraId="6C1FEE17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El documento desarrolla el contenido para cada uno de los cuadros, descripciones y las clasificaciones de las variables. Estas desagregaciones fueron sujetas a consideración de los Expertos Gubernamentales en Estadísticas de Transporte Acuático y, tras su análisis, observaciones y recomendaciones, constituyen el mecanismo de transmisión de la información estadística que será enviada por las autoridades nacionales competentes designadas a la Secretaría General de la Comunidad Andina.</w:t>
      </w:r>
    </w:p>
    <w:p w14:paraId="1FFDD946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68852214" w14:textId="77777777" w:rsidR="000F010E" w:rsidRPr="007E2B1C" w:rsidRDefault="000F010E" w:rsidP="000F010E">
      <w:pPr>
        <w:numPr>
          <w:ilvl w:val="0"/>
          <w:numId w:val="23"/>
        </w:numPr>
        <w:tabs>
          <w:tab w:val="clear" w:pos="1080"/>
          <w:tab w:val="num" w:pos="426"/>
        </w:tabs>
        <w:ind w:hanging="1080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Objetivo</w:t>
      </w:r>
    </w:p>
    <w:p w14:paraId="56793653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0325FEEC" w14:textId="2BAB5C2C" w:rsidR="000F010E" w:rsidRPr="007E2B1C" w:rsidRDefault="00200774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Establecer</w:t>
      </w:r>
      <w:r w:rsidR="00387E69">
        <w:rPr>
          <w:rFonts w:ascii="Arial" w:hAnsi="Arial" w:cs="Arial"/>
          <w:sz w:val="24"/>
          <w:szCs w:val="24"/>
          <w:lang w:val="es-ES_tradnl"/>
        </w:rPr>
        <w:t xml:space="preserve"> las disposiciones técnicas</w:t>
      </w:r>
      <w:r w:rsidR="000F010E" w:rsidRPr="007E2B1C">
        <w:rPr>
          <w:rFonts w:ascii="Arial" w:hAnsi="Arial" w:cs="Arial"/>
          <w:sz w:val="24"/>
          <w:szCs w:val="24"/>
          <w:lang w:val="es-ES_tradnl"/>
        </w:rPr>
        <w:t xml:space="preserve"> para la transmisión de las estadísticas trimestrales sobre el transporte acuático internacional de mercancías y pasajeros</w:t>
      </w:r>
      <w:r w:rsidR="004D4ACD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0F010E" w:rsidRPr="007E2B1C">
        <w:rPr>
          <w:rFonts w:ascii="Arial" w:hAnsi="Arial" w:cs="Arial"/>
          <w:sz w:val="24"/>
          <w:szCs w:val="24"/>
          <w:lang w:val="es-ES_tradnl"/>
        </w:rPr>
        <w:t>en cumplimiento del artículo 1 y 3 de la Decisión 842 relativo a la “Elaboración de Estadísticas de Transporte Acuático de la Comunidad Andina”.</w:t>
      </w:r>
    </w:p>
    <w:p w14:paraId="63B1655F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78ACBDA" w14:textId="77777777" w:rsidR="000F010E" w:rsidRPr="007E2B1C" w:rsidRDefault="000F010E" w:rsidP="000F010E">
      <w:pPr>
        <w:numPr>
          <w:ilvl w:val="0"/>
          <w:numId w:val="23"/>
        </w:numPr>
        <w:tabs>
          <w:tab w:val="clear" w:pos="1080"/>
          <w:tab w:val="num" w:pos="426"/>
        </w:tabs>
        <w:ind w:hanging="1080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Definiciones</w:t>
      </w:r>
    </w:p>
    <w:p w14:paraId="12BB289D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3111CE47" w14:textId="4EEFB30B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Arribo de buque: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Llegada de un buque o nave con la finalidad de movilizar carga y/o pasajeros.</w:t>
      </w:r>
    </w:p>
    <w:p w14:paraId="132338F6" w14:textId="77777777" w:rsidR="000F010E" w:rsidRPr="007E2B1C" w:rsidRDefault="000F010E" w:rsidP="000F010E">
      <w:pPr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94CED90" w14:textId="77777777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Buque comercial: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Es aquel buque o nave, u otra embarcación debidamente registrado y matriculado, utilizado para el transporte de mercancías, propias o de terceros, o de personas, o de ambos. Quedan excluidos del ámbito de aplicación de la presente Resolución los barcos de pesca y los buques factoría dedicados a la transformación del pescado, los buques destinados a perforación y exploración, los remolcadores, los empujadores, los </w:t>
      </w:r>
      <w:proofErr w:type="spellStart"/>
      <w:r w:rsidRPr="007E2B1C">
        <w:rPr>
          <w:rFonts w:ascii="Arial" w:hAnsi="Arial" w:cs="Arial"/>
          <w:sz w:val="24"/>
          <w:szCs w:val="24"/>
          <w:lang w:val="es-ES_tradnl"/>
        </w:rPr>
        <w:t>dragueros</w:t>
      </w:r>
      <w:proofErr w:type="spellEnd"/>
      <w:r w:rsidRPr="007E2B1C">
        <w:rPr>
          <w:rFonts w:ascii="Arial" w:hAnsi="Arial" w:cs="Arial"/>
          <w:sz w:val="24"/>
          <w:szCs w:val="24"/>
          <w:lang w:val="es-ES_tradnl"/>
        </w:rPr>
        <w:t>, los buques destinados a investigación y exploración, los buques de guerra y los buques utilizados exclusivamente con fines no comerciales.</w:t>
      </w:r>
    </w:p>
    <w:p w14:paraId="27428FFF" w14:textId="77777777" w:rsidR="000F010E" w:rsidRPr="007E2B1C" w:rsidRDefault="000F010E" w:rsidP="000F010E">
      <w:pPr>
        <w:pStyle w:val="Prrafodelista"/>
        <w:rPr>
          <w:rFonts w:ascii="Arial" w:hAnsi="Arial" w:cs="Arial"/>
          <w:lang w:val="es-ES_tradnl"/>
        </w:rPr>
      </w:pPr>
    </w:p>
    <w:p w14:paraId="3F9AE594" w14:textId="77777777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Contenedor de carga: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Es un equipo de transporte de naturaleza permanente y, por lo tanto, lo suficientemente fuerte como para ser adecuado para un uso repetido; especialmente diseñado para facilitar el transporte de mercancías en uno o más modos de transporte, sin recarga intermedia; equipados con dispositivos que permiten su fácil manejo, particularmente su transferencia de un modo de transporte a otro; están diseñados para ser fáciles de llenar y vaciar; tener una longitud de 20 pies o más; y las medidas de un contenedor, pueden ser: de 20, 40, 45 pies a más. </w:t>
      </w:r>
    </w:p>
    <w:p w14:paraId="34664498" w14:textId="77777777" w:rsidR="000F010E" w:rsidRPr="007E2B1C" w:rsidRDefault="000F010E" w:rsidP="000F010E">
      <w:pPr>
        <w:pStyle w:val="Prrafodelista"/>
        <w:rPr>
          <w:rFonts w:ascii="Arial" w:hAnsi="Arial" w:cs="Arial"/>
          <w:lang w:val="es-ES_tradnl"/>
        </w:rPr>
      </w:pPr>
    </w:p>
    <w:p w14:paraId="52624F4A" w14:textId="77777777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Crucero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: Buque de pasajeros destinado a suministrar a estos una experiencia turística completa; todos los pasajeros disponen de camarotes; se incluyen las instalaciones de entretenimiento a bordo; se excluyen los buques que desarrollan normalmente servicios de transbordador, incluso si algunos pasajeros lo consideran como crucero; también se excluyen los buques de carga capaces de llevar un número muy limitado de pasajeros con cabina propia; y los buques destinados únicamente a excursiones de un día.. </w:t>
      </w:r>
    </w:p>
    <w:p w14:paraId="20889C15" w14:textId="77777777" w:rsidR="000F010E" w:rsidRPr="007E2B1C" w:rsidRDefault="000F010E" w:rsidP="000F010E">
      <w:pPr>
        <w:pStyle w:val="Prrafodelista"/>
        <w:rPr>
          <w:rFonts w:ascii="Arial" w:hAnsi="Arial" w:cs="Arial"/>
          <w:b/>
          <w:lang w:val="es-ES_tradnl"/>
        </w:rPr>
      </w:pPr>
    </w:p>
    <w:p w14:paraId="33D88F12" w14:textId="77777777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Desembarque</w:t>
      </w:r>
      <w:r w:rsidRPr="007E2B1C">
        <w:rPr>
          <w:rFonts w:ascii="Arial" w:hAnsi="Arial" w:cs="Arial"/>
          <w:sz w:val="24"/>
          <w:szCs w:val="24"/>
          <w:lang w:val="es-ES_tradnl"/>
        </w:rPr>
        <w:t>: Es la operación de movilizar la mercancía y/o pasajeros desde el buque comercial hacia el muelle.</w:t>
      </w:r>
    </w:p>
    <w:p w14:paraId="15F57D48" w14:textId="77777777" w:rsidR="000F010E" w:rsidRPr="007E2B1C" w:rsidRDefault="000F010E" w:rsidP="000F010E">
      <w:pPr>
        <w:pStyle w:val="Prrafodelista"/>
        <w:rPr>
          <w:rFonts w:ascii="Arial" w:hAnsi="Arial" w:cs="Arial"/>
          <w:lang w:val="es-ES_tradnl"/>
        </w:rPr>
      </w:pPr>
    </w:p>
    <w:p w14:paraId="05D40189" w14:textId="77777777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Embarque: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Es la operación de movilizar mercancía y/o pasajeros desde el muelle hacia el buque comercial.</w:t>
      </w:r>
    </w:p>
    <w:p w14:paraId="314B9819" w14:textId="77777777" w:rsidR="000F010E" w:rsidRPr="007E2B1C" w:rsidRDefault="000F010E" w:rsidP="000F010E">
      <w:pPr>
        <w:pStyle w:val="Prrafodelista"/>
        <w:rPr>
          <w:rFonts w:ascii="Arial" w:hAnsi="Arial" w:cs="Arial"/>
          <w:color w:val="000000"/>
          <w:lang w:val="es-ES_tradnl"/>
        </w:rPr>
      </w:pPr>
    </w:p>
    <w:p w14:paraId="3C16BAD1" w14:textId="309A6C68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Exportación: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A5BAB">
        <w:rPr>
          <w:rFonts w:ascii="Arial" w:hAnsi="Arial" w:cs="Arial"/>
          <w:sz w:val="24"/>
          <w:szCs w:val="24"/>
          <w:lang w:val="es-ES_tradnl"/>
        </w:rPr>
        <w:t>C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onjunto de bienes y servicios vendidos por un país, son los flujos de salida de bienes (mercancías) del territorio económico nacional. </w:t>
      </w:r>
    </w:p>
    <w:p w14:paraId="4F09C58F" w14:textId="77777777" w:rsidR="000F010E" w:rsidRPr="007E2B1C" w:rsidRDefault="000F010E" w:rsidP="000F010E">
      <w:pPr>
        <w:pStyle w:val="Prrafodelista"/>
        <w:jc w:val="both"/>
        <w:rPr>
          <w:rFonts w:ascii="Arial" w:hAnsi="Arial" w:cs="Arial"/>
          <w:color w:val="000000"/>
          <w:lang w:val="es-ES_tradnl"/>
        </w:rPr>
      </w:pPr>
    </w:p>
    <w:p w14:paraId="44ECCC6D" w14:textId="77777777" w:rsidR="000F010E" w:rsidRPr="007E2B1C" w:rsidRDefault="000F010E" w:rsidP="000F010E">
      <w:pPr>
        <w:pStyle w:val="Prrafodelista"/>
        <w:jc w:val="both"/>
        <w:rPr>
          <w:rFonts w:ascii="Arial" w:hAnsi="Arial" w:cs="Arial"/>
          <w:color w:val="000000"/>
          <w:lang w:val="es-ES_tradnl"/>
        </w:rPr>
      </w:pPr>
      <w:r w:rsidRPr="007E2B1C">
        <w:rPr>
          <w:rFonts w:ascii="Arial" w:hAnsi="Arial" w:cs="Arial"/>
          <w:color w:val="000000"/>
          <w:lang w:val="es-ES_tradnl"/>
        </w:rPr>
        <w:t>Una exportación es básicamente todo bien y/o servicio legítimo que el país productor o emisor (el exportador) envíe como mercancía a un tercero (importador), para su compra o utilización.</w:t>
      </w:r>
    </w:p>
    <w:p w14:paraId="4B6B4465" w14:textId="77777777" w:rsidR="000F010E" w:rsidRPr="007E2B1C" w:rsidRDefault="000F010E" w:rsidP="000F010E">
      <w:pPr>
        <w:pStyle w:val="Prrafodelista"/>
        <w:jc w:val="both"/>
        <w:rPr>
          <w:rFonts w:ascii="Arial" w:hAnsi="Arial" w:cs="Arial"/>
          <w:color w:val="000000"/>
          <w:lang w:val="es-ES_tradnl"/>
        </w:rPr>
      </w:pPr>
    </w:p>
    <w:p w14:paraId="6D2BA583" w14:textId="4A29CEE0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Importación: </w:t>
      </w:r>
      <w:r w:rsidR="004A5BAB" w:rsidRPr="002760D1">
        <w:rPr>
          <w:rFonts w:ascii="Arial" w:hAnsi="Arial" w:cs="Arial"/>
          <w:bCs/>
          <w:sz w:val="24"/>
          <w:szCs w:val="24"/>
          <w:lang w:val="es-ES_tradnl"/>
        </w:rPr>
        <w:t>I</w:t>
      </w:r>
      <w:r w:rsidRPr="007E2B1C">
        <w:rPr>
          <w:rFonts w:ascii="Arial" w:hAnsi="Arial" w:cs="Arial"/>
          <w:sz w:val="24"/>
          <w:szCs w:val="24"/>
          <w:lang w:val="es-ES_tradnl"/>
        </w:rPr>
        <w:t>ngreso de mercancías que consiste en las adquisiciones entre el resto del mundo y el territorio económico de un país.</w:t>
      </w:r>
    </w:p>
    <w:p w14:paraId="3E799617" w14:textId="77777777" w:rsidR="000F010E" w:rsidRPr="007E2B1C" w:rsidRDefault="000F010E" w:rsidP="000F010E">
      <w:pPr>
        <w:pStyle w:val="Prrafodelista"/>
        <w:rPr>
          <w:rFonts w:ascii="Arial" w:hAnsi="Arial" w:cs="Arial"/>
          <w:b/>
          <w:color w:val="000000"/>
          <w:lang w:val="es-ES_tradnl"/>
        </w:rPr>
      </w:pPr>
    </w:p>
    <w:p w14:paraId="597FC1CD" w14:textId="79BF8FF5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País de destino: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Es el país declarado como </w:t>
      </w:r>
      <w:r w:rsidR="00F4004B">
        <w:rPr>
          <w:rFonts w:ascii="Arial" w:hAnsi="Arial" w:cs="Arial"/>
          <w:sz w:val="24"/>
          <w:szCs w:val="24"/>
          <w:lang w:val="es-ES_tradnl"/>
        </w:rPr>
        <w:t xml:space="preserve">último </w:t>
      </w:r>
      <w:r w:rsidRPr="007E2B1C">
        <w:rPr>
          <w:rFonts w:ascii="Arial" w:hAnsi="Arial" w:cs="Arial"/>
          <w:sz w:val="24"/>
          <w:szCs w:val="24"/>
          <w:lang w:val="es-ES_tradnl"/>
        </w:rPr>
        <w:t>destino de la mercancía.</w:t>
      </w:r>
    </w:p>
    <w:p w14:paraId="153AC053" w14:textId="77777777" w:rsidR="000F010E" w:rsidRPr="007E2B1C" w:rsidRDefault="000F010E" w:rsidP="000F010E">
      <w:pPr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9F0E462" w14:textId="69EFA53E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País de origen: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Es el país declarado de </w:t>
      </w:r>
      <w:r w:rsidR="00F4004B">
        <w:rPr>
          <w:rFonts w:ascii="Arial" w:hAnsi="Arial" w:cs="Arial"/>
          <w:sz w:val="24"/>
          <w:szCs w:val="24"/>
          <w:lang w:val="es-ES_tradnl"/>
        </w:rPr>
        <w:t>origen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de la mercancía.</w:t>
      </w:r>
    </w:p>
    <w:p w14:paraId="797627DD" w14:textId="77777777" w:rsidR="000F010E" w:rsidRPr="007E2B1C" w:rsidRDefault="000F010E" w:rsidP="000F010E">
      <w:pPr>
        <w:pStyle w:val="Prrafodelista"/>
        <w:rPr>
          <w:rFonts w:ascii="Arial" w:hAnsi="Arial" w:cs="Arial"/>
          <w:b/>
          <w:lang w:val="es-ES_tradnl"/>
        </w:rPr>
      </w:pPr>
    </w:p>
    <w:p w14:paraId="44E44631" w14:textId="77777777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Pasajero de crucero: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Pasajero marítimo o fluvial que realiza una travesía en un crucero; se excluyen los pasajeros de excursiones de un solo día.  </w:t>
      </w:r>
    </w:p>
    <w:p w14:paraId="046597DA" w14:textId="77777777" w:rsidR="000F010E" w:rsidRPr="007E2B1C" w:rsidRDefault="000F010E" w:rsidP="000F010E">
      <w:pPr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87F35B3" w14:textId="7CFAD895" w:rsidR="000F010E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Peso bruto: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Es el peso de las mercancías, incluido el embalaje y paletas para el transporte internacional, expresado en toneladas métricas.</w:t>
      </w:r>
    </w:p>
    <w:p w14:paraId="2C8590A6" w14:textId="77777777" w:rsidR="00F1339B" w:rsidRDefault="00F1339B" w:rsidP="00F1339B">
      <w:pPr>
        <w:pStyle w:val="Prrafodelista"/>
        <w:rPr>
          <w:rFonts w:ascii="Arial" w:hAnsi="Arial" w:cs="Arial"/>
          <w:lang w:val="es-ES_tradnl"/>
        </w:rPr>
      </w:pPr>
    </w:p>
    <w:p w14:paraId="3E53B64D" w14:textId="5133F630" w:rsidR="00F1339B" w:rsidRPr="00F1339B" w:rsidRDefault="00F1339B" w:rsidP="000F010E">
      <w:pPr>
        <w:numPr>
          <w:ilvl w:val="0"/>
          <w:numId w:val="27"/>
        </w:numPr>
        <w:jc w:val="both"/>
        <w:rPr>
          <w:rFonts w:ascii="Arial" w:hAnsi="Arial" w:cs="Arial"/>
          <w:b/>
          <w:bCs/>
          <w:color w:val="FF0000"/>
          <w:sz w:val="24"/>
          <w:szCs w:val="24"/>
          <w:lang w:val="es-ES_tradnl"/>
        </w:rPr>
      </w:pPr>
      <w:r w:rsidRPr="00105025">
        <w:rPr>
          <w:rFonts w:ascii="Arial" w:hAnsi="Arial" w:cs="Arial"/>
          <w:b/>
          <w:sz w:val="24"/>
          <w:szCs w:val="24"/>
          <w:lang w:val="es-ES_tradnl"/>
        </w:rPr>
        <w:t xml:space="preserve">Peso </w:t>
      </w:r>
      <w:r w:rsidR="00C12B54">
        <w:rPr>
          <w:rFonts w:ascii="Arial" w:hAnsi="Arial" w:cs="Arial"/>
          <w:b/>
          <w:sz w:val="24"/>
          <w:szCs w:val="24"/>
          <w:lang w:val="es-ES_tradnl"/>
        </w:rPr>
        <w:t>n</w:t>
      </w:r>
      <w:r w:rsidRPr="00105025">
        <w:rPr>
          <w:rFonts w:ascii="Arial" w:hAnsi="Arial" w:cs="Arial"/>
          <w:b/>
          <w:sz w:val="24"/>
          <w:szCs w:val="24"/>
          <w:lang w:val="es-ES_tradnl"/>
        </w:rPr>
        <w:t>eto:</w:t>
      </w:r>
      <w:r w:rsidRPr="00F1339B">
        <w:rPr>
          <w:rFonts w:ascii="Arial" w:hAnsi="Arial" w:cs="Arial"/>
          <w:b/>
          <w:bCs/>
          <w:color w:val="FF0000"/>
          <w:sz w:val="24"/>
          <w:szCs w:val="24"/>
          <w:lang w:val="es-ES_tradnl"/>
        </w:rPr>
        <w:t xml:space="preserve"> </w:t>
      </w:r>
      <w:r w:rsidR="00105025" w:rsidRPr="00105025">
        <w:rPr>
          <w:rFonts w:ascii="Arial" w:hAnsi="Arial" w:cs="Arial"/>
          <w:sz w:val="24"/>
          <w:szCs w:val="24"/>
          <w:lang w:val="es-ES_tradnl"/>
        </w:rPr>
        <w:t xml:space="preserve">Peso de la mercancía </w:t>
      </w:r>
      <w:r w:rsidR="00105025">
        <w:rPr>
          <w:rFonts w:ascii="Arial" w:hAnsi="Arial" w:cs="Arial"/>
          <w:sz w:val="24"/>
          <w:szCs w:val="24"/>
          <w:lang w:val="es-ES_tradnl"/>
        </w:rPr>
        <w:t>excluyendo</w:t>
      </w:r>
      <w:r w:rsidR="00105025" w:rsidRPr="00105025">
        <w:rPr>
          <w:rFonts w:ascii="Arial" w:hAnsi="Arial" w:cs="Arial"/>
          <w:sz w:val="24"/>
          <w:szCs w:val="24"/>
          <w:lang w:val="es-ES_tradnl"/>
        </w:rPr>
        <w:t xml:space="preserve"> los empaques, tanto interiores como exteriores que se utilizan para evitar el deterioro o proveer algún aislamiento especial, así como aquellas envolturas o elementos de presentación que comúnmente acompaña la mercancía para su venta directa.</w:t>
      </w:r>
    </w:p>
    <w:p w14:paraId="7415A228" w14:textId="77777777" w:rsidR="00F1339B" w:rsidRDefault="00F1339B" w:rsidP="00F1339B">
      <w:pPr>
        <w:pStyle w:val="Prrafodelista"/>
        <w:rPr>
          <w:rFonts w:ascii="Arial" w:hAnsi="Arial" w:cs="Arial"/>
          <w:lang w:val="es-ES_tradnl"/>
        </w:rPr>
      </w:pPr>
    </w:p>
    <w:p w14:paraId="3E0CE4B7" w14:textId="77777777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Puerto: </w:t>
      </w:r>
      <w:r w:rsidRPr="007E2B1C">
        <w:rPr>
          <w:rFonts w:ascii="Arial" w:hAnsi="Arial" w:cs="Arial"/>
          <w:sz w:val="24"/>
          <w:szCs w:val="24"/>
          <w:lang w:val="es-ES_tradnl"/>
        </w:rPr>
        <w:t>Cualquier localidad dotada de facilidades permanentes que permitan a los buques comerciales amarrar y descargar o cargar mercancías, así como desembarcar y embarcar pasajeros movilizados en el tráfico marítimo o por aguas interiores.</w:t>
      </w:r>
    </w:p>
    <w:p w14:paraId="0FAF2137" w14:textId="77777777" w:rsidR="000F010E" w:rsidRPr="007E2B1C" w:rsidRDefault="000F010E" w:rsidP="000F010E">
      <w:pPr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C9A0190" w14:textId="77777777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b/>
          <w:sz w:val="24"/>
          <w:szCs w:val="24"/>
        </w:rPr>
        <w:t>Sistema Armonizado</w:t>
      </w:r>
      <w:r w:rsidRPr="007E2B1C">
        <w:rPr>
          <w:rFonts w:ascii="Arial" w:hAnsi="Arial" w:cs="Arial"/>
          <w:sz w:val="24"/>
          <w:szCs w:val="24"/>
        </w:rPr>
        <w:t>: Es una nomenclatura para la codificación, descripción y clasificación de las mercancías/productos en el comercio internacional.</w:t>
      </w:r>
    </w:p>
    <w:p w14:paraId="4B3ACF33" w14:textId="77777777" w:rsidR="000F010E" w:rsidRPr="007E2B1C" w:rsidRDefault="000F010E" w:rsidP="000F010E">
      <w:pPr>
        <w:pStyle w:val="Prrafodelista"/>
        <w:rPr>
          <w:rFonts w:ascii="Arial" w:hAnsi="Arial" w:cs="Arial"/>
          <w:lang w:val="es-ES_tradnl"/>
        </w:rPr>
      </w:pPr>
    </w:p>
    <w:p w14:paraId="2A2BA1DC" w14:textId="4F446705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Tipo de carga</w:t>
      </w:r>
      <w:r w:rsidRPr="007E2B1C">
        <w:rPr>
          <w:rFonts w:ascii="Arial" w:hAnsi="Arial" w:cs="Arial"/>
          <w:sz w:val="24"/>
          <w:szCs w:val="24"/>
          <w:lang w:val="es-ES_tradnl"/>
        </w:rPr>
        <w:t>: Agrupación de mercancías que se mueven por los puertos conforme a su forma de presentación y características físicas</w:t>
      </w:r>
      <w:r w:rsidR="00243430" w:rsidRPr="00243430">
        <w:t xml:space="preserve"> </w:t>
      </w:r>
      <w:r w:rsidR="00243430" w:rsidRPr="00243430">
        <w:rPr>
          <w:rFonts w:ascii="Arial" w:hAnsi="Arial" w:cs="Arial"/>
          <w:sz w:val="24"/>
          <w:szCs w:val="24"/>
          <w:lang w:val="es-ES_tradnl"/>
        </w:rPr>
        <w:t xml:space="preserve">señaladas en la </w:t>
      </w:r>
      <w:r w:rsidR="00243430">
        <w:rPr>
          <w:rFonts w:ascii="Arial" w:hAnsi="Arial" w:cs="Arial"/>
          <w:sz w:val="24"/>
          <w:szCs w:val="24"/>
          <w:lang w:val="es-ES_tradnl"/>
        </w:rPr>
        <w:t>tabla</w:t>
      </w:r>
      <w:r w:rsidR="00243430" w:rsidRPr="00243430">
        <w:rPr>
          <w:rFonts w:ascii="Arial" w:hAnsi="Arial" w:cs="Arial"/>
          <w:sz w:val="24"/>
          <w:szCs w:val="24"/>
          <w:lang w:val="es-ES_tradnl"/>
        </w:rPr>
        <w:t xml:space="preserve"> 2 </w:t>
      </w:r>
      <w:r w:rsidR="00243430">
        <w:rPr>
          <w:rFonts w:ascii="Arial" w:hAnsi="Arial" w:cs="Arial"/>
          <w:sz w:val="24"/>
          <w:szCs w:val="24"/>
          <w:lang w:val="es-ES_tradnl"/>
        </w:rPr>
        <w:t>(</w:t>
      </w:r>
      <w:r w:rsidR="00243430" w:rsidRPr="00243430">
        <w:rPr>
          <w:rFonts w:ascii="Arial" w:hAnsi="Arial" w:cs="Arial"/>
          <w:sz w:val="24"/>
          <w:szCs w:val="24"/>
          <w:lang w:val="es-ES_tradnl"/>
        </w:rPr>
        <w:t>Clasificación del Tipo de Cargamento</w:t>
      </w:r>
      <w:r w:rsidR="00243430">
        <w:rPr>
          <w:rFonts w:ascii="Arial" w:hAnsi="Arial" w:cs="Arial"/>
          <w:sz w:val="24"/>
          <w:szCs w:val="24"/>
          <w:lang w:val="es-ES_tradnl"/>
        </w:rPr>
        <w:t>)</w:t>
      </w:r>
      <w:r w:rsidR="00243430" w:rsidRPr="00243430">
        <w:rPr>
          <w:rFonts w:ascii="Arial" w:hAnsi="Arial" w:cs="Arial"/>
          <w:sz w:val="24"/>
          <w:szCs w:val="24"/>
          <w:lang w:val="es-ES_tradnl"/>
        </w:rPr>
        <w:t xml:space="preserve"> de la presente Resolución.</w:t>
      </w:r>
    </w:p>
    <w:p w14:paraId="66ED2F97" w14:textId="77777777" w:rsidR="000F010E" w:rsidRPr="007E2B1C" w:rsidRDefault="000F010E" w:rsidP="000F010E">
      <w:pPr>
        <w:pStyle w:val="Prrafodelista"/>
        <w:rPr>
          <w:rFonts w:ascii="Arial" w:hAnsi="Arial" w:cs="Arial"/>
          <w:b/>
          <w:lang w:val="es-ES_tradnl"/>
        </w:rPr>
      </w:pPr>
    </w:p>
    <w:p w14:paraId="34479650" w14:textId="77777777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Transbordo: 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Carga o mercancía descargada de un buque para ser embarcada en otra, dentro de las instalaciones de un terminal portuario con destino al exterior. </w:t>
      </w:r>
    </w:p>
    <w:p w14:paraId="395E4877" w14:textId="77777777" w:rsidR="000F010E" w:rsidRPr="007E2B1C" w:rsidRDefault="000F010E" w:rsidP="000F010E">
      <w:pPr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10EC90E" w14:textId="77777777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Tránsito</w:t>
      </w:r>
      <w:r w:rsidRPr="007E2B1C">
        <w:rPr>
          <w:rFonts w:ascii="Arial" w:hAnsi="Arial" w:cs="Arial"/>
          <w:sz w:val="24"/>
          <w:szCs w:val="24"/>
          <w:lang w:val="es-ES_tradnl"/>
        </w:rPr>
        <w:t>: Carga o mercancías que permanecen en un buque mientras ésta realiza operaciones en los terminales portuarios de un país; con destino al exterior.</w:t>
      </w:r>
    </w:p>
    <w:p w14:paraId="5F441765" w14:textId="77777777" w:rsidR="000F010E" w:rsidRPr="007E2B1C" w:rsidRDefault="000F010E" w:rsidP="000F010E">
      <w:pPr>
        <w:pStyle w:val="Prrafodelista"/>
        <w:rPr>
          <w:rFonts w:ascii="Arial" w:hAnsi="Arial" w:cs="Arial"/>
          <w:lang w:val="es-ES_tradnl"/>
        </w:rPr>
      </w:pPr>
    </w:p>
    <w:p w14:paraId="52425A87" w14:textId="77777777" w:rsidR="000F010E" w:rsidRPr="007E2B1C" w:rsidRDefault="000F010E" w:rsidP="000F010E">
      <w:pPr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Transporte acuático internacional de mercancías y pasajeros</w:t>
      </w:r>
      <w:r w:rsidRPr="007E2B1C">
        <w:rPr>
          <w:rFonts w:ascii="Arial" w:hAnsi="Arial" w:cs="Arial"/>
          <w:sz w:val="24"/>
          <w:szCs w:val="24"/>
          <w:lang w:val="es-ES_tradnl"/>
        </w:rPr>
        <w:t>: Es el traslado o movilización de mercancía o pasajeros por vía marítima, fluvial y lacustre de un país a otro, utilizando como medio de transporte el buque comercial.</w:t>
      </w:r>
    </w:p>
    <w:p w14:paraId="5697C8E7" w14:textId="77777777" w:rsidR="000F010E" w:rsidRPr="007E2B1C" w:rsidRDefault="000F010E" w:rsidP="000F010E">
      <w:pPr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033A49" w14:textId="77777777" w:rsidR="000F010E" w:rsidRPr="007E2B1C" w:rsidRDefault="000F010E" w:rsidP="000F010E">
      <w:pPr>
        <w:numPr>
          <w:ilvl w:val="0"/>
          <w:numId w:val="23"/>
        </w:numPr>
        <w:tabs>
          <w:tab w:val="clear" w:pos="1080"/>
          <w:tab w:val="num" w:pos="426"/>
        </w:tabs>
        <w:ind w:hanging="1080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Datos que enviarán los Países Miembros</w:t>
      </w:r>
    </w:p>
    <w:p w14:paraId="4EDFB95E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77D7237C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Las autoridades nacionales competentes designadas de cada País Miembro, enviarán los datos estadísticos sobre el transporte acuático internacional de mercancías y pasajeros previsto en el artículo 3 de la Decisión 842, conjunto de datos a, y aquellos que, por recomendación de los expertos gubernamentales en estadísticas de transporte acuático del Comité Andino de Estadísticas, se establezcan mediante Resolución de la Secretaría General.</w:t>
      </w:r>
    </w:p>
    <w:p w14:paraId="1379522C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0521ADB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Los datos estadísticos acordados pasarán por un proceso de validación según los lineamientos establecidos para el tema estadístico y se enviarán por correo electrónico a la Secretaría General de la Comunidad Andina, en tanto entre en funcionamiento el Sistema de Información Estadístico de Transporte Acuático de la Comunidad Andina (SIETAC).</w:t>
      </w:r>
    </w:p>
    <w:p w14:paraId="58DD183A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4F74CA7" w14:textId="77777777" w:rsidR="000F010E" w:rsidRPr="007E2B1C" w:rsidRDefault="000F010E" w:rsidP="000F010E">
      <w:pPr>
        <w:numPr>
          <w:ilvl w:val="0"/>
          <w:numId w:val="23"/>
        </w:numPr>
        <w:tabs>
          <w:tab w:val="clear" w:pos="1080"/>
          <w:tab w:val="num" w:pos="426"/>
        </w:tabs>
        <w:ind w:hanging="1080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Procedimiento para el envío de los datos estadísticos</w:t>
      </w:r>
    </w:p>
    <w:p w14:paraId="0E446582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70F6E099" w14:textId="77777777" w:rsidR="000F010E" w:rsidRPr="007E2B1C" w:rsidRDefault="000F010E" w:rsidP="000F010E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a. Nombre del archivo </w:t>
      </w:r>
    </w:p>
    <w:p w14:paraId="4A134C83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El archivo en formato .</w:t>
      </w:r>
      <w:proofErr w:type="spellStart"/>
      <w:r w:rsidRPr="007E2B1C">
        <w:rPr>
          <w:rFonts w:ascii="Arial" w:hAnsi="Arial" w:cs="Arial"/>
          <w:sz w:val="24"/>
          <w:szCs w:val="24"/>
          <w:lang w:val="es-ES_tradnl"/>
        </w:rPr>
        <w:t>xls</w:t>
      </w:r>
      <w:proofErr w:type="spellEnd"/>
      <w:r w:rsidRPr="007E2B1C">
        <w:rPr>
          <w:rFonts w:ascii="Arial" w:hAnsi="Arial" w:cs="Arial"/>
          <w:sz w:val="24"/>
          <w:szCs w:val="24"/>
          <w:lang w:val="es-ES_tradnl"/>
        </w:rPr>
        <w:t xml:space="preserve"> deberá etiquetarse así:</w:t>
      </w:r>
    </w:p>
    <w:p w14:paraId="616B0C0A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62B9BC4A" w14:textId="77777777" w:rsidR="000F010E" w:rsidRPr="007E2B1C" w:rsidRDefault="000F010E" w:rsidP="000F010E">
      <w:pPr>
        <w:spacing w:before="120"/>
        <w:ind w:left="1077"/>
        <w:jc w:val="center"/>
        <w:rPr>
          <w:rFonts w:ascii="Arial" w:hAnsi="Arial" w:cs="Arial"/>
          <w:b/>
          <w:i/>
          <w:spacing w:val="-3"/>
          <w:sz w:val="24"/>
          <w:szCs w:val="24"/>
        </w:rPr>
      </w:pPr>
      <w:r w:rsidRPr="007E2B1C">
        <w:rPr>
          <w:rFonts w:ascii="Arial" w:hAnsi="Arial" w:cs="Arial"/>
          <w:b/>
          <w:i/>
          <w:spacing w:val="-3"/>
          <w:sz w:val="24"/>
          <w:szCs w:val="24"/>
        </w:rPr>
        <w:t>PPTTTQQAAAAMCP.xls</w:t>
      </w:r>
    </w:p>
    <w:p w14:paraId="0A7948DD" w14:textId="77777777" w:rsidR="000F010E" w:rsidRPr="007E2B1C" w:rsidRDefault="000F010E" w:rsidP="000F010E">
      <w:pPr>
        <w:ind w:left="1080"/>
        <w:rPr>
          <w:rFonts w:ascii="Arial" w:hAnsi="Arial" w:cs="Arial"/>
          <w:i/>
          <w:spacing w:val="-3"/>
          <w:sz w:val="24"/>
          <w:szCs w:val="24"/>
        </w:rPr>
      </w:pPr>
      <w:r w:rsidRPr="007E2B1C">
        <w:rPr>
          <w:rFonts w:ascii="Arial" w:hAnsi="Arial" w:cs="Arial"/>
          <w:i/>
          <w:spacing w:val="-3"/>
          <w:sz w:val="24"/>
          <w:szCs w:val="24"/>
        </w:rPr>
        <w:t>Donde:</w:t>
      </w:r>
    </w:p>
    <w:p w14:paraId="69ED01ED" w14:textId="77777777" w:rsidR="000F010E" w:rsidRPr="007E2B1C" w:rsidRDefault="000F010E" w:rsidP="000F010E">
      <w:pPr>
        <w:ind w:left="1080"/>
        <w:rPr>
          <w:rFonts w:ascii="Arial" w:hAnsi="Arial" w:cs="Arial"/>
          <w:i/>
          <w:spacing w:val="-3"/>
          <w:sz w:val="24"/>
          <w:szCs w:val="24"/>
        </w:rPr>
      </w:pPr>
    </w:p>
    <w:p w14:paraId="446FD16A" w14:textId="77777777" w:rsidR="000F010E" w:rsidRPr="007E2B1C" w:rsidRDefault="000F010E" w:rsidP="000F010E">
      <w:pPr>
        <w:tabs>
          <w:tab w:val="left" w:pos="2160"/>
        </w:tabs>
        <w:suppressAutoHyphens/>
        <w:ind w:left="2160" w:hanging="1080"/>
        <w:jc w:val="both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PP:</w:t>
      </w:r>
      <w:r w:rsidRPr="007E2B1C">
        <w:rPr>
          <w:rFonts w:ascii="Arial" w:hAnsi="Arial" w:cs="Arial"/>
          <w:sz w:val="24"/>
          <w:szCs w:val="24"/>
        </w:rPr>
        <w:tab/>
        <w:t>Dos caracteres para representar la sigla del país que reporta (BO, CO, EC y PE), siguiendo la nomenclatura ISO-ALPHA-2.</w:t>
      </w:r>
    </w:p>
    <w:p w14:paraId="10C1B411" w14:textId="77777777" w:rsidR="000F010E" w:rsidRPr="007E2B1C" w:rsidRDefault="000F010E" w:rsidP="000F010E">
      <w:pPr>
        <w:tabs>
          <w:tab w:val="left" w:pos="2160"/>
        </w:tabs>
        <w:suppressAutoHyphens/>
        <w:ind w:left="2160" w:hanging="1080"/>
        <w:jc w:val="both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TTT:</w:t>
      </w:r>
      <w:r w:rsidRPr="007E2B1C">
        <w:rPr>
          <w:rFonts w:ascii="Arial" w:hAnsi="Arial" w:cs="Arial"/>
          <w:sz w:val="24"/>
          <w:szCs w:val="24"/>
        </w:rPr>
        <w:tab/>
        <w:t>Tres dígitos para indicar el tema (Transporte acuático: 541)</w:t>
      </w:r>
    </w:p>
    <w:p w14:paraId="72259A82" w14:textId="77777777" w:rsidR="000F010E" w:rsidRPr="007E2B1C" w:rsidRDefault="000F010E" w:rsidP="000F010E">
      <w:pPr>
        <w:tabs>
          <w:tab w:val="left" w:pos="2160"/>
        </w:tabs>
        <w:suppressAutoHyphens/>
        <w:ind w:left="2160" w:hanging="1080"/>
        <w:jc w:val="both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QQ:</w:t>
      </w:r>
      <w:r w:rsidRPr="007E2B1C">
        <w:rPr>
          <w:rFonts w:ascii="Arial" w:hAnsi="Arial" w:cs="Arial"/>
          <w:sz w:val="24"/>
          <w:szCs w:val="24"/>
        </w:rPr>
        <w:tab/>
        <w:t>Dos dígitos para el periodo de reporte (Trimestral: I, II, III y IV, corresponden a 19, 20, 21 y 22, respectivamente), de acuerdo con la tabla 1.</w:t>
      </w:r>
    </w:p>
    <w:p w14:paraId="27A55F1F" w14:textId="665099FE" w:rsidR="000F010E" w:rsidRPr="007E2B1C" w:rsidRDefault="000F010E" w:rsidP="000F010E">
      <w:pPr>
        <w:tabs>
          <w:tab w:val="left" w:pos="2160"/>
        </w:tabs>
        <w:suppressAutoHyphens/>
        <w:ind w:left="2160" w:hanging="1080"/>
        <w:jc w:val="both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 xml:space="preserve">AAAA: </w:t>
      </w:r>
      <w:r w:rsidRPr="007E2B1C">
        <w:rPr>
          <w:rFonts w:ascii="Arial" w:hAnsi="Arial" w:cs="Arial"/>
          <w:sz w:val="24"/>
          <w:szCs w:val="24"/>
        </w:rPr>
        <w:tab/>
        <w:t>Cuatro dígitos para el año (</w:t>
      </w:r>
      <w:r w:rsidR="0038743E">
        <w:rPr>
          <w:rFonts w:ascii="Arial" w:hAnsi="Arial" w:cs="Arial"/>
          <w:sz w:val="24"/>
          <w:szCs w:val="24"/>
        </w:rPr>
        <w:t>202</w:t>
      </w:r>
      <w:r w:rsidR="0060268B">
        <w:rPr>
          <w:rFonts w:ascii="Arial" w:hAnsi="Arial" w:cs="Arial"/>
          <w:sz w:val="24"/>
          <w:szCs w:val="24"/>
        </w:rPr>
        <w:t>2</w:t>
      </w:r>
      <w:r w:rsidRPr="007E2B1C">
        <w:rPr>
          <w:rFonts w:ascii="Arial" w:hAnsi="Arial" w:cs="Arial"/>
          <w:sz w:val="24"/>
          <w:szCs w:val="24"/>
        </w:rPr>
        <w:t>, 20</w:t>
      </w:r>
      <w:r w:rsidR="00233DB6">
        <w:rPr>
          <w:rFonts w:ascii="Arial" w:hAnsi="Arial" w:cs="Arial"/>
          <w:sz w:val="24"/>
          <w:szCs w:val="24"/>
        </w:rPr>
        <w:t>23</w:t>
      </w:r>
      <w:r w:rsidRPr="007E2B1C">
        <w:rPr>
          <w:rFonts w:ascii="Arial" w:hAnsi="Arial" w:cs="Arial"/>
          <w:sz w:val="24"/>
          <w:szCs w:val="24"/>
        </w:rPr>
        <w:t>, etc.)</w:t>
      </w:r>
    </w:p>
    <w:p w14:paraId="0E3EDF56" w14:textId="77777777" w:rsidR="000F010E" w:rsidRPr="007E2B1C" w:rsidRDefault="000F010E" w:rsidP="000F010E">
      <w:pPr>
        <w:tabs>
          <w:tab w:val="left" w:pos="2160"/>
        </w:tabs>
        <w:suppressAutoHyphens/>
        <w:ind w:left="2160" w:hanging="1080"/>
        <w:jc w:val="both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MCP:</w:t>
      </w:r>
      <w:r w:rsidRPr="007E2B1C">
        <w:rPr>
          <w:rFonts w:ascii="Arial" w:hAnsi="Arial" w:cs="Arial"/>
          <w:sz w:val="24"/>
          <w:szCs w:val="24"/>
        </w:rPr>
        <w:tab/>
        <w:t>Tres caracteres para determinar el conjunto de datos (MCP: relativo a las estadísticas del movimiento de carga y pasajeros).</w:t>
      </w:r>
    </w:p>
    <w:p w14:paraId="1D0AAD20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3DA07805" w14:textId="77777777" w:rsidR="000F010E" w:rsidRPr="007E2B1C" w:rsidRDefault="000F010E" w:rsidP="000F010E">
      <w:pPr>
        <w:spacing w:before="120"/>
        <w:ind w:left="1077"/>
        <w:jc w:val="center"/>
        <w:rPr>
          <w:rFonts w:ascii="Arial" w:hAnsi="Arial" w:cs="Arial"/>
          <w:b/>
          <w:i/>
          <w:spacing w:val="-3"/>
          <w:sz w:val="24"/>
          <w:szCs w:val="24"/>
        </w:rPr>
      </w:pPr>
      <w:r w:rsidRPr="007E2B1C">
        <w:rPr>
          <w:rFonts w:ascii="Arial" w:hAnsi="Arial" w:cs="Arial"/>
          <w:b/>
          <w:i/>
          <w:spacing w:val="-3"/>
          <w:sz w:val="24"/>
          <w:szCs w:val="24"/>
        </w:rPr>
        <w:t>PPTTTQQAAAAMCP.xls</w:t>
      </w:r>
    </w:p>
    <w:p w14:paraId="50293806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85720B6" w14:textId="2E246351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Ejemplo: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El Perú (PE, codificación del país) envía los datos estadísticos del segundo trimestre (20) de 20</w:t>
      </w:r>
      <w:r w:rsidR="00233DB6">
        <w:rPr>
          <w:rFonts w:ascii="Arial" w:hAnsi="Arial" w:cs="Arial"/>
          <w:sz w:val="24"/>
          <w:szCs w:val="24"/>
          <w:lang w:val="es-ES_tradnl"/>
        </w:rPr>
        <w:t>23</w:t>
      </w:r>
      <w:r w:rsidRPr="007E2B1C">
        <w:rPr>
          <w:rFonts w:ascii="Arial" w:hAnsi="Arial" w:cs="Arial"/>
          <w:sz w:val="24"/>
          <w:szCs w:val="24"/>
          <w:lang w:val="es-ES_tradnl"/>
        </w:rPr>
        <w:t>. En ese caso, el archivo (.</w:t>
      </w:r>
      <w:proofErr w:type="spellStart"/>
      <w:r w:rsidRPr="007E2B1C">
        <w:rPr>
          <w:rFonts w:ascii="Arial" w:hAnsi="Arial" w:cs="Arial"/>
          <w:sz w:val="24"/>
          <w:szCs w:val="24"/>
          <w:lang w:val="es-ES_tradnl"/>
        </w:rPr>
        <w:t>xls</w:t>
      </w:r>
      <w:proofErr w:type="spellEnd"/>
      <w:r w:rsidRPr="007E2B1C">
        <w:rPr>
          <w:rFonts w:ascii="Arial" w:hAnsi="Arial" w:cs="Arial"/>
          <w:sz w:val="24"/>
          <w:szCs w:val="24"/>
          <w:lang w:val="es-ES_tradnl"/>
        </w:rPr>
        <w:t>) deberá nombrarse de la siguiente manera gráfica:</w:t>
      </w:r>
    </w:p>
    <w:p w14:paraId="218EBA7D" w14:textId="77777777" w:rsidR="000F010E" w:rsidRPr="007E2B1C" w:rsidRDefault="000F010E" w:rsidP="000F010E">
      <w:pPr>
        <w:tabs>
          <w:tab w:val="left" w:pos="-720"/>
        </w:tabs>
        <w:suppressAutoHyphens/>
        <w:ind w:left="851"/>
        <w:rPr>
          <w:rFonts w:ascii="Arial" w:hAnsi="Arial" w:cs="Arial"/>
          <w:i/>
          <w:sz w:val="24"/>
          <w:szCs w:val="24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25"/>
        <w:gridCol w:w="425"/>
        <w:gridCol w:w="425"/>
        <w:gridCol w:w="426"/>
        <w:gridCol w:w="601"/>
        <w:gridCol w:w="567"/>
        <w:gridCol w:w="283"/>
        <w:gridCol w:w="388"/>
        <w:gridCol w:w="425"/>
        <w:gridCol w:w="425"/>
        <w:gridCol w:w="425"/>
        <w:gridCol w:w="426"/>
        <w:gridCol w:w="425"/>
      </w:tblGrid>
      <w:tr w:rsidR="000F010E" w:rsidRPr="007E2B1C" w14:paraId="4C190BE6" w14:textId="77777777" w:rsidTr="00B6528B">
        <w:trPr>
          <w:trHeight w:val="279"/>
          <w:jc w:val="center"/>
        </w:trPr>
        <w:tc>
          <w:tcPr>
            <w:tcW w:w="865" w:type="dxa"/>
            <w:gridSpan w:val="2"/>
          </w:tcPr>
          <w:p w14:paraId="7B95151D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  <w:lang w:val="es-ES_tradnl"/>
              </w:rPr>
              <w:t>PP</w:t>
            </w:r>
          </w:p>
        </w:tc>
        <w:tc>
          <w:tcPr>
            <w:tcW w:w="1276" w:type="dxa"/>
            <w:gridSpan w:val="3"/>
          </w:tcPr>
          <w:p w14:paraId="2157F339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  <w:lang w:val="es-ES_tradnl"/>
              </w:rPr>
              <w:t>TTT</w:t>
            </w:r>
          </w:p>
        </w:tc>
        <w:tc>
          <w:tcPr>
            <w:tcW w:w="1168" w:type="dxa"/>
            <w:gridSpan w:val="2"/>
          </w:tcPr>
          <w:p w14:paraId="461A8495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  <w:lang w:val="es-ES_tradnl"/>
              </w:rPr>
              <w:t>QQ</w:t>
            </w:r>
          </w:p>
        </w:tc>
        <w:tc>
          <w:tcPr>
            <w:tcW w:w="1521" w:type="dxa"/>
            <w:gridSpan w:val="4"/>
          </w:tcPr>
          <w:p w14:paraId="025D2EC9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  <w:lang w:val="es-ES_tradnl"/>
              </w:rPr>
              <w:t>AAAA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BD882A7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  <w:lang w:val="es-ES_tradnl"/>
              </w:rPr>
              <w:t>MCP</w:t>
            </w:r>
          </w:p>
        </w:tc>
      </w:tr>
      <w:tr w:rsidR="000F010E" w:rsidRPr="007E2B1C" w14:paraId="60C0D731" w14:textId="77777777" w:rsidTr="00B6528B">
        <w:trPr>
          <w:trHeight w:val="279"/>
          <w:jc w:val="center"/>
        </w:trPr>
        <w:tc>
          <w:tcPr>
            <w:tcW w:w="865" w:type="dxa"/>
            <w:gridSpan w:val="2"/>
          </w:tcPr>
          <w:p w14:paraId="77EA4F1E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País</w:t>
            </w:r>
          </w:p>
        </w:tc>
        <w:tc>
          <w:tcPr>
            <w:tcW w:w="1276" w:type="dxa"/>
            <w:gridSpan w:val="3"/>
          </w:tcPr>
          <w:p w14:paraId="72EA268F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  <w:tc>
          <w:tcPr>
            <w:tcW w:w="1168" w:type="dxa"/>
            <w:gridSpan w:val="2"/>
          </w:tcPr>
          <w:p w14:paraId="1BD6351C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Per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E2B1C">
              <w:rPr>
                <w:rFonts w:ascii="Arial" w:hAnsi="Arial" w:cs="Arial"/>
                <w:sz w:val="24"/>
                <w:szCs w:val="24"/>
              </w:rPr>
              <w:t>odo</w:t>
            </w:r>
          </w:p>
        </w:tc>
        <w:tc>
          <w:tcPr>
            <w:tcW w:w="1521" w:type="dxa"/>
            <w:gridSpan w:val="4"/>
          </w:tcPr>
          <w:p w14:paraId="03C04213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Año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01B390A6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Conjunto</w:t>
            </w:r>
          </w:p>
        </w:tc>
      </w:tr>
      <w:tr w:rsidR="000F010E" w:rsidRPr="007E2B1C" w14:paraId="57FE6939" w14:textId="77777777" w:rsidTr="00B6528B">
        <w:trPr>
          <w:trHeight w:val="288"/>
          <w:jc w:val="center"/>
        </w:trPr>
        <w:tc>
          <w:tcPr>
            <w:tcW w:w="440" w:type="dxa"/>
          </w:tcPr>
          <w:p w14:paraId="610C570E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lastRenderedPageBreak/>
              <w:t>P</w:t>
            </w:r>
          </w:p>
        </w:tc>
        <w:tc>
          <w:tcPr>
            <w:tcW w:w="425" w:type="dxa"/>
          </w:tcPr>
          <w:p w14:paraId="3174A647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25" w:type="dxa"/>
          </w:tcPr>
          <w:p w14:paraId="631BC4BD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3B57636C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228DFB21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14:paraId="3BE7F31C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C665602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14:paraId="0CFE6698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16B27CDC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86CBAC5" w14:textId="1B705CC0" w:rsidR="000F010E" w:rsidRPr="007E2B1C" w:rsidRDefault="00233DB6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E45EFE8" w14:textId="478AEDD9" w:rsidR="000F010E" w:rsidRPr="007E2B1C" w:rsidRDefault="00233DB6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C11770A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14:paraId="051099B9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14:paraId="68E5EE93" w14:textId="77777777" w:rsidR="000F010E" w:rsidRPr="007E2B1C" w:rsidRDefault="000F010E" w:rsidP="00B6528B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E2B1C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56179828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62351850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 xml:space="preserve">Los archivos de datos recibidos por la Secretaría General de la Comunidad Andina serán procesados automáticamente para comprobar la validez de su contenido. </w:t>
      </w:r>
    </w:p>
    <w:p w14:paraId="29F2907A" w14:textId="1517502C" w:rsidR="000F010E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A6B6760" w14:textId="45699AFA" w:rsidR="00A468B7" w:rsidRDefault="00A468B7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9D62DF" w14:textId="77777777" w:rsidR="000F010E" w:rsidRPr="007E2B1C" w:rsidRDefault="000F010E" w:rsidP="000F010E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b. Principales criterios de consistencia de la información estadística </w:t>
      </w:r>
    </w:p>
    <w:p w14:paraId="05E6FAF4" w14:textId="77777777" w:rsidR="000F010E" w:rsidRPr="007E2B1C" w:rsidRDefault="000F010E" w:rsidP="000F010E">
      <w:pPr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9361260" w14:textId="77777777" w:rsidR="000F010E" w:rsidRPr="007E2B1C" w:rsidRDefault="000F010E" w:rsidP="000F010E">
      <w:pPr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●</w:t>
      </w:r>
      <w:r w:rsidRPr="007E2B1C">
        <w:rPr>
          <w:rFonts w:ascii="Arial" w:hAnsi="Arial" w:cs="Arial"/>
          <w:sz w:val="24"/>
          <w:szCs w:val="24"/>
          <w:lang w:val="es-ES_tradnl"/>
        </w:rPr>
        <w:tab/>
        <w:t>Todos los datos deben estar comprendidos entre el primer y último día del mes de cada trimestre de la transmisión, según corresponda. No se validará información con fechas posteriores y o anteriores al período de referencia.</w:t>
      </w:r>
    </w:p>
    <w:p w14:paraId="7A6B9509" w14:textId="77777777" w:rsidR="000F010E" w:rsidRPr="007E2B1C" w:rsidRDefault="000F010E" w:rsidP="000F010E">
      <w:p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●</w:t>
      </w:r>
      <w:r w:rsidRPr="007E2B1C">
        <w:rPr>
          <w:rFonts w:ascii="Arial" w:hAnsi="Arial" w:cs="Arial"/>
          <w:sz w:val="24"/>
          <w:szCs w:val="24"/>
          <w:lang w:val="es-ES_tradnl"/>
        </w:rPr>
        <w:tab/>
        <w:t xml:space="preserve">Los nombres de los puertos reportados serán aquellos que registren movimiento internacional de mercancías y pasajeros. Las autoridades nacionales competentes designadas de cada País Miembro deberán poner en conocimiento de la Secretaría General, los nuevos puertos marítimos y de aguas interiores, en tanto sean puestas en vigencia en el ámbito nacional. </w:t>
      </w:r>
    </w:p>
    <w:p w14:paraId="0C4161E6" w14:textId="77777777" w:rsidR="000F010E" w:rsidRPr="007E2B1C" w:rsidRDefault="000F010E" w:rsidP="000F010E">
      <w:p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●</w:t>
      </w:r>
      <w:r w:rsidRPr="007E2B1C">
        <w:rPr>
          <w:rFonts w:ascii="Arial" w:hAnsi="Arial" w:cs="Arial"/>
          <w:sz w:val="24"/>
          <w:szCs w:val="24"/>
          <w:lang w:val="es-ES_tradnl"/>
        </w:rPr>
        <w:tab/>
        <w:t>La información estadística del transporte marítimo y en aguas interiores de mercancías y pasajeros que se enviará a la Secretaría General de la Comunidad Andina, será aquella que fue movilizada por buques comerciales.</w:t>
      </w:r>
    </w:p>
    <w:p w14:paraId="4355701F" w14:textId="77777777" w:rsidR="000F010E" w:rsidRPr="007E2B1C" w:rsidRDefault="000F010E" w:rsidP="000F010E">
      <w:p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●</w:t>
      </w:r>
      <w:r w:rsidRPr="007E2B1C">
        <w:rPr>
          <w:rFonts w:ascii="Arial" w:hAnsi="Arial" w:cs="Arial"/>
          <w:sz w:val="24"/>
          <w:szCs w:val="24"/>
          <w:lang w:val="es-ES_tradnl"/>
        </w:rPr>
        <w:tab/>
        <w:t>El tipo de cargamento que se utilice será de acuerdo a la Tabla 2 de la presente Resolución.</w:t>
      </w:r>
    </w:p>
    <w:p w14:paraId="3FBB3E9C" w14:textId="509F90A8" w:rsidR="000F010E" w:rsidRPr="007E2B1C" w:rsidRDefault="000F010E" w:rsidP="000F010E">
      <w:p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●</w:t>
      </w:r>
      <w:r w:rsidRPr="007E2B1C">
        <w:rPr>
          <w:rFonts w:ascii="Arial" w:hAnsi="Arial" w:cs="Arial"/>
          <w:sz w:val="24"/>
          <w:szCs w:val="24"/>
          <w:lang w:val="es-ES_tradnl"/>
        </w:rPr>
        <w:tab/>
        <w:t>El peso de la mercancía debe ser un número entero, sin decimal.</w:t>
      </w:r>
      <w:r w:rsidRPr="007E2B1C">
        <w:rPr>
          <w:rFonts w:ascii="Arial" w:hAnsi="Arial" w:cs="Arial"/>
          <w:sz w:val="24"/>
          <w:szCs w:val="24"/>
        </w:rPr>
        <w:t xml:space="preserve"> </w:t>
      </w:r>
      <w:r w:rsidRPr="007E2B1C">
        <w:rPr>
          <w:rFonts w:ascii="Arial" w:hAnsi="Arial" w:cs="Arial"/>
          <w:sz w:val="24"/>
          <w:szCs w:val="24"/>
          <w:lang w:val="es-ES_tradnl"/>
        </w:rPr>
        <w:t>Al momento de registrar el peso de la mercancía no se debe tener en cuenta la tara (peso) del equipamiento.</w:t>
      </w:r>
    </w:p>
    <w:p w14:paraId="0D5DCF5A" w14:textId="77777777" w:rsidR="000F010E" w:rsidRPr="007E2B1C" w:rsidRDefault="000F010E" w:rsidP="000F010E">
      <w:pPr>
        <w:numPr>
          <w:ilvl w:val="0"/>
          <w:numId w:val="29"/>
        </w:num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El código de la mercancía exportada e importada a nivel partida que se registre corresponderá a la Nomenclatura del Sistema Armonizado de Designación y Codificación de Mercancías (4 dígitos) según Decisión 812.</w:t>
      </w:r>
    </w:p>
    <w:p w14:paraId="62E859A7" w14:textId="77777777" w:rsidR="000F010E" w:rsidRPr="007E2B1C" w:rsidRDefault="000F010E" w:rsidP="000F010E">
      <w:p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●</w:t>
      </w:r>
      <w:r w:rsidRPr="007E2B1C">
        <w:rPr>
          <w:rFonts w:ascii="Arial" w:hAnsi="Arial" w:cs="Arial"/>
          <w:sz w:val="24"/>
          <w:szCs w:val="24"/>
          <w:lang w:val="es-ES_tradnl"/>
        </w:rPr>
        <w:tab/>
        <w:t>Mantener el registro de los principales países de origen/destino, y la opción “otros” no exceda del 20% del total importado/exportado (Cuadros 3a y 3b).</w:t>
      </w:r>
    </w:p>
    <w:p w14:paraId="06C45116" w14:textId="77777777" w:rsidR="000F010E" w:rsidRPr="007E2B1C" w:rsidRDefault="000F010E" w:rsidP="000F010E">
      <w:pPr>
        <w:numPr>
          <w:ilvl w:val="0"/>
          <w:numId w:val="28"/>
        </w:num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El número de países de la carga de importación y exportación no exceda de 10 (Cuadros 3a y 3b).</w:t>
      </w:r>
    </w:p>
    <w:p w14:paraId="34675E4F" w14:textId="77777777" w:rsidR="000F010E" w:rsidRPr="007E2B1C" w:rsidRDefault="000F010E" w:rsidP="000F010E">
      <w:pPr>
        <w:numPr>
          <w:ilvl w:val="0"/>
          <w:numId w:val="28"/>
        </w:num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Mantener el registro de las veinte principales mercancías por puerto, las siguientes se agrupará en la opción “otros” (Cuadros 4a y 4b).</w:t>
      </w:r>
    </w:p>
    <w:p w14:paraId="7C99C1B4" w14:textId="77777777" w:rsidR="000F010E" w:rsidRPr="007E2B1C" w:rsidRDefault="000F010E" w:rsidP="000F010E">
      <w:pPr>
        <w:numPr>
          <w:ilvl w:val="0"/>
          <w:numId w:val="28"/>
        </w:num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No se considerará como carga el avituallamiento, ni el abastecimiento de combustible en alta mar a otro buque.</w:t>
      </w:r>
    </w:p>
    <w:p w14:paraId="31A921C2" w14:textId="77777777" w:rsidR="000F010E" w:rsidRPr="007E2B1C" w:rsidRDefault="000F010E" w:rsidP="000F010E">
      <w:pPr>
        <w:numPr>
          <w:ilvl w:val="0"/>
          <w:numId w:val="28"/>
        </w:num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Se indicarán aquellos puertos de uso público y privado que realizan movimiento internacional de mercancía y pasajeros, controlado por la autoridad portuaria.</w:t>
      </w:r>
    </w:p>
    <w:p w14:paraId="4080E39F" w14:textId="77777777" w:rsidR="000F010E" w:rsidRPr="007E2B1C" w:rsidRDefault="000F010E" w:rsidP="000F010E">
      <w:pPr>
        <w:numPr>
          <w:ilvl w:val="0"/>
          <w:numId w:val="28"/>
        </w:num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Si registra arribo de buques de cruceros, deberá contener el número de pasajeros movilizados.</w:t>
      </w:r>
    </w:p>
    <w:p w14:paraId="2BA923EE" w14:textId="77777777" w:rsidR="000F010E" w:rsidRPr="007E2B1C" w:rsidRDefault="000F010E" w:rsidP="000F010E">
      <w:pPr>
        <w:numPr>
          <w:ilvl w:val="0"/>
          <w:numId w:val="28"/>
        </w:numPr>
        <w:spacing w:before="60"/>
        <w:ind w:left="567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No se registrarán celdas en blanco.</w:t>
      </w:r>
    </w:p>
    <w:p w14:paraId="12D41AC9" w14:textId="77777777" w:rsidR="000F010E" w:rsidRPr="007E2B1C" w:rsidRDefault="000F010E" w:rsidP="000F010E">
      <w:pPr>
        <w:spacing w:before="60"/>
        <w:ind w:left="567" w:hanging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E1442C5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c. Instrucciones para el registro de las estadísticas trimestrales</w:t>
      </w:r>
    </w:p>
    <w:p w14:paraId="1A5270C9" w14:textId="77777777" w:rsidR="000F010E" w:rsidRPr="007E2B1C" w:rsidRDefault="000F010E" w:rsidP="000F010E">
      <w:pPr>
        <w:spacing w:before="60"/>
        <w:ind w:left="567" w:hanging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7BD942D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Cuadro 1: </w:t>
      </w:r>
      <w:bookmarkStart w:id="3" w:name="_Hlk56173291"/>
      <w:r w:rsidRPr="007E2B1C">
        <w:rPr>
          <w:rFonts w:ascii="Arial" w:hAnsi="Arial" w:cs="Arial"/>
          <w:b/>
          <w:sz w:val="24"/>
          <w:szCs w:val="24"/>
          <w:lang w:val="es-ES_tradnl"/>
        </w:rPr>
        <w:t>Movimiento de carga, según puerto y tipo de carga</w:t>
      </w:r>
      <w:bookmarkEnd w:id="3"/>
    </w:p>
    <w:p w14:paraId="6EEA7549" w14:textId="77777777" w:rsidR="000F010E" w:rsidRPr="007E2B1C" w:rsidRDefault="000F010E" w:rsidP="000F010E">
      <w:pPr>
        <w:spacing w:before="60"/>
        <w:ind w:left="567" w:hanging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3A263C9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 xml:space="preserve">La finalidad del tabulado es obtener una descripción total de la mercancía transportada. Se detallará el nombre del puerto que realiza las operaciones de </w:t>
      </w:r>
      <w:r w:rsidRPr="007E2B1C">
        <w:rPr>
          <w:rFonts w:ascii="Arial" w:hAnsi="Arial" w:cs="Arial"/>
          <w:sz w:val="24"/>
          <w:szCs w:val="24"/>
          <w:lang w:val="es-ES_tradnl"/>
        </w:rPr>
        <w:lastRenderedPageBreak/>
        <w:t>embarque, desembarque, transbordo y transito desagregado por tipo de carga: granel líquido, granel sólido, carga general, carga rodante, y carga en contenedores.</w:t>
      </w:r>
    </w:p>
    <w:p w14:paraId="77DAF001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365C56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 xml:space="preserve">Se indicarán aquellos puertos que realizan tráfico de internacional de mercancías y pasajeros de uso público y privado, de acuerdo a los puertos supervisados por la autoridad portuaria. El peso bruto de la mercancía se registrará en toneladas; la carga total incluirá tránsito, transbordo, se excluye la información sobre cabotaje. </w:t>
      </w:r>
    </w:p>
    <w:p w14:paraId="31812064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1C46B4E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A continuación, se presenta un ejemplo para la transmisión de los datos estadísticos, que hacen referencia a las variables acordadas.</w:t>
      </w:r>
    </w:p>
    <w:p w14:paraId="2755540C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86197E" w14:textId="376EBFA1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i/>
          <w:sz w:val="24"/>
          <w:szCs w:val="24"/>
          <w:lang w:val="es-ES_tradnl"/>
        </w:rPr>
        <w:t>Ejemplo: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El Perú informó que, en los cuatro trimestres del año </w:t>
      </w:r>
      <w:r w:rsidR="009A54C0">
        <w:rPr>
          <w:rFonts w:ascii="Arial" w:hAnsi="Arial" w:cs="Arial"/>
          <w:sz w:val="24"/>
          <w:szCs w:val="24"/>
          <w:lang w:val="es-ES_tradnl"/>
        </w:rPr>
        <w:t>202</w:t>
      </w:r>
      <w:r w:rsidR="0038743E">
        <w:rPr>
          <w:rFonts w:ascii="Arial" w:hAnsi="Arial" w:cs="Arial"/>
          <w:sz w:val="24"/>
          <w:szCs w:val="24"/>
          <w:lang w:val="es-ES_tradnl"/>
        </w:rPr>
        <w:t>3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, se movilizaron 81 022 831 toneladas por los puertos del país; de los cuales 44 102 939 toneladas se movilizaron por el puerto del Callao, 6 299 184 toneladas por el puerto de </w:t>
      </w:r>
      <w:proofErr w:type="spellStart"/>
      <w:r w:rsidRPr="007E2B1C">
        <w:rPr>
          <w:rFonts w:ascii="Arial" w:hAnsi="Arial" w:cs="Arial"/>
          <w:sz w:val="24"/>
          <w:szCs w:val="24"/>
          <w:lang w:val="es-ES_tradnl"/>
        </w:rPr>
        <w:t>Matarani</w:t>
      </w:r>
      <w:proofErr w:type="spellEnd"/>
      <w:r w:rsidRPr="007E2B1C">
        <w:rPr>
          <w:rFonts w:ascii="Arial" w:hAnsi="Arial" w:cs="Arial"/>
          <w:sz w:val="24"/>
          <w:szCs w:val="24"/>
          <w:lang w:val="es-ES_tradnl"/>
        </w:rPr>
        <w:t>, 12 408 683 toneladas por el puerto San Nicolás……….</w:t>
      </w:r>
    </w:p>
    <w:p w14:paraId="268CB50A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F0A184C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sz w:val="24"/>
          <w:szCs w:val="24"/>
          <w:lang w:val="es-ES_tradnl"/>
        </w:rPr>
        <w:sectPr w:rsidR="000F010E" w:rsidRPr="007E2B1C" w:rsidSect="004E7676">
          <w:headerReference w:type="default" r:id="rId9"/>
          <w:footerReference w:type="even" r:id="rId10"/>
          <w:headerReference w:type="first" r:id="rId11"/>
          <w:pgSz w:w="11907" w:h="16840" w:code="9"/>
          <w:pgMar w:top="1247" w:right="1247" w:bottom="1021" w:left="1247" w:header="851" w:footer="567" w:gutter="0"/>
          <w:pgNumType w:start="1"/>
          <w:cols w:space="708"/>
          <w:titlePg/>
          <w:docGrid w:linePitch="360"/>
        </w:sectPr>
      </w:pPr>
    </w:p>
    <w:p w14:paraId="41530961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99BAC20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Cuadro 1</w:t>
      </w:r>
    </w:p>
    <w:p w14:paraId="542711F4" w14:textId="3B90343C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PERÚ: MOVIMIENTO DE CARGA, SEGÚN PUERTO Y TIPO DE CARGA, </w:t>
      </w:r>
      <w:r w:rsidR="0038743E">
        <w:rPr>
          <w:rFonts w:ascii="Arial" w:hAnsi="Arial" w:cs="Arial"/>
          <w:b/>
          <w:sz w:val="24"/>
          <w:szCs w:val="24"/>
          <w:lang w:val="es-ES_tradnl"/>
        </w:rPr>
        <w:t>2023</w:t>
      </w:r>
    </w:p>
    <w:p w14:paraId="79E89EAB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6C1C0EF0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B76011B" w14:textId="11F43842" w:rsidR="000F010E" w:rsidRPr="007E2B1C" w:rsidRDefault="000F010E" w:rsidP="000F010E">
      <w:pPr>
        <w:spacing w:before="60"/>
        <w:ind w:left="-284" w:right="-17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72CB20CD" wp14:editId="3FC0FA0F">
            <wp:extent cx="9394511" cy="3262579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193" cy="327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51C49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9EAEE31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54C0A730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sz w:val="24"/>
          <w:szCs w:val="24"/>
          <w:lang w:val="es-ES_tradnl"/>
        </w:rPr>
        <w:sectPr w:rsidR="000F010E" w:rsidRPr="007E2B1C" w:rsidSect="00165A6C">
          <w:pgSz w:w="16840" w:h="11907" w:orient="landscape" w:code="9"/>
          <w:pgMar w:top="1247" w:right="1247" w:bottom="1247" w:left="1021" w:header="851" w:footer="567" w:gutter="0"/>
          <w:cols w:space="708"/>
          <w:docGrid w:linePitch="360"/>
        </w:sectPr>
      </w:pPr>
    </w:p>
    <w:p w14:paraId="7DDAD106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E91C54B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bookmarkStart w:id="4" w:name="_Hlk56173939"/>
      <w:r w:rsidRPr="007E2B1C">
        <w:rPr>
          <w:rFonts w:ascii="Arial" w:hAnsi="Arial" w:cs="Arial"/>
          <w:b/>
          <w:sz w:val="24"/>
          <w:szCs w:val="24"/>
          <w:lang w:val="es-ES_tradnl"/>
        </w:rPr>
        <w:t>Cuadro 2: Carga de importación y exportación, según puerto</w:t>
      </w:r>
    </w:p>
    <w:bookmarkEnd w:id="4"/>
    <w:p w14:paraId="494AC0A9" w14:textId="77777777" w:rsidR="000F010E" w:rsidRPr="007E2B1C" w:rsidRDefault="000F010E" w:rsidP="000F010E">
      <w:pPr>
        <w:tabs>
          <w:tab w:val="left" w:pos="1125"/>
        </w:tabs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53CDFB3F" w14:textId="77777777" w:rsidR="000F010E" w:rsidRPr="00F043F0" w:rsidRDefault="000F010E" w:rsidP="000F010E">
      <w:pPr>
        <w:spacing w:before="60"/>
        <w:ind w:left="567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 xml:space="preserve">Se reportará la carga de importación y exportación registrada en cada uno de sus puertos; asimismo, se agregarán totales por puerto y trimestre; además en la columna Total se consignará la sumatoria de los </w:t>
      </w:r>
      <w:r w:rsidRPr="00F043F0">
        <w:rPr>
          <w:rFonts w:ascii="Arial" w:hAnsi="Arial" w:cs="Arial"/>
          <w:color w:val="auto"/>
          <w:sz w:val="24"/>
          <w:szCs w:val="24"/>
          <w:lang w:val="es-ES_tradnl"/>
        </w:rPr>
        <w:t xml:space="preserve">trimestres del año en referencia </w:t>
      </w:r>
      <w:bookmarkStart w:id="5" w:name="_Hlk56176366"/>
      <w:r w:rsidRPr="00F043F0">
        <w:rPr>
          <w:rFonts w:ascii="Arial" w:hAnsi="Arial" w:cs="Arial"/>
          <w:color w:val="auto"/>
          <w:sz w:val="24"/>
          <w:szCs w:val="24"/>
          <w:lang w:val="es-ES_tradnl"/>
        </w:rPr>
        <w:t>y se expresará el peso neto en toneladas.</w:t>
      </w:r>
    </w:p>
    <w:bookmarkEnd w:id="5"/>
    <w:p w14:paraId="202C7049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3DC7689" w14:textId="1A1C29FA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i/>
          <w:sz w:val="24"/>
          <w:szCs w:val="24"/>
          <w:lang w:val="es-ES_tradnl"/>
        </w:rPr>
        <w:t>Ejemplo: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El Perú informó que, en los cuatro trimestres del </w:t>
      </w:r>
      <w:r w:rsidR="0038743E">
        <w:rPr>
          <w:rFonts w:ascii="Arial" w:hAnsi="Arial" w:cs="Arial"/>
          <w:sz w:val="24"/>
          <w:szCs w:val="24"/>
          <w:lang w:val="es-ES_tradnl"/>
        </w:rPr>
        <w:t>2023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la carga de comercio exterior totalizó 76 352 849 toneladas a través de los puertos del país; del Callao se exportaron 14 823 110 toneladas y se importaron 23 579 953 toneladas</w:t>
      </w:r>
      <w:r w:rsidR="00D866AB">
        <w:rPr>
          <w:rFonts w:ascii="Arial" w:hAnsi="Arial" w:cs="Arial"/>
          <w:sz w:val="24"/>
          <w:szCs w:val="24"/>
          <w:lang w:val="es-ES_tradnl"/>
        </w:rPr>
        <w:t>.</w:t>
      </w:r>
    </w:p>
    <w:p w14:paraId="1BBC53B1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2E372B0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Cuadro 2</w:t>
      </w:r>
    </w:p>
    <w:p w14:paraId="0AB3850F" w14:textId="4986FBAA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PERÚ: CARGA DE IMPORTACIÓN Y EXPORTACIÓN, SEGÚN PUERTO, </w:t>
      </w:r>
      <w:r w:rsidR="0038743E">
        <w:rPr>
          <w:rFonts w:ascii="Arial" w:hAnsi="Arial" w:cs="Arial"/>
          <w:b/>
          <w:sz w:val="24"/>
          <w:szCs w:val="24"/>
          <w:lang w:val="es-ES_tradnl"/>
        </w:rPr>
        <w:t>2023</w:t>
      </w:r>
    </w:p>
    <w:p w14:paraId="24044FFE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547D77F2" w14:textId="1444186B" w:rsidR="000F010E" w:rsidRPr="007E2B1C" w:rsidRDefault="000F010E" w:rsidP="000F010E">
      <w:pPr>
        <w:tabs>
          <w:tab w:val="num" w:pos="709"/>
        </w:tabs>
        <w:jc w:val="center"/>
        <w:rPr>
          <w:rFonts w:ascii="Arial" w:hAnsi="Arial" w:cs="Arial"/>
          <w:sz w:val="24"/>
          <w:szCs w:val="24"/>
          <w:lang w:val="pt-BR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75B63DC6" wp14:editId="49BA89C5">
            <wp:extent cx="4502150" cy="5289550"/>
            <wp:effectExtent l="0" t="0" r="0" b="635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528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F735A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Consistencia: Total por trimestre y puerto debe ser igual al total trimestral importación del cuadro 3a y total exportación del cuadro 3b.</w:t>
      </w:r>
    </w:p>
    <w:p w14:paraId="0AA927E1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br w:type="page"/>
      </w:r>
    </w:p>
    <w:p w14:paraId="166B90AC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bookmarkStart w:id="6" w:name="_Hlk56173967"/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Cuadro 3a: Carga de importación por país de origen, según puerto </w:t>
      </w:r>
    </w:p>
    <w:bookmarkEnd w:id="6"/>
    <w:p w14:paraId="3799D739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3E27D26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 xml:space="preserve">Se detallará el peso </w:t>
      </w:r>
      <w:r w:rsidRPr="009A54C0">
        <w:rPr>
          <w:rFonts w:ascii="Arial" w:hAnsi="Arial" w:cs="Arial"/>
          <w:sz w:val="24"/>
          <w:szCs w:val="24"/>
          <w:lang w:val="es-ES_tradnl"/>
        </w:rPr>
        <w:t xml:space="preserve">neto 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(toneladas métricas) de las importaciones registradas en los puertos, según el país de origen de la carga. </w:t>
      </w:r>
    </w:p>
    <w:p w14:paraId="42E7F3AB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77BD14B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Cuando la carga de importación no sea significativa se agrupará en la opción "otros", y éste no debe exceder del 20% del total registrado por el puerto.</w:t>
      </w:r>
    </w:p>
    <w:p w14:paraId="441912D9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0F4D831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Se detallarán totales por puerto y trimestre; además en la última columna Total se consignará la sumatoria de los trimestres del año en referencia.</w:t>
      </w:r>
    </w:p>
    <w:p w14:paraId="1C167C9C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B737FA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Consistencia: Total por trimestre y puerto debe ser igual al total importación trimestral cuadro 2.</w:t>
      </w:r>
    </w:p>
    <w:p w14:paraId="00EB3A5B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5B2A61F0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i/>
          <w:sz w:val="24"/>
          <w:szCs w:val="24"/>
          <w:lang w:val="es-ES_tradnl"/>
        </w:rPr>
        <w:t>Ejemplo: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Continúa el ejemplo de carga de importación del Perú desagregado por país de origen. </w:t>
      </w:r>
    </w:p>
    <w:p w14:paraId="03FC2CD4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C506A86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41388A6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  <w:sectPr w:rsidR="000F010E" w:rsidRPr="007E2B1C" w:rsidSect="00165A6C">
          <w:pgSz w:w="11907" w:h="16840" w:code="9"/>
          <w:pgMar w:top="1247" w:right="1247" w:bottom="1021" w:left="1247" w:header="851" w:footer="567" w:gutter="0"/>
          <w:cols w:space="708"/>
          <w:docGrid w:linePitch="360"/>
        </w:sectPr>
      </w:pPr>
    </w:p>
    <w:p w14:paraId="6C6E066B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3a</w:t>
      </w:r>
    </w:p>
    <w:p w14:paraId="53F926F7" w14:textId="52217CEE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PERÚ: CARGA DE IMPORTACIÓN POR PAÍS DE ORIGEN, SEGÚN PUERTO, </w:t>
      </w:r>
      <w:r w:rsidR="0038743E">
        <w:rPr>
          <w:rFonts w:ascii="Arial" w:hAnsi="Arial" w:cs="Arial"/>
          <w:b/>
          <w:sz w:val="24"/>
          <w:szCs w:val="24"/>
          <w:lang w:val="es-ES_tradnl"/>
        </w:rPr>
        <w:t>2023</w:t>
      </w:r>
    </w:p>
    <w:p w14:paraId="1858A162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1B33E34D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0A3CB61" w14:textId="2E6C001C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6B6CC4F2" wp14:editId="7C9B9DB2">
            <wp:extent cx="6512254" cy="4323284"/>
            <wp:effectExtent l="0" t="0" r="3175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494" cy="432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E09E1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  <w:sectPr w:rsidR="000F010E" w:rsidRPr="007E2B1C" w:rsidSect="00165A6C">
          <w:pgSz w:w="16840" w:h="11907" w:orient="landscape" w:code="9"/>
          <w:pgMar w:top="1247" w:right="1247" w:bottom="1247" w:left="1021" w:header="851" w:footer="567" w:gutter="0"/>
          <w:cols w:space="708"/>
          <w:docGrid w:linePitch="360"/>
        </w:sectPr>
      </w:pPr>
    </w:p>
    <w:p w14:paraId="138DB4B6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E5A77E5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7" w:name="_Hlk56173993"/>
      <w:r w:rsidRPr="007E2B1C">
        <w:rPr>
          <w:rFonts w:ascii="Arial" w:hAnsi="Arial" w:cs="Arial"/>
          <w:b/>
          <w:sz w:val="24"/>
          <w:szCs w:val="24"/>
          <w:lang w:val="es-ES_tradnl"/>
        </w:rPr>
        <w:t>Cuadro 3b: Carga de exportación por país de destino, según puerto</w:t>
      </w:r>
    </w:p>
    <w:bookmarkEnd w:id="7"/>
    <w:p w14:paraId="2FB65480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0D470D8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 xml:space="preserve">Se detallará </w:t>
      </w:r>
      <w:r w:rsidRPr="009A54C0">
        <w:rPr>
          <w:rFonts w:ascii="Arial" w:hAnsi="Arial" w:cs="Arial"/>
          <w:color w:val="auto"/>
          <w:sz w:val="24"/>
          <w:szCs w:val="24"/>
          <w:lang w:val="es-ES_tradnl"/>
        </w:rPr>
        <w:t xml:space="preserve">el peso neto (toneladas métricas) de las exportaciones de cada uno de los puertos, según el país 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de destino de la carga. </w:t>
      </w:r>
    </w:p>
    <w:p w14:paraId="70F9C6BD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94A2A50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Cuando la carga de exportación no sea significativa se agrupará en la opción "otros", y éste no debe exceder del 20% del total registrado por el puerto.</w:t>
      </w:r>
    </w:p>
    <w:p w14:paraId="6D46026C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1D7CE64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Se detallarán totales por puerto y trimestre; además en la última columna Total se consignará la sumatoria de los trimestres del año en referencia.</w:t>
      </w:r>
    </w:p>
    <w:p w14:paraId="3F158E32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8FCF306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Consistencia: Total por trimestre y puerto debe ser igual al total exportación trimestral cuadro 2.</w:t>
      </w:r>
    </w:p>
    <w:p w14:paraId="5B04055E" w14:textId="77777777" w:rsidR="000F010E" w:rsidRPr="00232EFA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PE"/>
        </w:rPr>
      </w:pPr>
    </w:p>
    <w:p w14:paraId="444EDF55" w14:textId="77777777" w:rsidR="000F010E" w:rsidRPr="00232EFA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PE"/>
        </w:rPr>
      </w:pPr>
    </w:p>
    <w:p w14:paraId="20DAA735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i/>
          <w:sz w:val="24"/>
          <w:szCs w:val="24"/>
          <w:lang w:val="es-ES_tradnl"/>
        </w:rPr>
        <w:t>Ejemplo: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Siguiendo el ejemplo de carga de exportación del Perú desagregado por país de destino. </w:t>
      </w:r>
    </w:p>
    <w:p w14:paraId="7F4D623C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6BE8AA9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DA60C4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2BF2434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DCD966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8CF739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2F4FF07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BE887A9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2A92940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EA04155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745D9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D3F8C4A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9F5F9C2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C7B3928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E4C776A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68E0D14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2987D81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F136B0C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FE7325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A941D5F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F379190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1D82929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CB000A9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716031F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282B127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AD2E66E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7DEEBD2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E09AA62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  <w:sectPr w:rsidR="000F010E" w:rsidRPr="007E2B1C" w:rsidSect="00165A6C">
          <w:pgSz w:w="11907" w:h="16840" w:code="9"/>
          <w:pgMar w:top="1247" w:right="1247" w:bottom="1021" w:left="1247" w:header="851" w:footer="567" w:gutter="0"/>
          <w:cols w:space="708"/>
          <w:docGrid w:linePitch="360"/>
        </w:sectPr>
      </w:pPr>
    </w:p>
    <w:p w14:paraId="53DA5C4C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3b</w:t>
      </w:r>
    </w:p>
    <w:p w14:paraId="7B13C29F" w14:textId="6ACFECFE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PERÚ: CARGA DE EXPORTACIÓN POR PAÍS DE DESTINO, SEGÚN PUERTO, </w:t>
      </w:r>
      <w:r w:rsidR="0038743E">
        <w:rPr>
          <w:rFonts w:ascii="Arial" w:hAnsi="Arial" w:cs="Arial"/>
          <w:b/>
          <w:sz w:val="24"/>
          <w:szCs w:val="24"/>
          <w:lang w:val="es-ES_tradnl"/>
        </w:rPr>
        <w:t>2023</w:t>
      </w: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401E46FF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64967A94" w14:textId="7048D7F1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46CC6708" wp14:editId="3D219F8A">
            <wp:extent cx="8931644" cy="4959705"/>
            <wp:effectExtent l="0" t="0" r="317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970" cy="496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966B7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4166A59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  <w:sectPr w:rsidR="000F010E" w:rsidRPr="007E2B1C" w:rsidSect="00165A6C">
          <w:pgSz w:w="16840" w:h="11907" w:orient="landscape" w:code="9"/>
          <w:pgMar w:top="1247" w:right="1247" w:bottom="1247" w:left="1021" w:header="851" w:footer="567" w:gutter="0"/>
          <w:cols w:space="708"/>
          <w:docGrid w:linePitch="360"/>
        </w:sectPr>
      </w:pPr>
    </w:p>
    <w:p w14:paraId="2AFAB984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8" w:name="_Hlk56174028"/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4a: Principales productos de importación, según puerto</w:t>
      </w:r>
    </w:p>
    <w:bookmarkEnd w:id="8"/>
    <w:p w14:paraId="6FABC6FB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BFD76B5" w14:textId="77777777" w:rsidR="000F010E" w:rsidRPr="009A54C0" w:rsidRDefault="000F010E" w:rsidP="000F010E">
      <w:pPr>
        <w:spacing w:before="60"/>
        <w:ind w:left="567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 xml:space="preserve">Se indicará el código que identifica el tipo de mercancía importada, utilizando la Nomenclatura Común del Sistema Armonizado de los </w:t>
      </w:r>
      <w:r w:rsidRPr="009A54C0">
        <w:rPr>
          <w:rFonts w:ascii="Arial" w:hAnsi="Arial" w:cs="Arial"/>
          <w:color w:val="auto"/>
          <w:sz w:val="24"/>
          <w:szCs w:val="24"/>
          <w:lang w:val="es-ES_tradnl"/>
        </w:rPr>
        <w:t>Países Miembros de la Comunidad Andina (4 dígitos, código de la mercancía a nivel de partida), según Decisión 812; asimismo se registrará el volumen de mercancía importada (peso neto en toneladas).</w:t>
      </w:r>
    </w:p>
    <w:p w14:paraId="35BFCA68" w14:textId="77777777" w:rsidR="000F010E" w:rsidRPr="009A54C0" w:rsidRDefault="000F010E" w:rsidP="000F010E">
      <w:pPr>
        <w:spacing w:before="60"/>
        <w:ind w:left="567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14:paraId="19C4CAA8" w14:textId="77777777" w:rsidR="000F010E" w:rsidRPr="009A54C0" w:rsidRDefault="000F010E" w:rsidP="000F010E">
      <w:pPr>
        <w:spacing w:before="60"/>
        <w:ind w:left="567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 w:rsidRPr="009A54C0">
        <w:rPr>
          <w:rFonts w:ascii="Arial" w:hAnsi="Arial" w:cs="Arial"/>
          <w:color w:val="auto"/>
          <w:sz w:val="24"/>
          <w:szCs w:val="24"/>
          <w:lang w:val="es-ES_tradnl"/>
        </w:rPr>
        <w:t>Se detallarán las 20 principales mercancías por puerto.</w:t>
      </w:r>
    </w:p>
    <w:p w14:paraId="2D9F3E76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12C0DE2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Cuando la carga de importación no sea significativa se agrupará en la opción "otros", y éste no debe exceder del 20% del total importado por el puerto.</w:t>
      </w:r>
    </w:p>
    <w:p w14:paraId="221D68DA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D4C2D30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Se detallarán totales por puerto y trimestre; además en la última columna Total se consignará la sumatoria de los trimestres del año en referencia.</w:t>
      </w:r>
    </w:p>
    <w:p w14:paraId="4E6E7AE8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F6DE268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Es de señalar, que:</w:t>
      </w:r>
    </w:p>
    <w:p w14:paraId="35939E9A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B38464B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- En el código de la mercancía del Sistema Armonizado, se aceptará el código 9999, cuando:</w:t>
      </w:r>
    </w:p>
    <w:p w14:paraId="38EDAEF9" w14:textId="77777777" w:rsidR="000F010E" w:rsidRPr="007E2B1C" w:rsidRDefault="000F010E" w:rsidP="000F010E">
      <w:pPr>
        <w:pStyle w:val="Textoindependiente"/>
        <w:spacing w:line="264" w:lineRule="exact"/>
        <w:ind w:left="709"/>
        <w:rPr>
          <w:rFonts w:ascii="Arial" w:hAnsi="Arial" w:cs="Arial"/>
          <w:sz w:val="24"/>
          <w:szCs w:val="24"/>
          <w:lang w:val="es-ES_tradnl"/>
        </w:rPr>
      </w:pPr>
    </w:p>
    <w:p w14:paraId="115E4686" w14:textId="77777777" w:rsidR="000F010E" w:rsidRPr="007E2B1C" w:rsidRDefault="000F010E" w:rsidP="000F010E">
      <w:pPr>
        <w:pStyle w:val="Textoindependiente"/>
        <w:spacing w:line="264" w:lineRule="exact"/>
        <w:ind w:left="720" w:firstLine="696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* No se conozca la mercancía que se transporta.</w:t>
      </w:r>
    </w:p>
    <w:p w14:paraId="68C441C4" w14:textId="77777777" w:rsidR="000F010E" w:rsidRPr="007E2B1C" w:rsidRDefault="000F010E" w:rsidP="000F010E">
      <w:pPr>
        <w:pStyle w:val="Textoindependiente"/>
        <w:spacing w:line="264" w:lineRule="exact"/>
        <w:ind w:left="709"/>
        <w:rPr>
          <w:rFonts w:ascii="Arial" w:hAnsi="Arial" w:cs="Arial"/>
          <w:sz w:val="24"/>
          <w:szCs w:val="24"/>
          <w:lang w:val="es-ES_tradnl"/>
        </w:rPr>
      </w:pPr>
    </w:p>
    <w:p w14:paraId="4C1BFA28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- El código 9999 no excederá del 10% del valor de las mercancías importadas por puerto.</w:t>
      </w:r>
    </w:p>
    <w:p w14:paraId="6858B755" w14:textId="77777777" w:rsidR="000F010E" w:rsidRPr="007E2B1C" w:rsidRDefault="000F010E" w:rsidP="000F010E">
      <w:pPr>
        <w:spacing w:before="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7E19D0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i/>
          <w:sz w:val="24"/>
          <w:szCs w:val="24"/>
          <w:lang w:val="es-ES_tradnl"/>
        </w:rPr>
        <w:t>Ejemplo: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Continúa el ejemplo de carga de importación del Perú desagregado por principales productos y sus respectivos totales.</w:t>
      </w:r>
    </w:p>
    <w:p w14:paraId="36B1038D" w14:textId="77777777" w:rsidR="000F010E" w:rsidRPr="007E2B1C" w:rsidRDefault="000F010E" w:rsidP="000F010E">
      <w:pPr>
        <w:pStyle w:val="Textoindependiente"/>
        <w:spacing w:line="264" w:lineRule="exact"/>
        <w:ind w:left="709"/>
        <w:rPr>
          <w:rFonts w:ascii="Arial" w:hAnsi="Arial" w:cs="Arial"/>
          <w:sz w:val="24"/>
          <w:szCs w:val="24"/>
          <w:lang w:val="es-ES_tradnl"/>
        </w:rPr>
      </w:pPr>
    </w:p>
    <w:p w14:paraId="3FE1FA89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- En el código de la mercancía del Sistema Armonizado, se aceptará el código 9998 cuando:</w:t>
      </w:r>
    </w:p>
    <w:p w14:paraId="5B552A17" w14:textId="77777777" w:rsidR="000F010E" w:rsidRPr="007E2B1C" w:rsidRDefault="000F010E" w:rsidP="000F010E">
      <w:pPr>
        <w:pStyle w:val="Textoindependiente"/>
        <w:spacing w:line="264" w:lineRule="exact"/>
        <w:ind w:left="720" w:firstLine="696"/>
        <w:rPr>
          <w:rFonts w:ascii="Arial" w:hAnsi="Arial" w:cs="Arial"/>
          <w:sz w:val="24"/>
          <w:szCs w:val="24"/>
          <w:lang w:val="es-ES_tradnl"/>
        </w:rPr>
      </w:pPr>
    </w:p>
    <w:p w14:paraId="6D3CA9C4" w14:textId="77777777" w:rsidR="000F010E" w:rsidRPr="007E2B1C" w:rsidRDefault="000F010E" w:rsidP="000F010E">
      <w:pPr>
        <w:pStyle w:val="Textoindependiente"/>
        <w:spacing w:line="264" w:lineRule="exact"/>
        <w:ind w:left="720" w:firstLine="696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* Cuando se transporte mercancía múltiple en contenedores.</w:t>
      </w:r>
    </w:p>
    <w:p w14:paraId="4B49B63E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5E1540B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- El código 9998 no excederá del 10% del valor de las mercancías importadas por puerto.</w:t>
      </w:r>
    </w:p>
    <w:p w14:paraId="10621CF0" w14:textId="77777777" w:rsidR="000F010E" w:rsidRPr="007E2B1C" w:rsidRDefault="000F010E" w:rsidP="000F010E">
      <w:pPr>
        <w:pStyle w:val="Textoindependiente"/>
        <w:spacing w:line="264" w:lineRule="exact"/>
        <w:ind w:left="720" w:firstLine="696"/>
        <w:rPr>
          <w:rFonts w:ascii="Arial" w:hAnsi="Arial" w:cs="Arial"/>
          <w:sz w:val="24"/>
          <w:szCs w:val="24"/>
          <w:lang w:val="es-ES_tradnl"/>
        </w:rPr>
      </w:pPr>
    </w:p>
    <w:p w14:paraId="1EFCEF18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6D1F44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D5572B5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21E5F07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3037C8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  <w:sectPr w:rsidR="000F010E" w:rsidRPr="007E2B1C" w:rsidSect="00165A6C">
          <w:pgSz w:w="11907" w:h="16840" w:code="9"/>
          <w:pgMar w:top="1247" w:right="1247" w:bottom="1021" w:left="1247" w:header="851" w:footer="567" w:gutter="0"/>
          <w:cols w:space="708"/>
          <w:docGrid w:linePitch="360"/>
        </w:sectPr>
      </w:pPr>
    </w:p>
    <w:p w14:paraId="7ED8BBE2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4a</w:t>
      </w:r>
    </w:p>
    <w:p w14:paraId="5BACD133" w14:textId="00D37550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PERÚ: PRINCIPALES PRODUCTOS DE IMPORTACIÓN, SEGÚN PUERTO, </w:t>
      </w:r>
      <w:r w:rsidR="0038743E">
        <w:rPr>
          <w:rFonts w:ascii="Arial" w:hAnsi="Arial" w:cs="Arial"/>
          <w:b/>
          <w:sz w:val="24"/>
          <w:szCs w:val="24"/>
          <w:lang w:val="es-ES_tradnl"/>
        </w:rPr>
        <w:t>2023</w:t>
      </w:r>
    </w:p>
    <w:p w14:paraId="0FE2745C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7D96B74C" w14:textId="11EB8BF9" w:rsidR="000F010E" w:rsidRPr="007E2B1C" w:rsidRDefault="000F010E" w:rsidP="000F010E">
      <w:pPr>
        <w:tabs>
          <w:tab w:val="num" w:pos="709"/>
        </w:tabs>
        <w:ind w:left="709" w:hanging="425"/>
        <w:jc w:val="center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2A998622" wp14:editId="75B73EA7">
            <wp:extent cx="5977255" cy="4339590"/>
            <wp:effectExtent l="0" t="0" r="4445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E290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  <w:sectPr w:rsidR="000F010E" w:rsidRPr="007E2B1C" w:rsidSect="00165A6C">
          <w:pgSz w:w="16840" w:h="11907" w:orient="landscape" w:code="9"/>
          <w:pgMar w:top="1247" w:right="1247" w:bottom="1247" w:left="1021" w:header="851" w:footer="567" w:gutter="0"/>
          <w:cols w:space="708"/>
          <w:docGrid w:linePitch="360"/>
        </w:sectPr>
      </w:pPr>
    </w:p>
    <w:p w14:paraId="7BBA5CD7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9" w:name="_Hlk56174059"/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4b: Principales productos de exportación, según puerto</w:t>
      </w:r>
    </w:p>
    <w:bookmarkEnd w:id="9"/>
    <w:p w14:paraId="37889C97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EEC29B2" w14:textId="77777777" w:rsidR="000F010E" w:rsidRPr="009A54C0" w:rsidRDefault="000F010E" w:rsidP="000F010E">
      <w:pPr>
        <w:spacing w:before="60"/>
        <w:ind w:left="567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 xml:space="preserve">Se indicará el código que identifica el tipo de mercancía exportada, utilizando la Nomenclatura Común del </w:t>
      </w:r>
      <w:r w:rsidRPr="009A54C0">
        <w:rPr>
          <w:rFonts w:ascii="Arial" w:hAnsi="Arial" w:cs="Arial"/>
          <w:color w:val="auto"/>
          <w:sz w:val="24"/>
          <w:szCs w:val="24"/>
          <w:lang w:val="es-ES_tradnl"/>
        </w:rPr>
        <w:t>Sistema Armonizado de los Países Miembros de la Comunidad Andina (4 dígitos, código de la mercancía a nivel de partida) según Decisión 812; asimismo se registrará el volumen de mercancía exportada (peso neto en toneladas).</w:t>
      </w:r>
    </w:p>
    <w:p w14:paraId="1508472A" w14:textId="77777777" w:rsidR="000F010E" w:rsidRPr="009A54C0" w:rsidRDefault="000F010E" w:rsidP="000F010E">
      <w:pPr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14:paraId="799EE441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Se indicarán las 20 principales mercancías por puerto.</w:t>
      </w:r>
    </w:p>
    <w:p w14:paraId="5FA79530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B132AC7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Cuando la carga de exportación no sea significativa se agrupará en la opción "otros", y éste no debe exceder del 20% del total exportado por el puerto.</w:t>
      </w:r>
    </w:p>
    <w:p w14:paraId="695CF40D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0B75CF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Se detallarán totales por puerto y trimestre; además en la última columna Total se consignará la sumatoria de los trimestres del año en referencia.</w:t>
      </w:r>
    </w:p>
    <w:p w14:paraId="08B34CEF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19B3248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Es de señalar, que:</w:t>
      </w:r>
    </w:p>
    <w:p w14:paraId="19E4DC9C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BF00816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- En el código de la mercancía del Sistema Armonizado, se aceptará el código 9999, cuando:</w:t>
      </w:r>
    </w:p>
    <w:p w14:paraId="427335C5" w14:textId="77777777" w:rsidR="000F010E" w:rsidRPr="007E2B1C" w:rsidRDefault="000F010E" w:rsidP="000F010E">
      <w:pPr>
        <w:pStyle w:val="Textoindependiente"/>
        <w:spacing w:line="264" w:lineRule="exact"/>
        <w:ind w:left="709"/>
        <w:rPr>
          <w:rFonts w:ascii="Arial" w:hAnsi="Arial" w:cs="Arial"/>
          <w:sz w:val="24"/>
          <w:szCs w:val="24"/>
          <w:lang w:val="es-ES_tradnl"/>
        </w:rPr>
      </w:pPr>
    </w:p>
    <w:p w14:paraId="58E2911E" w14:textId="77777777" w:rsidR="000F010E" w:rsidRPr="007E2B1C" w:rsidRDefault="000F010E" w:rsidP="000F010E">
      <w:pPr>
        <w:pStyle w:val="Textoindependiente"/>
        <w:spacing w:line="264" w:lineRule="exact"/>
        <w:ind w:left="720" w:firstLine="696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* No se conozca la mercancía que se transporta.</w:t>
      </w:r>
    </w:p>
    <w:p w14:paraId="06E621D7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5ACE4D6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- El código 9999 no excederá del 10% del valor de las mercancías exportadas por puerto.</w:t>
      </w:r>
    </w:p>
    <w:p w14:paraId="14D3B445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B77C55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i/>
          <w:sz w:val="24"/>
          <w:szCs w:val="24"/>
          <w:lang w:val="es-ES_tradnl"/>
        </w:rPr>
        <w:t>Ejemplo: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Siguiendo el ejemplo de carga de exportación del Perú desagregado por principales productos y totales.</w:t>
      </w:r>
    </w:p>
    <w:p w14:paraId="5229845F" w14:textId="77777777" w:rsidR="000F010E" w:rsidRPr="007E2B1C" w:rsidRDefault="000F010E" w:rsidP="000F010E">
      <w:pPr>
        <w:ind w:left="709"/>
        <w:rPr>
          <w:rFonts w:ascii="Arial" w:hAnsi="Arial" w:cs="Arial"/>
          <w:sz w:val="24"/>
          <w:szCs w:val="24"/>
          <w:lang w:val="es-ES_tradnl"/>
        </w:rPr>
      </w:pPr>
    </w:p>
    <w:p w14:paraId="1DC812E5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- En el código de la mercancía del Sistema Armonizado, se aceptará el código 9998, cuando:</w:t>
      </w:r>
    </w:p>
    <w:p w14:paraId="1F89A1A0" w14:textId="77777777" w:rsidR="000F010E" w:rsidRPr="007E2B1C" w:rsidRDefault="000F010E" w:rsidP="000F010E">
      <w:pPr>
        <w:pStyle w:val="Textoindependiente"/>
        <w:spacing w:line="264" w:lineRule="exact"/>
        <w:ind w:left="720" w:firstLine="696"/>
        <w:rPr>
          <w:rFonts w:ascii="Arial" w:hAnsi="Arial" w:cs="Arial"/>
          <w:sz w:val="24"/>
          <w:szCs w:val="24"/>
          <w:lang w:val="es-ES_tradnl"/>
        </w:rPr>
      </w:pPr>
    </w:p>
    <w:p w14:paraId="7E0A4712" w14:textId="77777777" w:rsidR="000F010E" w:rsidRPr="007E2B1C" w:rsidRDefault="000F010E" w:rsidP="000F010E">
      <w:pPr>
        <w:pStyle w:val="Textoindependiente"/>
        <w:spacing w:line="264" w:lineRule="exact"/>
        <w:ind w:left="720" w:firstLine="696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* Se transporte mercancía múltiple en contenedores.</w:t>
      </w:r>
    </w:p>
    <w:p w14:paraId="6B557679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8AEE064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- El código 9998 no excederá del 10% del valor de las mercancías importadas por puerto.</w:t>
      </w:r>
    </w:p>
    <w:p w14:paraId="77E32D79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154704B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F64D877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AD14AA9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A2A11EF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AFEBDD1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9C4B30D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  <w:sectPr w:rsidR="000F010E" w:rsidRPr="007E2B1C" w:rsidSect="00165A6C">
          <w:pgSz w:w="11907" w:h="16840" w:code="9"/>
          <w:pgMar w:top="1247" w:right="1247" w:bottom="1021" w:left="1247" w:header="851" w:footer="567" w:gutter="0"/>
          <w:cols w:space="708"/>
          <w:docGrid w:linePitch="360"/>
        </w:sectPr>
      </w:pPr>
    </w:p>
    <w:p w14:paraId="5A15AF12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4b</w:t>
      </w:r>
    </w:p>
    <w:p w14:paraId="0CEA2BF8" w14:textId="2D02DCE6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PERÚ: PRINCIPALES PRODUCTOS DE EXPORTACIÓN, SEGÚN PUERTO, </w:t>
      </w:r>
      <w:r w:rsidR="0038743E">
        <w:rPr>
          <w:rFonts w:ascii="Arial" w:hAnsi="Arial" w:cs="Arial"/>
          <w:b/>
          <w:sz w:val="24"/>
          <w:szCs w:val="24"/>
          <w:lang w:val="es-ES_tradnl"/>
        </w:rPr>
        <w:t>2023</w:t>
      </w:r>
    </w:p>
    <w:p w14:paraId="0EA58830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7F664AA9" w14:textId="53246F49" w:rsidR="000F010E" w:rsidRPr="007E2B1C" w:rsidRDefault="000F010E" w:rsidP="000F010E">
      <w:pPr>
        <w:tabs>
          <w:tab w:val="num" w:pos="709"/>
        </w:tabs>
        <w:ind w:left="709" w:hanging="425"/>
        <w:jc w:val="center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5EBB933A" wp14:editId="1BDB9D0B">
            <wp:extent cx="5977255" cy="4257040"/>
            <wp:effectExtent l="0" t="0" r="444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B4290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  <w:sectPr w:rsidR="000F010E" w:rsidRPr="007E2B1C" w:rsidSect="00165A6C">
          <w:pgSz w:w="16840" w:h="11907" w:orient="landscape" w:code="9"/>
          <w:pgMar w:top="1247" w:right="1247" w:bottom="1247" w:left="1021" w:header="851" w:footer="567" w:gutter="0"/>
          <w:cols w:space="708"/>
          <w:docGrid w:linePitch="360"/>
        </w:sectPr>
      </w:pPr>
    </w:p>
    <w:p w14:paraId="6C4549E1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5: Movimiento de contenedores, según puerto</w:t>
      </w:r>
    </w:p>
    <w:p w14:paraId="39302617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73202D2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Se registrará el nombre del puerto que realiza movimiento de contenedores (en unidades) llenos y vacíos de 20', 40' y 45', desagregado por operaciones de desembarque, embarque, tránsito y transbordo.</w:t>
      </w:r>
    </w:p>
    <w:p w14:paraId="24A2EA30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FEFA3F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Se indicarán aquellos puertos de uso público y privado que realizan tráfico de internacional de mercancía en contenedor, supervisado por la autoridad portuaria.</w:t>
      </w:r>
    </w:p>
    <w:p w14:paraId="08D30F51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3FF5465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Asimismo, se detallarán totales por puerto y trimestre, en la última columna se acumulará la sumatoria los trimestres del año en referencia.</w:t>
      </w:r>
    </w:p>
    <w:p w14:paraId="1555627D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7B006F1" w14:textId="196A5874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i/>
          <w:sz w:val="24"/>
          <w:szCs w:val="24"/>
          <w:lang w:val="es-ES_tradnl"/>
        </w:rPr>
        <w:t>Ejemplo: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Continuando con el ejemplo, durante el segundo trimestre del </w:t>
      </w:r>
      <w:r w:rsidR="0038743E">
        <w:rPr>
          <w:rFonts w:ascii="Arial" w:hAnsi="Arial" w:cs="Arial"/>
          <w:sz w:val="24"/>
          <w:szCs w:val="24"/>
          <w:lang w:val="es-ES_tradnl"/>
        </w:rPr>
        <w:t>2023</w:t>
      </w:r>
      <w:r w:rsidRPr="007E2B1C">
        <w:rPr>
          <w:rFonts w:ascii="Arial" w:hAnsi="Arial" w:cs="Arial"/>
          <w:sz w:val="24"/>
          <w:szCs w:val="24"/>
          <w:lang w:val="es-ES_tradnl"/>
        </w:rPr>
        <w:t>, el Perú presenta un movimiento de contenedores de 326 871 unidades, resaltando el mayor registro en el puerto del Callao con un total de 296 925 unidades de contenedores.</w:t>
      </w:r>
    </w:p>
    <w:p w14:paraId="07070181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D15CF3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Cuadro 5</w:t>
      </w:r>
    </w:p>
    <w:p w14:paraId="24E79AC4" w14:textId="0B1D3E48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PERÚ: MOVIMIENTO DE CONTENEDORES, SEGÚN PUERTO, </w:t>
      </w:r>
      <w:r w:rsidR="0038743E">
        <w:rPr>
          <w:rFonts w:ascii="Arial" w:hAnsi="Arial" w:cs="Arial"/>
          <w:b/>
          <w:sz w:val="24"/>
          <w:szCs w:val="24"/>
          <w:lang w:val="es-ES_tradnl"/>
        </w:rPr>
        <w:t>2023</w:t>
      </w:r>
    </w:p>
    <w:p w14:paraId="6429056D" w14:textId="77777777" w:rsidR="000F010E" w:rsidRPr="007E2B1C" w:rsidRDefault="000F010E" w:rsidP="000F010E">
      <w:pPr>
        <w:tabs>
          <w:tab w:val="num" w:pos="709"/>
        </w:tabs>
        <w:ind w:left="709" w:hanging="425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(Unidades)</w:t>
      </w:r>
    </w:p>
    <w:p w14:paraId="14C21798" w14:textId="77777777" w:rsidR="000F010E" w:rsidRPr="007E2B1C" w:rsidRDefault="000F010E" w:rsidP="000F010E">
      <w:pPr>
        <w:tabs>
          <w:tab w:val="num" w:pos="709"/>
        </w:tabs>
        <w:ind w:left="709" w:hanging="425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II Trimestre</w:t>
      </w:r>
    </w:p>
    <w:p w14:paraId="750FD265" w14:textId="77777777" w:rsidR="000F010E" w:rsidRPr="007E2B1C" w:rsidRDefault="000F010E" w:rsidP="000F010E">
      <w:pPr>
        <w:tabs>
          <w:tab w:val="num" w:pos="709"/>
        </w:tabs>
        <w:ind w:left="709" w:hanging="425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B076506" w14:textId="763EE32B" w:rsidR="000F010E" w:rsidRPr="007E2B1C" w:rsidRDefault="000F010E" w:rsidP="000F010E">
      <w:pPr>
        <w:tabs>
          <w:tab w:val="num" w:pos="709"/>
        </w:tabs>
        <w:ind w:left="709" w:right="-368" w:hanging="1276"/>
        <w:jc w:val="center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5D0BFFD8" wp14:editId="30598B39">
            <wp:extent cx="5977255" cy="3046730"/>
            <wp:effectExtent l="0" t="0" r="4445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8C97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70D6EF8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9671270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23B0D35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br w:type="page"/>
      </w:r>
    </w:p>
    <w:p w14:paraId="3E767EC6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6: Arribo de buques cruceros y pasajeros, según puerto</w:t>
      </w:r>
    </w:p>
    <w:p w14:paraId="62EA4792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C89D7B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Se anotará el nombre del puerto de uso público y privado que registra arribo de buques de cruceros en los Países Miembros de la Comunidad Andina, dentro del período de referencia.</w:t>
      </w:r>
    </w:p>
    <w:p w14:paraId="3B4E51AC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6A01318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 xml:space="preserve">Asimismo, se registrará el número de arribos y el total de pasajeros transportados por trimestre. Para el adecuado diligenciamiento de esta información se tendrá en cuenta: </w:t>
      </w:r>
    </w:p>
    <w:p w14:paraId="060950DF" w14:textId="77777777" w:rsidR="000F010E" w:rsidRPr="007E2B1C" w:rsidRDefault="000F010E" w:rsidP="000F010E">
      <w:pPr>
        <w:ind w:left="709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E7023A0" w14:textId="77777777" w:rsidR="000F010E" w:rsidRPr="007E2B1C" w:rsidRDefault="000F010E" w:rsidP="000F010E">
      <w:pPr>
        <w:numPr>
          <w:ilvl w:val="0"/>
          <w:numId w:val="25"/>
        </w:numPr>
        <w:tabs>
          <w:tab w:val="clear" w:pos="720"/>
          <w:tab w:val="num" w:pos="1428"/>
        </w:tabs>
        <w:ind w:left="1428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La tripulación del buque no se debe considerar como pasajeros.</w:t>
      </w:r>
    </w:p>
    <w:p w14:paraId="1F1375D6" w14:textId="77777777" w:rsidR="000F010E" w:rsidRPr="007E2B1C" w:rsidRDefault="000F010E" w:rsidP="000F010E">
      <w:pPr>
        <w:ind w:left="28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89C5BDF" w14:textId="77777777" w:rsidR="000F010E" w:rsidRPr="007E2B1C" w:rsidRDefault="000F010E" w:rsidP="000F010E">
      <w:pPr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Para registrar el transporte de personas se tendrá en cuenta las siguientes variables nombre del puerto, periodo de referencia, número total de arribos de buques de bandera extranjera y el número de pasajeros.</w:t>
      </w:r>
    </w:p>
    <w:p w14:paraId="317D5EA4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1A4913F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sz w:val="24"/>
          <w:szCs w:val="24"/>
          <w:lang w:val="es-ES_tradnl"/>
        </w:rPr>
        <w:t>Se detallarán totales por puerto y trimestre; además en la última columna Total se acumularán los Arribos de buques cruceros y Pasajeros de los trimestres del año en referencia.</w:t>
      </w:r>
    </w:p>
    <w:p w14:paraId="1164E54C" w14:textId="77777777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BD4C0E" w14:textId="02CBE5F5" w:rsidR="000F010E" w:rsidRPr="007E2B1C" w:rsidRDefault="000F010E" w:rsidP="000F010E">
      <w:pPr>
        <w:spacing w:before="60"/>
        <w:ind w:left="567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i/>
          <w:sz w:val="24"/>
          <w:szCs w:val="24"/>
          <w:lang w:val="es-ES_tradnl"/>
        </w:rPr>
        <w:t>Ejemplo:</w:t>
      </w:r>
      <w:r w:rsidRPr="007E2B1C">
        <w:rPr>
          <w:rFonts w:ascii="Arial" w:hAnsi="Arial" w:cs="Arial"/>
          <w:sz w:val="24"/>
          <w:szCs w:val="24"/>
          <w:lang w:val="es-ES_tradnl"/>
        </w:rPr>
        <w:t xml:space="preserve"> El Perú registra información de los cuatro trimestres del </w:t>
      </w:r>
      <w:r w:rsidR="0038743E">
        <w:rPr>
          <w:rFonts w:ascii="Arial" w:hAnsi="Arial" w:cs="Arial"/>
          <w:sz w:val="24"/>
          <w:szCs w:val="24"/>
          <w:lang w:val="es-ES_tradnl"/>
        </w:rPr>
        <w:t>2023</w:t>
      </w:r>
      <w:r w:rsidRPr="007E2B1C">
        <w:rPr>
          <w:rFonts w:ascii="Arial" w:hAnsi="Arial" w:cs="Arial"/>
          <w:sz w:val="24"/>
          <w:szCs w:val="24"/>
          <w:lang w:val="es-ES_tradnl"/>
        </w:rPr>
        <w:t>, totalizando 83 arribos de buques crucero y transportaron un total de 55 874 pasajeros.</w:t>
      </w:r>
    </w:p>
    <w:p w14:paraId="071B9ED0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9A8505A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Cuadro 6</w:t>
      </w:r>
    </w:p>
    <w:p w14:paraId="591F6EC6" w14:textId="67300CC5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 xml:space="preserve">PERÚ: ARRIBO BUQUES CRUCEROS Y PASAJEROS, SEGÚN PUERTO, </w:t>
      </w:r>
      <w:r w:rsidR="0038743E">
        <w:rPr>
          <w:rFonts w:ascii="Arial" w:hAnsi="Arial" w:cs="Arial"/>
          <w:b/>
          <w:sz w:val="24"/>
          <w:szCs w:val="24"/>
          <w:lang w:val="es-ES_tradnl"/>
        </w:rPr>
        <w:t>2023</w:t>
      </w:r>
    </w:p>
    <w:p w14:paraId="25E99938" w14:textId="77777777" w:rsidR="000F010E" w:rsidRPr="007E2B1C" w:rsidRDefault="000F010E" w:rsidP="000F010E">
      <w:pPr>
        <w:tabs>
          <w:tab w:val="num" w:pos="709"/>
        </w:tabs>
        <w:ind w:left="709" w:hanging="425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(Número de arribos y pasajeros)</w:t>
      </w:r>
    </w:p>
    <w:p w14:paraId="0DA7B36B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59ABA94" w14:textId="4337E46C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3062F143" wp14:editId="26FFED1B">
            <wp:extent cx="5969000" cy="1631950"/>
            <wp:effectExtent l="0" t="0" r="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4AE22" w14:textId="77777777" w:rsidR="000F010E" w:rsidRPr="007E2B1C" w:rsidRDefault="000F010E" w:rsidP="000F010E">
      <w:pPr>
        <w:ind w:left="284" w:firstLine="424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4C93DA0" w14:textId="77777777" w:rsidR="000F010E" w:rsidRPr="007E2B1C" w:rsidRDefault="000F010E" w:rsidP="000F010E">
      <w:pPr>
        <w:tabs>
          <w:tab w:val="num" w:pos="709"/>
        </w:tabs>
        <w:ind w:left="709" w:hanging="425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74DCC7C" w14:textId="77777777" w:rsidR="000F010E" w:rsidRPr="007E2B1C" w:rsidRDefault="000F010E" w:rsidP="000F010E">
      <w:pPr>
        <w:ind w:left="28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EAA9514" w14:textId="77777777" w:rsidR="000F010E" w:rsidRPr="007E2B1C" w:rsidRDefault="000F010E" w:rsidP="000F010E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125E68D" w14:textId="77777777" w:rsidR="000F010E" w:rsidRPr="007E2B1C" w:rsidRDefault="000F010E" w:rsidP="000F010E">
      <w:pPr>
        <w:pStyle w:val="Ttulo2"/>
        <w:tabs>
          <w:tab w:val="left" w:pos="426"/>
        </w:tabs>
        <w:jc w:val="both"/>
        <w:rPr>
          <w:rFonts w:cs="Arial"/>
          <w:b w:val="0"/>
          <w:sz w:val="24"/>
          <w:szCs w:val="24"/>
          <w:lang w:val="es-ES_tradnl"/>
        </w:rPr>
      </w:pPr>
      <w:bookmarkStart w:id="10" w:name="_Toc75930807"/>
      <w:r w:rsidRPr="007E2B1C">
        <w:rPr>
          <w:rFonts w:cs="Arial"/>
          <w:i/>
          <w:sz w:val="24"/>
          <w:szCs w:val="24"/>
          <w:lang w:val="es-ES_tradnl"/>
        </w:rPr>
        <w:br w:type="page"/>
      </w:r>
      <w:bookmarkEnd w:id="10"/>
    </w:p>
    <w:p w14:paraId="160A713D" w14:textId="77777777" w:rsidR="000F010E" w:rsidRPr="007E2B1C" w:rsidRDefault="000F010E" w:rsidP="000F010E">
      <w:pPr>
        <w:numPr>
          <w:ilvl w:val="0"/>
          <w:numId w:val="23"/>
        </w:numPr>
        <w:tabs>
          <w:tab w:val="clear" w:pos="1080"/>
          <w:tab w:val="num" w:pos="426"/>
        </w:tabs>
        <w:ind w:hanging="1080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Tablas de apoyo </w:t>
      </w:r>
    </w:p>
    <w:p w14:paraId="29A6E59D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02C37136" w14:textId="77777777" w:rsidR="000F010E" w:rsidRPr="007E2B1C" w:rsidRDefault="000F010E" w:rsidP="000F010E">
      <w:pPr>
        <w:pStyle w:val="Ttulo3"/>
        <w:jc w:val="center"/>
        <w:rPr>
          <w:rFonts w:cs="Arial"/>
          <w:sz w:val="24"/>
          <w:szCs w:val="24"/>
          <w:lang w:val="es-ES_tradnl"/>
        </w:rPr>
      </w:pPr>
      <w:r w:rsidRPr="007E2B1C">
        <w:rPr>
          <w:rFonts w:cs="Arial"/>
          <w:sz w:val="24"/>
          <w:szCs w:val="24"/>
          <w:lang w:val="es-ES_tradnl"/>
        </w:rPr>
        <w:t>TABLA 1</w:t>
      </w:r>
    </w:p>
    <w:p w14:paraId="1EDAC86F" w14:textId="77777777" w:rsidR="000F010E" w:rsidRPr="007E2B1C" w:rsidRDefault="000F010E" w:rsidP="000F010E">
      <w:pPr>
        <w:pStyle w:val="Ttulo3"/>
        <w:jc w:val="center"/>
        <w:rPr>
          <w:rFonts w:cs="Arial"/>
          <w:sz w:val="24"/>
          <w:szCs w:val="24"/>
          <w:lang w:val="es-ES_tradnl"/>
        </w:rPr>
      </w:pPr>
      <w:r w:rsidRPr="007E2B1C">
        <w:rPr>
          <w:rFonts w:cs="Arial"/>
          <w:sz w:val="24"/>
          <w:szCs w:val="24"/>
          <w:lang w:val="es-ES_tradnl"/>
        </w:rPr>
        <w:t>PERIODO DE REPORTE DE LAS ESTADÍSTICAS</w:t>
      </w:r>
    </w:p>
    <w:p w14:paraId="4A481D6C" w14:textId="77777777" w:rsidR="000F010E" w:rsidRPr="007E2B1C" w:rsidRDefault="000F010E" w:rsidP="000F010E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2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7"/>
        <w:gridCol w:w="3067"/>
      </w:tblGrid>
      <w:tr w:rsidR="000F010E" w:rsidRPr="002D0448" w14:paraId="02118A9C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B9D9392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Código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73331FC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Descripción</w:t>
            </w:r>
          </w:p>
        </w:tc>
      </w:tr>
      <w:tr w:rsidR="000F010E" w:rsidRPr="002D0448" w14:paraId="47AFDFB1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3219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01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E876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Enero</w:t>
            </w:r>
          </w:p>
        </w:tc>
      </w:tr>
      <w:tr w:rsidR="000F010E" w:rsidRPr="002D0448" w14:paraId="2C775FB1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6790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02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C61E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Febrero</w:t>
            </w:r>
          </w:p>
        </w:tc>
      </w:tr>
      <w:tr w:rsidR="000F010E" w:rsidRPr="002D0448" w14:paraId="57D098F6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C743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03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5DDC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Marzo</w:t>
            </w:r>
          </w:p>
        </w:tc>
      </w:tr>
      <w:tr w:rsidR="000F010E" w:rsidRPr="002D0448" w14:paraId="69BA149D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FF9D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04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199B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Abril</w:t>
            </w:r>
          </w:p>
        </w:tc>
      </w:tr>
      <w:tr w:rsidR="000F010E" w:rsidRPr="002D0448" w14:paraId="0199E1CA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CBEA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05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93AB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Mayo</w:t>
            </w:r>
          </w:p>
        </w:tc>
      </w:tr>
      <w:tr w:rsidR="000F010E" w:rsidRPr="002D0448" w14:paraId="2CF84E23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AD9F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06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58D3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Junio</w:t>
            </w:r>
          </w:p>
        </w:tc>
      </w:tr>
      <w:tr w:rsidR="000F010E" w:rsidRPr="002D0448" w14:paraId="46963921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6EBE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07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3EEF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 xml:space="preserve">Julio </w:t>
            </w:r>
          </w:p>
        </w:tc>
      </w:tr>
      <w:tr w:rsidR="000F010E" w:rsidRPr="002D0448" w14:paraId="15EE65D6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8CD2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08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01FE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Agosto</w:t>
            </w:r>
          </w:p>
        </w:tc>
      </w:tr>
      <w:tr w:rsidR="000F010E" w:rsidRPr="002D0448" w14:paraId="1AC92432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8041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09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42B0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Septiembre</w:t>
            </w:r>
          </w:p>
        </w:tc>
      </w:tr>
      <w:tr w:rsidR="000F010E" w:rsidRPr="002D0448" w14:paraId="5F928C4F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45DE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15DC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Octubre</w:t>
            </w:r>
          </w:p>
        </w:tc>
      </w:tr>
      <w:tr w:rsidR="000F010E" w:rsidRPr="002D0448" w14:paraId="3D11A68D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A86A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11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ABB2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Noviembre</w:t>
            </w:r>
          </w:p>
        </w:tc>
      </w:tr>
      <w:tr w:rsidR="000F010E" w:rsidRPr="002D0448" w14:paraId="7451A1F5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55B9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12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86A1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Diciembre</w:t>
            </w:r>
          </w:p>
        </w:tc>
      </w:tr>
      <w:tr w:rsidR="000F010E" w:rsidRPr="002D0448" w14:paraId="7C2F63F3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1B2D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13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9233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Bimestral I</w:t>
            </w:r>
          </w:p>
        </w:tc>
      </w:tr>
      <w:tr w:rsidR="000F010E" w:rsidRPr="002D0448" w14:paraId="703E12E4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4EAC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14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FDD1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Bimestral II</w:t>
            </w:r>
          </w:p>
        </w:tc>
      </w:tr>
      <w:tr w:rsidR="000F010E" w:rsidRPr="002D0448" w14:paraId="02B7CE3C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981C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15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3792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Bimestral III</w:t>
            </w:r>
          </w:p>
        </w:tc>
      </w:tr>
      <w:tr w:rsidR="000F010E" w:rsidRPr="002D0448" w14:paraId="0E3079E6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8061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16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E601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Bimestral IV</w:t>
            </w:r>
          </w:p>
        </w:tc>
      </w:tr>
      <w:tr w:rsidR="000F010E" w:rsidRPr="002D0448" w14:paraId="334BBBD1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359B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17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7F55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Bimestral V</w:t>
            </w:r>
          </w:p>
        </w:tc>
      </w:tr>
      <w:tr w:rsidR="000F010E" w:rsidRPr="002D0448" w14:paraId="0EC061F3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15E4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18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CB48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Bimestral VI</w:t>
            </w:r>
          </w:p>
        </w:tc>
      </w:tr>
      <w:tr w:rsidR="000F010E" w:rsidRPr="002D0448" w14:paraId="4B46FFBE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641F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19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BF9F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Trimestral I</w:t>
            </w:r>
          </w:p>
        </w:tc>
      </w:tr>
      <w:tr w:rsidR="000F010E" w:rsidRPr="002D0448" w14:paraId="546460FC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F2B6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20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3663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Trimestral II</w:t>
            </w:r>
          </w:p>
        </w:tc>
      </w:tr>
      <w:tr w:rsidR="000F010E" w:rsidRPr="002D0448" w14:paraId="6E05E487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8867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21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9D9F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Trimestral III</w:t>
            </w:r>
          </w:p>
        </w:tc>
      </w:tr>
      <w:tr w:rsidR="000F010E" w:rsidRPr="002D0448" w14:paraId="119F08DA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1456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22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2CD7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Trimestral IV</w:t>
            </w:r>
          </w:p>
        </w:tc>
      </w:tr>
      <w:tr w:rsidR="000F010E" w:rsidRPr="002D0448" w14:paraId="675E4389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5762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23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0950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Cuatrimestral I</w:t>
            </w:r>
          </w:p>
        </w:tc>
      </w:tr>
      <w:tr w:rsidR="000F010E" w:rsidRPr="002D0448" w14:paraId="04E6FA61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DA2E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24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D068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Cuatrimestral II</w:t>
            </w:r>
          </w:p>
        </w:tc>
      </w:tr>
      <w:tr w:rsidR="000F010E" w:rsidRPr="002D0448" w14:paraId="23938384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117D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25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AF5E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Cuatrimestral III</w:t>
            </w:r>
          </w:p>
        </w:tc>
      </w:tr>
      <w:tr w:rsidR="000F010E" w:rsidRPr="002D0448" w14:paraId="3001A3F6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14AD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26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13C0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Semestral I</w:t>
            </w:r>
          </w:p>
        </w:tc>
      </w:tr>
      <w:tr w:rsidR="000F010E" w:rsidRPr="002D0448" w14:paraId="06AAA40A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EDD5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27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D992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Semestral II</w:t>
            </w:r>
          </w:p>
        </w:tc>
      </w:tr>
      <w:tr w:rsidR="000F010E" w:rsidRPr="002D0448" w14:paraId="518D198A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3B99F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28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E620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Anual</w:t>
            </w:r>
          </w:p>
        </w:tc>
      </w:tr>
      <w:tr w:rsidR="000F010E" w:rsidRPr="002D0448" w14:paraId="4814CEC4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9AA7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29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B223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Censal</w:t>
            </w:r>
          </w:p>
        </w:tc>
      </w:tr>
      <w:tr w:rsidR="000F010E" w:rsidRPr="002D0448" w14:paraId="1335096D" w14:textId="77777777" w:rsidTr="00B6528B">
        <w:trPr>
          <w:trHeight w:val="252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1E2D" w14:textId="77777777" w:rsidR="000F010E" w:rsidRPr="002D0448" w:rsidRDefault="000F010E" w:rsidP="00B6528B">
            <w:pPr>
              <w:jc w:val="center"/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30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908B" w14:textId="77777777" w:rsidR="000F010E" w:rsidRPr="002D0448" w:rsidRDefault="000F010E" w:rsidP="00B6528B">
            <w:pPr>
              <w:rPr>
                <w:rFonts w:ascii="Arial" w:hAnsi="Arial" w:cs="Arial"/>
              </w:rPr>
            </w:pPr>
            <w:r w:rsidRPr="002D0448">
              <w:rPr>
                <w:rFonts w:ascii="Arial" w:hAnsi="Arial" w:cs="Arial"/>
              </w:rPr>
              <w:t>Frecuencia variable mayor a la anual (quinquenal, trianual, etc.)</w:t>
            </w:r>
          </w:p>
        </w:tc>
      </w:tr>
    </w:tbl>
    <w:p w14:paraId="74B767C5" w14:textId="77777777" w:rsidR="000F010E" w:rsidRPr="007E2B1C" w:rsidRDefault="000F010E" w:rsidP="000F010E">
      <w:pPr>
        <w:rPr>
          <w:rFonts w:ascii="Arial" w:hAnsi="Arial" w:cs="Arial"/>
          <w:sz w:val="24"/>
          <w:szCs w:val="24"/>
        </w:rPr>
      </w:pPr>
    </w:p>
    <w:p w14:paraId="3B14F437" w14:textId="77777777" w:rsidR="000F010E" w:rsidRPr="007E2B1C" w:rsidRDefault="000F010E" w:rsidP="000F010E">
      <w:pPr>
        <w:pStyle w:val="Ttulo3"/>
        <w:jc w:val="center"/>
        <w:rPr>
          <w:rFonts w:cs="Arial"/>
          <w:b w:val="0"/>
          <w:sz w:val="24"/>
          <w:szCs w:val="24"/>
          <w:lang w:val="es-ES_tradnl"/>
        </w:rPr>
      </w:pPr>
    </w:p>
    <w:p w14:paraId="2DE9C15E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7BABEF63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0E0BAAAB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709F25C7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24794452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5B3ECF89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13AC9B21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5FC80B17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185E63D9" w14:textId="77777777" w:rsidR="000F010E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78294449" w14:textId="77777777" w:rsidR="000F010E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622D9728" w14:textId="77777777" w:rsidR="000F010E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0A0CD671" w14:textId="77777777" w:rsidR="000F010E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298B58A9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61D51A4B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475E935A" w14:textId="77777777" w:rsidR="000F010E" w:rsidRPr="007E2B1C" w:rsidRDefault="000F010E" w:rsidP="000F010E">
      <w:pPr>
        <w:pStyle w:val="Ttulo3"/>
        <w:jc w:val="center"/>
        <w:rPr>
          <w:rFonts w:cs="Arial"/>
          <w:sz w:val="24"/>
          <w:szCs w:val="24"/>
          <w:lang w:val="es-ES_tradnl"/>
        </w:rPr>
      </w:pPr>
      <w:r w:rsidRPr="007E2B1C">
        <w:rPr>
          <w:rFonts w:cs="Arial"/>
          <w:sz w:val="24"/>
          <w:szCs w:val="24"/>
          <w:lang w:val="es-ES_tradnl"/>
        </w:rPr>
        <w:lastRenderedPageBreak/>
        <w:t>TABLA 2</w:t>
      </w:r>
    </w:p>
    <w:p w14:paraId="1247B0F3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bCs/>
          <w:sz w:val="24"/>
          <w:szCs w:val="24"/>
          <w:lang w:val="es-ES_tradnl"/>
        </w:rPr>
        <w:t>CLASIFICACIÓN DEL TIPO DE CARGAMENTO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5"/>
        <w:gridCol w:w="1931"/>
        <w:gridCol w:w="5509"/>
        <w:gridCol w:w="952"/>
        <w:gridCol w:w="824"/>
      </w:tblGrid>
      <w:tr w:rsidR="000F010E" w:rsidRPr="007E2B1C" w14:paraId="1D62C0AE" w14:textId="77777777" w:rsidTr="00B6528B">
        <w:trPr>
          <w:cantSplit/>
          <w:tblHeader/>
        </w:trPr>
        <w:tc>
          <w:tcPr>
            <w:tcW w:w="535" w:type="dxa"/>
          </w:tcPr>
          <w:p w14:paraId="635C182B" w14:textId="77777777" w:rsidR="000F010E" w:rsidRPr="002D0448" w:rsidRDefault="000F010E" w:rsidP="00B6528B">
            <w:pPr>
              <w:jc w:val="center"/>
              <w:rPr>
                <w:rFonts w:ascii="Arial" w:hAnsi="Arial" w:cs="Arial"/>
                <w:lang w:val="es-ES_tradnl"/>
              </w:rPr>
            </w:pPr>
            <w:r w:rsidRPr="002D0448">
              <w:rPr>
                <w:rFonts w:ascii="Arial" w:hAnsi="Arial" w:cs="Arial"/>
                <w:lang w:val="es-ES_tradnl"/>
              </w:rPr>
              <w:t>Cód.</w:t>
            </w:r>
          </w:p>
        </w:tc>
        <w:tc>
          <w:tcPr>
            <w:tcW w:w="1931" w:type="dxa"/>
          </w:tcPr>
          <w:p w14:paraId="5F1804CF" w14:textId="77777777" w:rsidR="000F010E" w:rsidRPr="002D0448" w:rsidRDefault="000F010E" w:rsidP="00B6528B">
            <w:pPr>
              <w:jc w:val="center"/>
              <w:rPr>
                <w:rFonts w:ascii="Arial" w:hAnsi="Arial" w:cs="Arial"/>
                <w:lang w:val="es-ES_tradnl"/>
              </w:rPr>
            </w:pPr>
            <w:r w:rsidRPr="002D0448">
              <w:rPr>
                <w:rFonts w:ascii="Arial" w:hAnsi="Arial" w:cs="Arial"/>
                <w:lang w:val="es-ES_tradnl"/>
              </w:rPr>
              <w:t>Cargamento</w:t>
            </w:r>
            <w:r w:rsidRPr="002D0448">
              <w:rPr>
                <w:rFonts w:ascii="Arial" w:hAnsi="Arial" w:cs="Arial"/>
                <w:vertAlign w:val="superscript"/>
                <w:lang w:val="es-ES_tradnl"/>
              </w:rPr>
              <w:t>1</w:t>
            </w:r>
          </w:p>
        </w:tc>
        <w:tc>
          <w:tcPr>
            <w:tcW w:w="5509" w:type="dxa"/>
          </w:tcPr>
          <w:p w14:paraId="377D5536" w14:textId="77777777" w:rsidR="000F010E" w:rsidRPr="002D0448" w:rsidRDefault="000F010E" w:rsidP="00B6528B">
            <w:pPr>
              <w:jc w:val="center"/>
              <w:rPr>
                <w:rFonts w:ascii="Arial" w:hAnsi="Arial" w:cs="Arial"/>
                <w:lang w:val="es-ES_tradnl"/>
              </w:rPr>
            </w:pPr>
            <w:r w:rsidRPr="002D0448">
              <w:rPr>
                <w:rFonts w:ascii="Arial" w:hAnsi="Arial" w:cs="Arial"/>
                <w:lang w:val="es-ES_tradnl"/>
              </w:rPr>
              <w:t>Descripción</w:t>
            </w:r>
          </w:p>
        </w:tc>
        <w:tc>
          <w:tcPr>
            <w:tcW w:w="952" w:type="dxa"/>
          </w:tcPr>
          <w:p w14:paraId="5E3AD48D" w14:textId="77777777" w:rsidR="000F010E" w:rsidRPr="002D0448" w:rsidRDefault="000F010E" w:rsidP="00B6528B">
            <w:pPr>
              <w:jc w:val="center"/>
              <w:rPr>
                <w:rFonts w:ascii="Arial" w:hAnsi="Arial" w:cs="Arial"/>
                <w:lang w:val="es-ES_tradnl"/>
              </w:rPr>
            </w:pPr>
            <w:r w:rsidRPr="002D0448">
              <w:rPr>
                <w:rFonts w:ascii="Arial" w:hAnsi="Arial" w:cs="Arial"/>
                <w:lang w:val="es-ES_tradnl"/>
              </w:rPr>
              <w:t>Tonelaje</w:t>
            </w:r>
            <w:r w:rsidRPr="002D0448">
              <w:rPr>
                <w:rFonts w:ascii="Arial" w:hAnsi="Arial" w:cs="Arial"/>
                <w:vertAlign w:val="superscript"/>
                <w:lang w:val="es-ES_tradnl"/>
              </w:rPr>
              <w:t>2</w:t>
            </w:r>
          </w:p>
        </w:tc>
        <w:tc>
          <w:tcPr>
            <w:tcW w:w="824" w:type="dxa"/>
          </w:tcPr>
          <w:p w14:paraId="11F9208F" w14:textId="77777777" w:rsidR="000F010E" w:rsidRPr="002D0448" w:rsidRDefault="000F010E" w:rsidP="00B6528B">
            <w:pPr>
              <w:jc w:val="center"/>
              <w:rPr>
                <w:rFonts w:ascii="Arial" w:hAnsi="Arial" w:cs="Arial"/>
                <w:lang w:val="es-ES_tradnl"/>
              </w:rPr>
            </w:pPr>
            <w:r w:rsidRPr="002D0448">
              <w:rPr>
                <w:rFonts w:ascii="Arial" w:hAnsi="Arial" w:cs="Arial"/>
                <w:lang w:val="es-ES_tradnl"/>
              </w:rPr>
              <w:t>Número</w:t>
            </w:r>
          </w:p>
        </w:tc>
      </w:tr>
      <w:tr w:rsidR="000F010E" w:rsidRPr="007E2B1C" w14:paraId="71D17E93" w14:textId="77777777" w:rsidTr="00B6528B">
        <w:trPr>
          <w:cantSplit/>
        </w:trPr>
        <w:tc>
          <w:tcPr>
            <w:tcW w:w="535" w:type="dxa"/>
          </w:tcPr>
          <w:p w14:paraId="7086858F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0</w:t>
            </w:r>
          </w:p>
        </w:tc>
        <w:tc>
          <w:tcPr>
            <w:tcW w:w="1931" w:type="dxa"/>
          </w:tcPr>
          <w:p w14:paraId="73BEC18C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Mercancías a granel líquidas </w:t>
            </w:r>
          </w:p>
        </w:tc>
        <w:tc>
          <w:tcPr>
            <w:tcW w:w="5509" w:type="dxa"/>
          </w:tcPr>
          <w:p w14:paraId="781408C6" w14:textId="5331CAD6" w:rsidR="000F010E" w:rsidRPr="009866D0" w:rsidRDefault="000F010E" w:rsidP="00B6528B">
            <w:pPr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Se almacenan generalmente en tanques, se desplazan por </w:t>
            </w:r>
            <w:r w:rsidR="00E96E33" w:rsidRPr="009866D0">
              <w:rPr>
                <w:rFonts w:ascii="Arial" w:hAnsi="Arial" w:cs="Arial"/>
                <w:sz w:val="19"/>
                <w:szCs w:val="19"/>
                <w:lang w:val="es-ES_tradnl"/>
              </w:rPr>
              <w:t>tuberías</w:t>
            </w: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y son transportadas a los buques tanqueros o vagones-tanque; encontrándose en este grupo los químicos, combustibles, lubricantes, productos alimenticios (vino, cerveza, leche, melazas, etc.).</w:t>
            </w:r>
          </w:p>
          <w:p w14:paraId="33A189F1" w14:textId="77777777" w:rsidR="000F010E" w:rsidRPr="009866D0" w:rsidRDefault="000F010E" w:rsidP="00B6528B">
            <w:pPr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Tipos: i) líquidos, ii) gases líquidos, iii) sólidos fundidos o derretidos, aptos para el manipuleo continuo para el transporte por tubería o suelto en una bodega, tanque u otro compartimiento integral de un medio de transporte.</w:t>
            </w:r>
          </w:p>
        </w:tc>
        <w:tc>
          <w:tcPr>
            <w:tcW w:w="952" w:type="dxa"/>
          </w:tcPr>
          <w:p w14:paraId="5735BFB0" w14:textId="77777777" w:rsidR="000F010E" w:rsidRPr="009866D0" w:rsidRDefault="000F010E" w:rsidP="000F010E">
            <w:pPr>
              <w:numPr>
                <w:ilvl w:val="0"/>
                <w:numId w:val="24"/>
              </w:numPr>
              <w:tabs>
                <w:tab w:val="left" w:pos="253"/>
              </w:tabs>
              <w:ind w:left="0" w:firstLine="0"/>
              <w:jc w:val="center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824" w:type="dxa"/>
          </w:tcPr>
          <w:p w14:paraId="4407944F" w14:textId="77777777" w:rsidR="000F010E" w:rsidRPr="009866D0" w:rsidRDefault="000F010E" w:rsidP="00B6528B">
            <w:pPr>
              <w:tabs>
                <w:tab w:val="left" w:pos="253"/>
              </w:tabs>
              <w:jc w:val="center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</w:p>
        </w:tc>
      </w:tr>
      <w:tr w:rsidR="000F010E" w:rsidRPr="007E2B1C" w14:paraId="6A90404F" w14:textId="77777777" w:rsidTr="00B6528B">
        <w:trPr>
          <w:cantSplit/>
        </w:trPr>
        <w:tc>
          <w:tcPr>
            <w:tcW w:w="535" w:type="dxa"/>
          </w:tcPr>
          <w:p w14:paraId="0CF1D27A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1</w:t>
            </w:r>
          </w:p>
        </w:tc>
        <w:tc>
          <w:tcPr>
            <w:tcW w:w="1931" w:type="dxa"/>
          </w:tcPr>
          <w:p w14:paraId="34245C93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Mercancías a granel sólidas</w:t>
            </w:r>
          </w:p>
        </w:tc>
        <w:tc>
          <w:tcPr>
            <w:tcW w:w="5509" w:type="dxa"/>
          </w:tcPr>
          <w:p w14:paraId="72004D77" w14:textId="77777777" w:rsidR="000F010E" w:rsidRPr="009866D0" w:rsidRDefault="000F010E" w:rsidP="00B6528B">
            <w:pPr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Se almacenan generalmente en silos, se desplazan por fajas transportadoras y son transportados en las bodegas del buque; encontrándose en este grupo los minerales, productos alimenticios (azúcar, trigo, café, soya, harina de pescado, etc.). </w:t>
            </w:r>
          </w:p>
          <w:p w14:paraId="10A8B4CF" w14:textId="77777777" w:rsidR="000F010E" w:rsidRPr="009866D0" w:rsidRDefault="000F010E" w:rsidP="00B6528B">
            <w:pPr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Tipos: i) polvo fino, ii) partículas granulares, iii) sólidos, grandes, apelmazados, secos, aptos para el manipuleo continuo, para el transporte por instalaciones fijas (diferentes que las tuberías) o sueltas en una bodega u otro compartimiento integral de un medio de transporte.</w:t>
            </w:r>
          </w:p>
        </w:tc>
        <w:tc>
          <w:tcPr>
            <w:tcW w:w="952" w:type="dxa"/>
          </w:tcPr>
          <w:p w14:paraId="332D364D" w14:textId="77777777" w:rsidR="000F010E" w:rsidRPr="009866D0" w:rsidRDefault="000F010E" w:rsidP="000F010E">
            <w:pPr>
              <w:numPr>
                <w:ilvl w:val="0"/>
                <w:numId w:val="24"/>
              </w:numPr>
              <w:tabs>
                <w:tab w:val="left" w:pos="253"/>
              </w:tabs>
              <w:ind w:left="0" w:firstLine="0"/>
              <w:jc w:val="center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824" w:type="dxa"/>
          </w:tcPr>
          <w:p w14:paraId="6888FE4A" w14:textId="77777777" w:rsidR="000F010E" w:rsidRPr="009866D0" w:rsidRDefault="000F010E" w:rsidP="00B6528B">
            <w:pPr>
              <w:spacing w:before="100"/>
              <w:jc w:val="center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0F010E" w:rsidRPr="007E2B1C" w14:paraId="24DBDB15" w14:textId="77777777" w:rsidTr="00B6528B">
        <w:trPr>
          <w:cantSplit/>
        </w:trPr>
        <w:tc>
          <w:tcPr>
            <w:tcW w:w="535" w:type="dxa"/>
          </w:tcPr>
          <w:p w14:paraId="3B001853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2</w:t>
            </w:r>
          </w:p>
        </w:tc>
        <w:tc>
          <w:tcPr>
            <w:tcW w:w="1931" w:type="dxa"/>
          </w:tcPr>
          <w:p w14:paraId="0DB20B23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Contenedores </w:t>
            </w:r>
          </w:p>
        </w:tc>
        <w:tc>
          <w:tcPr>
            <w:tcW w:w="5509" w:type="dxa"/>
          </w:tcPr>
          <w:p w14:paraId="0261EF2C" w14:textId="77777777" w:rsidR="000F010E" w:rsidRPr="009866D0" w:rsidRDefault="000F010E" w:rsidP="00B6528B">
            <w:pPr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Mercancías cargadas en un contenedor de 20 o 40 pies (</w:t>
            </w:r>
            <w:smartTag w:uri="urn:schemas-microsoft-com:office:smarttags" w:element="metricconverter">
              <w:smartTagPr>
                <w:attr w:name="ProductID" w:val="6 m"/>
              </w:smartTagPr>
              <w:r w:rsidRPr="009866D0">
                <w:rPr>
                  <w:rFonts w:ascii="Arial" w:hAnsi="Arial" w:cs="Arial"/>
                  <w:sz w:val="19"/>
                  <w:szCs w:val="19"/>
                  <w:lang w:val="es-ES_tradnl"/>
                </w:rPr>
                <w:t>6 m</w:t>
              </w:r>
            </w:smartTag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) de largo exterior: incluye i) Contenedores de Bultos Intermedios (</w:t>
            </w:r>
            <w:proofErr w:type="spellStart"/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IBCs</w:t>
            </w:r>
            <w:proofErr w:type="spellEnd"/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), ii) Dispositivos de Carga Unitaria (</w:t>
            </w:r>
            <w:proofErr w:type="spellStart"/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ULDs</w:t>
            </w:r>
            <w:proofErr w:type="spellEnd"/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); excluye i) paletas de modo aéreo, ii) cajas, tanques postes, estante de modo marítimo o terrestre, tanque movible o artículos similares de equipo de transporte.</w:t>
            </w:r>
          </w:p>
        </w:tc>
        <w:tc>
          <w:tcPr>
            <w:tcW w:w="952" w:type="dxa"/>
          </w:tcPr>
          <w:p w14:paraId="022119F8" w14:textId="77777777" w:rsidR="000F010E" w:rsidRPr="009866D0" w:rsidRDefault="000F010E" w:rsidP="000F010E">
            <w:pPr>
              <w:numPr>
                <w:ilvl w:val="0"/>
                <w:numId w:val="24"/>
              </w:numPr>
              <w:tabs>
                <w:tab w:val="left" w:pos="253"/>
              </w:tabs>
              <w:ind w:left="0" w:firstLine="0"/>
              <w:jc w:val="center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824" w:type="dxa"/>
          </w:tcPr>
          <w:p w14:paraId="4AEDEE4D" w14:textId="77777777" w:rsidR="000F010E" w:rsidRPr="009866D0" w:rsidRDefault="000F010E" w:rsidP="000F010E">
            <w:pPr>
              <w:numPr>
                <w:ilvl w:val="0"/>
                <w:numId w:val="24"/>
              </w:numPr>
              <w:tabs>
                <w:tab w:val="left" w:pos="253"/>
              </w:tabs>
              <w:ind w:left="0" w:firstLine="0"/>
              <w:jc w:val="center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</w:p>
        </w:tc>
      </w:tr>
      <w:tr w:rsidR="000F010E" w:rsidRPr="007E2B1C" w14:paraId="79EADE5B" w14:textId="77777777" w:rsidTr="00B6528B">
        <w:trPr>
          <w:cantSplit/>
        </w:trPr>
        <w:tc>
          <w:tcPr>
            <w:tcW w:w="535" w:type="dxa"/>
          </w:tcPr>
          <w:p w14:paraId="21708208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3</w:t>
            </w:r>
          </w:p>
        </w:tc>
        <w:tc>
          <w:tcPr>
            <w:tcW w:w="1931" w:type="dxa"/>
          </w:tcPr>
          <w:p w14:paraId="743938BB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Mercancías General o fraccionada</w:t>
            </w:r>
          </w:p>
        </w:tc>
        <w:tc>
          <w:tcPr>
            <w:tcW w:w="5509" w:type="dxa"/>
          </w:tcPr>
          <w:p w14:paraId="5242573E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Puede ser suelta y </w:t>
            </w:r>
            <w:proofErr w:type="spellStart"/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unitarizada</w:t>
            </w:r>
            <w:proofErr w:type="spellEnd"/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.</w:t>
            </w:r>
          </w:p>
          <w:p w14:paraId="5619C25C" w14:textId="77777777" w:rsidR="000F010E" w:rsidRPr="009866D0" w:rsidRDefault="000F010E" w:rsidP="00B6528B">
            <w:pPr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Aquellas mercancías individuales, manipulados como unidades separadas, fardos, paquetes, sacos, cajas, tambores, piezas atadas, etc.</w:t>
            </w:r>
          </w:p>
          <w:p w14:paraId="35421F49" w14:textId="77777777" w:rsidR="000F010E" w:rsidRPr="009866D0" w:rsidRDefault="000F010E" w:rsidP="00B6528B">
            <w:pPr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Mercancías cargadas sobre una superficie; incluye i) las paletas desechables de un solo uso, ii) las paletas-caja, las paletas-cisterna, las paletas con montante y las paletas con bastidor que no superen </w:t>
            </w:r>
            <w:smartTag w:uri="urn:schemas-microsoft-com:office:smarttags" w:element="metricconverter">
              <w:smartTagPr>
                <w:attr w:name="ProductID" w:val="1,25 m2"/>
              </w:smartTagPr>
              <w:r w:rsidRPr="009866D0">
                <w:rPr>
                  <w:rFonts w:ascii="Arial" w:hAnsi="Arial" w:cs="Arial"/>
                  <w:sz w:val="19"/>
                  <w:szCs w:val="19"/>
                  <w:lang w:val="es-ES_tradnl"/>
                </w:rPr>
                <w:t>1,25 m2</w:t>
              </w:r>
            </w:smartTag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de superficie de carga, para el transporte marítimo, iii) láminas de deslizamiento, iv) ladrillos, lingotes, etc., adecuadamente apilados para su manipulación mediante carretillas elevadoras.</w:t>
            </w:r>
          </w:p>
          <w:p w14:paraId="44B70185" w14:textId="77777777" w:rsidR="000F010E" w:rsidRPr="009866D0" w:rsidRDefault="000F010E" w:rsidP="00B6528B">
            <w:pPr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Mercancías (uno o más ítems) suministrados con eslinga (o eslingas) de diversos materiales (fibra natural/artificial, cable de acero, etc.) y diseños (en forma de lazo, anillo, trébol, etc.); incluye i) madera ‘embalada’, ii) recipientes flexibles de tamaño intermedio para el transporte a granel.</w:t>
            </w:r>
          </w:p>
        </w:tc>
        <w:tc>
          <w:tcPr>
            <w:tcW w:w="952" w:type="dxa"/>
          </w:tcPr>
          <w:p w14:paraId="3BC22887" w14:textId="77777777" w:rsidR="000F010E" w:rsidRPr="009866D0" w:rsidRDefault="000F010E" w:rsidP="000F010E">
            <w:pPr>
              <w:numPr>
                <w:ilvl w:val="0"/>
                <w:numId w:val="24"/>
              </w:numPr>
              <w:tabs>
                <w:tab w:val="left" w:pos="253"/>
              </w:tabs>
              <w:ind w:left="0" w:firstLine="0"/>
              <w:jc w:val="center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824" w:type="dxa"/>
          </w:tcPr>
          <w:p w14:paraId="22999B63" w14:textId="77777777" w:rsidR="000F010E" w:rsidRPr="009866D0" w:rsidRDefault="000F010E" w:rsidP="00B6528B">
            <w:pPr>
              <w:spacing w:before="100"/>
              <w:jc w:val="center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0F010E" w:rsidRPr="007E2B1C" w14:paraId="0BF1B975" w14:textId="77777777" w:rsidTr="00B6528B">
        <w:trPr>
          <w:cantSplit/>
        </w:trPr>
        <w:tc>
          <w:tcPr>
            <w:tcW w:w="535" w:type="dxa"/>
          </w:tcPr>
          <w:p w14:paraId="42614E82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4</w:t>
            </w:r>
          </w:p>
        </w:tc>
        <w:tc>
          <w:tcPr>
            <w:tcW w:w="1931" w:type="dxa"/>
          </w:tcPr>
          <w:p w14:paraId="2A0D9809" w14:textId="77777777" w:rsidR="000F010E" w:rsidRPr="009866D0" w:rsidRDefault="000F010E" w:rsidP="00B6528B">
            <w:pPr>
              <w:spacing w:before="100"/>
              <w:ind w:right="-57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Carga rodante</w:t>
            </w:r>
          </w:p>
        </w:tc>
        <w:tc>
          <w:tcPr>
            <w:tcW w:w="5509" w:type="dxa"/>
          </w:tcPr>
          <w:p w14:paraId="668E5DB2" w14:textId="77777777" w:rsidR="000F010E" w:rsidRPr="009866D0" w:rsidRDefault="000F010E" w:rsidP="00B6528B">
            <w:pPr>
              <w:pStyle w:val="Piedepgina"/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Son cargas sobredimensionadas, estas pueden ser largas y con ruedas, como automóviles, camiones, maquinaria de construcción y artículos voluminosos.</w:t>
            </w:r>
          </w:p>
          <w:p w14:paraId="7EAD59FD" w14:textId="64561CE1" w:rsidR="000F010E" w:rsidRPr="009866D0" w:rsidRDefault="000F010E" w:rsidP="00B6528B">
            <w:pPr>
              <w:pStyle w:val="Piedepgina"/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Vehículos rodantes de carretera (camiones, autobuses, automóviles) y remolques, </w:t>
            </w:r>
            <w:r w:rsidR="00755CD6" w:rsidRPr="009866D0">
              <w:rPr>
                <w:rFonts w:ascii="Arial" w:hAnsi="Arial" w:cs="Arial"/>
                <w:sz w:val="19"/>
                <w:szCs w:val="19"/>
                <w:lang w:val="es-ES_tradnl"/>
              </w:rPr>
              <w:t>semirremolques</w:t>
            </w: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, caravanas ocupadas, acompañantes en el transporte de mercancías o pasajeros, ii) vehículos motorizados de carretera, agrícolas, industriales, etc. movilizándose por el comercio, iii) animales vivos ‘a pie’, iv) pasajeros a pie.</w:t>
            </w:r>
          </w:p>
          <w:p w14:paraId="5B62476E" w14:textId="4F2D2C48" w:rsidR="000F010E" w:rsidRPr="009866D0" w:rsidRDefault="000F010E" w:rsidP="00B6528B">
            <w:pPr>
              <w:pStyle w:val="Piedepgina"/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Vehículos sin auto propulsión y equipamiento en ruedas; incluye i) remolques solos, </w:t>
            </w:r>
            <w:r w:rsidR="00755CD6" w:rsidRPr="009866D0">
              <w:rPr>
                <w:rFonts w:ascii="Arial" w:hAnsi="Arial" w:cs="Arial"/>
                <w:sz w:val="19"/>
                <w:szCs w:val="19"/>
                <w:lang w:val="es-ES_tradnl"/>
              </w:rPr>
              <w:t>semirremolques</w:t>
            </w: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 xml:space="preserve">, vagones de tren, barcazas ocupadas en el transporte de bienes, </w:t>
            </w: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br/>
              <w:t>ii) caravanas y otros vehículos carreteros, agrícolas, industriales, etc., iii) barcazas de remolques puerto-a-puerto</w:t>
            </w:r>
          </w:p>
        </w:tc>
        <w:tc>
          <w:tcPr>
            <w:tcW w:w="952" w:type="dxa"/>
          </w:tcPr>
          <w:p w14:paraId="645B1F00" w14:textId="77777777" w:rsidR="000F010E" w:rsidRPr="009866D0" w:rsidRDefault="000F010E" w:rsidP="000F010E">
            <w:pPr>
              <w:numPr>
                <w:ilvl w:val="0"/>
                <w:numId w:val="24"/>
              </w:numPr>
              <w:tabs>
                <w:tab w:val="left" w:pos="253"/>
              </w:tabs>
              <w:ind w:left="0" w:firstLine="0"/>
              <w:jc w:val="center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824" w:type="dxa"/>
          </w:tcPr>
          <w:p w14:paraId="16C12D40" w14:textId="77777777" w:rsidR="000F010E" w:rsidRPr="009866D0" w:rsidRDefault="000F010E" w:rsidP="000F010E">
            <w:pPr>
              <w:numPr>
                <w:ilvl w:val="0"/>
                <w:numId w:val="24"/>
              </w:numPr>
              <w:tabs>
                <w:tab w:val="left" w:pos="253"/>
              </w:tabs>
              <w:ind w:left="0" w:firstLine="0"/>
              <w:jc w:val="center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</w:p>
        </w:tc>
      </w:tr>
      <w:tr w:rsidR="000F010E" w:rsidRPr="007E2B1C" w14:paraId="6096D233" w14:textId="77777777" w:rsidTr="00B6528B">
        <w:trPr>
          <w:cantSplit/>
        </w:trPr>
        <w:tc>
          <w:tcPr>
            <w:tcW w:w="535" w:type="dxa"/>
            <w:shd w:val="clear" w:color="auto" w:fill="D9D9D9"/>
          </w:tcPr>
          <w:p w14:paraId="536482BD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5</w:t>
            </w:r>
          </w:p>
        </w:tc>
        <w:tc>
          <w:tcPr>
            <w:tcW w:w="1931" w:type="dxa"/>
            <w:shd w:val="clear" w:color="auto" w:fill="D9D9D9"/>
          </w:tcPr>
          <w:p w14:paraId="51F86034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Lastre</w:t>
            </w:r>
          </w:p>
        </w:tc>
        <w:tc>
          <w:tcPr>
            <w:tcW w:w="5509" w:type="dxa"/>
            <w:shd w:val="clear" w:color="auto" w:fill="D9D9D9"/>
          </w:tcPr>
          <w:p w14:paraId="408F9909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Sin carga</w:t>
            </w:r>
          </w:p>
        </w:tc>
        <w:tc>
          <w:tcPr>
            <w:tcW w:w="952" w:type="dxa"/>
            <w:shd w:val="clear" w:color="auto" w:fill="D9D9D9"/>
          </w:tcPr>
          <w:p w14:paraId="5FEEC88E" w14:textId="77777777" w:rsidR="000F010E" w:rsidRPr="009866D0" w:rsidRDefault="000F010E" w:rsidP="00B6528B">
            <w:pPr>
              <w:tabs>
                <w:tab w:val="left" w:pos="253"/>
              </w:tabs>
              <w:jc w:val="center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824" w:type="dxa"/>
            <w:shd w:val="clear" w:color="auto" w:fill="D9D9D9"/>
          </w:tcPr>
          <w:p w14:paraId="6690EB11" w14:textId="77777777" w:rsidR="000F010E" w:rsidRPr="009866D0" w:rsidRDefault="000F010E" w:rsidP="00B6528B">
            <w:pPr>
              <w:spacing w:before="100"/>
              <w:jc w:val="center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  <w:tr w:rsidR="000F010E" w:rsidRPr="007E2B1C" w14:paraId="43F7A0D2" w14:textId="77777777" w:rsidTr="00B6528B">
        <w:trPr>
          <w:cantSplit/>
        </w:trPr>
        <w:tc>
          <w:tcPr>
            <w:tcW w:w="535" w:type="dxa"/>
            <w:shd w:val="clear" w:color="auto" w:fill="D9D9D9"/>
          </w:tcPr>
          <w:p w14:paraId="150AE55E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lastRenderedPageBreak/>
              <w:t>6</w:t>
            </w:r>
          </w:p>
        </w:tc>
        <w:tc>
          <w:tcPr>
            <w:tcW w:w="1931" w:type="dxa"/>
            <w:shd w:val="clear" w:color="auto" w:fill="D9D9D9"/>
          </w:tcPr>
          <w:p w14:paraId="5E0DFDC5" w14:textId="77777777" w:rsidR="000F010E" w:rsidRPr="009866D0" w:rsidRDefault="000F010E" w:rsidP="00B6528B">
            <w:pPr>
              <w:spacing w:before="100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Otros tipos de cargamento</w:t>
            </w:r>
          </w:p>
        </w:tc>
        <w:tc>
          <w:tcPr>
            <w:tcW w:w="5509" w:type="dxa"/>
            <w:shd w:val="clear" w:color="auto" w:fill="D9D9D9"/>
          </w:tcPr>
          <w:p w14:paraId="59CD585D" w14:textId="77777777" w:rsidR="000F010E" w:rsidRPr="009866D0" w:rsidRDefault="000F010E" w:rsidP="00B6528B">
            <w:pPr>
              <w:spacing w:before="1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9866D0">
              <w:rPr>
                <w:rFonts w:ascii="Arial" w:hAnsi="Arial" w:cs="Arial"/>
                <w:sz w:val="19"/>
                <w:szCs w:val="19"/>
                <w:lang w:val="es-ES_tradnl"/>
              </w:rPr>
              <w:t>Todos los cargamentos no enumerados previamente (por ejemplo, los demás tipos de carga transportada: carga ‘heterogénea’ o ‘general’, como cajas, cilindros, bolsas, etc., y los artículos sueltos sin embalar, como tubos, barras, etc.).</w:t>
            </w:r>
          </w:p>
        </w:tc>
        <w:tc>
          <w:tcPr>
            <w:tcW w:w="952" w:type="dxa"/>
            <w:shd w:val="clear" w:color="auto" w:fill="D9D9D9"/>
          </w:tcPr>
          <w:p w14:paraId="35C3D3E8" w14:textId="77777777" w:rsidR="000F010E" w:rsidRPr="009866D0" w:rsidRDefault="000F010E" w:rsidP="000F010E">
            <w:pPr>
              <w:numPr>
                <w:ilvl w:val="0"/>
                <w:numId w:val="24"/>
              </w:numPr>
              <w:tabs>
                <w:tab w:val="left" w:pos="253"/>
              </w:tabs>
              <w:ind w:left="0" w:firstLine="0"/>
              <w:jc w:val="center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</w:p>
        </w:tc>
        <w:tc>
          <w:tcPr>
            <w:tcW w:w="824" w:type="dxa"/>
            <w:shd w:val="clear" w:color="auto" w:fill="D9D9D9"/>
          </w:tcPr>
          <w:p w14:paraId="34A5493E" w14:textId="77777777" w:rsidR="000F010E" w:rsidRPr="009866D0" w:rsidRDefault="000F010E" w:rsidP="00B6528B">
            <w:pPr>
              <w:spacing w:before="100"/>
              <w:jc w:val="center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</w:tc>
      </w:tr>
    </w:tbl>
    <w:p w14:paraId="0DE17534" w14:textId="77777777" w:rsidR="000F010E" w:rsidRPr="002D0448" w:rsidRDefault="000F010E" w:rsidP="000F010E">
      <w:pPr>
        <w:tabs>
          <w:tab w:val="left" w:pos="360"/>
        </w:tabs>
        <w:spacing w:before="120"/>
        <w:ind w:left="360" w:hanging="360"/>
        <w:rPr>
          <w:rFonts w:ascii="Arial" w:hAnsi="Arial" w:cs="Arial"/>
          <w:sz w:val="18"/>
          <w:szCs w:val="18"/>
          <w:lang w:val="es-ES_tradnl"/>
        </w:rPr>
      </w:pPr>
      <w:r w:rsidRPr="002D0448">
        <w:rPr>
          <w:rFonts w:ascii="Arial" w:hAnsi="Arial" w:cs="Arial"/>
          <w:sz w:val="18"/>
          <w:szCs w:val="18"/>
          <w:vertAlign w:val="superscript"/>
          <w:lang w:val="es-ES_tradnl"/>
        </w:rPr>
        <w:t>1</w:t>
      </w:r>
      <w:r w:rsidRPr="002D0448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2D0448">
        <w:rPr>
          <w:rFonts w:ascii="Arial" w:hAnsi="Arial" w:cs="Arial"/>
          <w:sz w:val="18"/>
          <w:szCs w:val="18"/>
          <w:lang w:val="es-ES_tradnl"/>
        </w:rPr>
        <w:tab/>
        <w:t>Categorías de la Recomendación 21 para la Facilitación del Comercio de UN/ECE.</w:t>
      </w:r>
    </w:p>
    <w:p w14:paraId="1D5A085C" w14:textId="77777777" w:rsidR="000F010E" w:rsidRPr="002D0448" w:rsidRDefault="000F010E" w:rsidP="000F010E">
      <w:pPr>
        <w:tabs>
          <w:tab w:val="left" w:pos="360"/>
        </w:tabs>
        <w:ind w:left="357" w:hanging="357"/>
        <w:rPr>
          <w:rFonts w:ascii="Arial" w:hAnsi="Arial" w:cs="Arial"/>
          <w:sz w:val="18"/>
          <w:szCs w:val="18"/>
          <w:lang w:val="es-ES_tradnl"/>
        </w:rPr>
      </w:pPr>
      <w:r w:rsidRPr="002D0448">
        <w:rPr>
          <w:rFonts w:ascii="Arial" w:hAnsi="Arial" w:cs="Arial"/>
          <w:sz w:val="18"/>
          <w:szCs w:val="18"/>
          <w:vertAlign w:val="superscript"/>
          <w:lang w:val="es-ES_tradnl"/>
        </w:rPr>
        <w:t>2</w:t>
      </w:r>
      <w:r w:rsidRPr="002D0448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2D0448">
        <w:rPr>
          <w:rFonts w:ascii="Arial" w:hAnsi="Arial" w:cs="Arial"/>
          <w:sz w:val="18"/>
          <w:szCs w:val="18"/>
          <w:lang w:val="es-ES_tradnl"/>
        </w:rPr>
        <w:tab/>
        <w:t>La cantidad registrada es el peso de las mercancías con inclusión del embalaje y exclusión de la tara de los contenedores y de las unidades ro-ro.</w:t>
      </w:r>
    </w:p>
    <w:p w14:paraId="21FF7B4E" w14:textId="77777777" w:rsidR="000F010E" w:rsidRPr="002D0448" w:rsidRDefault="000F010E" w:rsidP="000F010E">
      <w:pPr>
        <w:rPr>
          <w:rFonts w:ascii="Arial" w:hAnsi="Arial" w:cs="Arial"/>
          <w:sz w:val="18"/>
          <w:szCs w:val="18"/>
        </w:rPr>
      </w:pPr>
      <w:r w:rsidRPr="002D0448">
        <w:rPr>
          <w:rFonts w:ascii="Arial" w:hAnsi="Arial" w:cs="Arial"/>
          <w:sz w:val="18"/>
          <w:szCs w:val="18"/>
          <w:lang w:val="es-ES_tradnl"/>
        </w:rPr>
        <w:t xml:space="preserve">Nota: En el caso de presentarse un contenedor en el rango de </w:t>
      </w:r>
      <w:smartTag w:uri="urn:schemas-microsoft-com:office:smarttags" w:element="metricconverter">
        <w:smartTagPr>
          <w:attr w:name="ProductID" w:val="20 a"/>
        </w:smartTagPr>
        <w:r w:rsidRPr="002D0448">
          <w:rPr>
            <w:rFonts w:ascii="Arial" w:hAnsi="Arial" w:cs="Arial"/>
            <w:sz w:val="18"/>
            <w:szCs w:val="18"/>
            <w:lang w:val="es-ES_tradnl"/>
          </w:rPr>
          <w:t>20 a</w:t>
        </w:r>
      </w:smartTag>
      <w:r w:rsidRPr="002D0448">
        <w:rPr>
          <w:rFonts w:ascii="Arial" w:hAnsi="Arial" w:cs="Arial"/>
          <w:sz w:val="18"/>
          <w:szCs w:val="18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40 pies"/>
        </w:smartTagPr>
        <w:r w:rsidRPr="002D0448">
          <w:rPr>
            <w:rFonts w:ascii="Arial" w:hAnsi="Arial" w:cs="Arial"/>
            <w:sz w:val="18"/>
            <w:szCs w:val="18"/>
            <w:lang w:val="es-ES_tradnl"/>
          </w:rPr>
          <w:t>40 pies</w:t>
        </w:r>
      </w:smartTag>
      <w:r w:rsidRPr="002D0448">
        <w:rPr>
          <w:rFonts w:ascii="Arial" w:hAnsi="Arial" w:cs="Arial"/>
          <w:sz w:val="18"/>
          <w:szCs w:val="18"/>
          <w:lang w:val="es-ES_tradnl"/>
        </w:rPr>
        <w:t>, se registrará con el código 2.</w:t>
      </w:r>
    </w:p>
    <w:p w14:paraId="612A168E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26B040C5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52B190B8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0109C3CE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6EA96AF5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747930E3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  <w:sectPr w:rsidR="000F010E" w:rsidRPr="007E2B1C" w:rsidSect="00165A6C">
          <w:footerReference w:type="default" r:id="rId20"/>
          <w:pgSz w:w="11907" w:h="16840" w:code="9"/>
          <w:pgMar w:top="1247" w:right="1247" w:bottom="1021" w:left="1247" w:header="851" w:footer="567" w:gutter="0"/>
          <w:cols w:space="708"/>
          <w:docGrid w:linePitch="360"/>
        </w:sectPr>
      </w:pPr>
    </w:p>
    <w:p w14:paraId="685571D1" w14:textId="77777777" w:rsidR="000F010E" w:rsidRPr="007E2B1C" w:rsidRDefault="000F010E" w:rsidP="000F010E">
      <w:pPr>
        <w:numPr>
          <w:ilvl w:val="0"/>
          <w:numId w:val="23"/>
        </w:numPr>
        <w:tabs>
          <w:tab w:val="clear" w:pos="1080"/>
          <w:tab w:val="num" w:pos="426"/>
        </w:tabs>
        <w:ind w:hanging="1080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Tabulados de transmisión de los datos</w:t>
      </w:r>
    </w:p>
    <w:p w14:paraId="30FC5AC9" w14:textId="77777777" w:rsidR="000F010E" w:rsidRPr="007E2B1C" w:rsidRDefault="000F010E" w:rsidP="000F010E">
      <w:pPr>
        <w:rPr>
          <w:rFonts w:ascii="Arial" w:hAnsi="Arial" w:cs="Arial"/>
          <w:sz w:val="24"/>
          <w:szCs w:val="24"/>
          <w:lang w:val="es-ES_tradnl"/>
        </w:rPr>
      </w:pPr>
    </w:p>
    <w:p w14:paraId="5C338E29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Cuadro 1</w:t>
      </w:r>
    </w:p>
    <w:p w14:paraId="40E19D20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PAÍS: MOVIMIENTO DE CARGA, SEGÚN PUERTO Y TIPO DE CARGA, AÑO</w:t>
      </w:r>
    </w:p>
    <w:p w14:paraId="2A55B37C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34D3743D" w14:textId="685CA83D" w:rsidR="000F010E" w:rsidRPr="007E2B1C" w:rsidRDefault="000F010E" w:rsidP="000F010E">
      <w:pPr>
        <w:ind w:left="-142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5ECE717A" wp14:editId="6E4857C9">
            <wp:extent cx="5977255" cy="3308350"/>
            <wp:effectExtent l="0" t="0" r="4445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F19FC" w14:textId="77777777" w:rsidR="000F010E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  <w:sectPr w:rsidR="000F010E" w:rsidSect="00165A6C">
          <w:headerReference w:type="default" r:id="rId22"/>
          <w:footerReference w:type="default" r:id="rId23"/>
          <w:headerReference w:type="first" r:id="rId24"/>
          <w:footerReference w:type="first" r:id="rId25"/>
          <w:pgSz w:w="16840" w:h="11907" w:orient="landscape" w:code="9"/>
          <w:pgMar w:top="1247" w:right="1247" w:bottom="1247" w:left="1021" w:header="851" w:footer="567" w:gutter="0"/>
          <w:pgNumType w:start="20"/>
          <w:cols w:space="720"/>
          <w:titlePg/>
          <w:docGrid w:linePitch="272"/>
        </w:sectPr>
      </w:pPr>
    </w:p>
    <w:p w14:paraId="57349982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2</w:t>
      </w:r>
    </w:p>
    <w:p w14:paraId="17F1FC93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PAÍS: CARGA DE IMPORTACIÓN Y EXPORTACIÓN, SEGÚN PUERTO, AÑO</w:t>
      </w:r>
    </w:p>
    <w:p w14:paraId="39735FE8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1A330C38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3687804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9D109B8" w14:textId="053F292F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30E442DE" wp14:editId="7CC3F948">
            <wp:extent cx="5977255" cy="3636010"/>
            <wp:effectExtent l="0" t="0" r="4445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EB0A2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br w:type="page"/>
      </w:r>
    </w:p>
    <w:p w14:paraId="787B1A0E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3a</w:t>
      </w:r>
    </w:p>
    <w:p w14:paraId="25A377CF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PAÍS: CARGA DE IMPORTACIÓN POR PAÍS DE ORIGEN, SEGÚN PUERTO, AÑO</w:t>
      </w:r>
    </w:p>
    <w:p w14:paraId="0B380942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7FC7E045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</w:p>
    <w:p w14:paraId="31F3B938" w14:textId="1062E49C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3FE6078E" wp14:editId="7B2332DB">
            <wp:extent cx="5977255" cy="3243580"/>
            <wp:effectExtent l="0" t="0" r="444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6073" w14:textId="77777777" w:rsidR="000F010E" w:rsidRDefault="000F010E" w:rsidP="000F010E">
      <w:pPr>
        <w:rPr>
          <w:rFonts w:ascii="Arial" w:hAnsi="Arial" w:cs="Arial"/>
          <w:sz w:val="24"/>
          <w:szCs w:val="24"/>
        </w:rPr>
      </w:pPr>
    </w:p>
    <w:p w14:paraId="45220414" w14:textId="77777777" w:rsidR="000F010E" w:rsidRPr="009866D0" w:rsidRDefault="000F010E" w:rsidP="000F010E">
      <w:pPr>
        <w:rPr>
          <w:rFonts w:ascii="Arial" w:hAnsi="Arial" w:cs="Arial"/>
          <w:sz w:val="24"/>
          <w:szCs w:val="24"/>
        </w:rPr>
        <w:sectPr w:rsidR="000F010E" w:rsidRPr="009866D0" w:rsidSect="00165A6C">
          <w:headerReference w:type="default" r:id="rId28"/>
          <w:footerReference w:type="default" r:id="rId29"/>
          <w:headerReference w:type="first" r:id="rId30"/>
          <w:footerReference w:type="first" r:id="rId31"/>
          <w:pgSz w:w="16840" w:h="11907" w:orient="landscape" w:code="9"/>
          <w:pgMar w:top="1247" w:right="1247" w:bottom="1247" w:left="1021" w:header="851" w:footer="567" w:gutter="0"/>
          <w:pgNumType w:start="20"/>
          <w:cols w:space="720"/>
          <w:titlePg/>
          <w:docGrid w:linePitch="272"/>
        </w:sectPr>
      </w:pPr>
    </w:p>
    <w:p w14:paraId="4503471C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</w:p>
    <w:p w14:paraId="29CBE0D4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D7CEED3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Cuadro 3b</w:t>
      </w:r>
    </w:p>
    <w:p w14:paraId="0CE2C4E9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PAÍS: CARGA DE EXPORTACIÓN POR PAÍS DE DESTINO, SEGÚN PUERTO, AÑO</w:t>
      </w:r>
    </w:p>
    <w:p w14:paraId="72A8D138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516F427C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45673AD" w14:textId="232A956B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76BCA24E" wp14:editId="4E6F6961">
            <wp:extent cx="5977255" cy="3013075"/>
            <wp:effectExtent l="0" t="0" r="444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08B83" w14:textId="77777777" w:rsidR="000F010E" w:rsidRDefault="000F010E" w:rsidP="000F010E">
      <w:pPr>
        <w:jc w:val="center"/>
        <w:rPr>
          <w:rFonts w:ascii="Arial" w:hAnsi="Arial" w:cs="Arial"/>
          <w:sz w:val="24"/>
          <w:szCs w:val="24"/>
        </w:rPr>
        <w:sectPr w:rsidR="000F010E" w:rsidSect="00165A6C">
          <w:headerReference w:type="default" r:id="rId33"/>
          <w:headerReference w:type="first" r:id="rId34"/>
          <w:footerReference w:type="first" r:id="rId35"/>
          <w:pgSz w:w="16840" w:h="11907" w:orient="landscape" w:code="9"/>
          <w:pgMar w:top="1247" w:right="1247" w:bottom="1247" w:left="1021" w:header="851" w:footer="567" w:gutter="0"/>
          <w:pgNumType w:start="20"/>
          <w:cols w:space="720"/>
          <w:titlePg/>
          <w:docGrid w:linePitch="272"/>
        </w:sectPr>
      </w:pPr>
    </w:p>
    <w:p w14:paraId="71150E5B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</w:p>
    <w:p w14:paraId="4FD4BD4E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Cuadro 4a</w:t>
      </w:r>
    </w:p>
    <w:p w14:paraId="2F6F4A1B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PAÍS: PRINCIPALES PRODUCTOS DE IMPORTACIÓN, SEGÚN PUERTO, AÑO</w:t>
      </w:r>
    </w:p>
    <w:p w14:paraId="5B7AAF72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0CA986C1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EA34186" w14:textId="3EE3035E" w:rsidR="000F010E" w:rsidRDefault="000F010E" w:rsidP="000F010E">
      <w:pPr>
        <w:jc w:val="center"/>
        <w:rPr>
          <w:rFonts w:ascii="Arial" w:hAnsi="Arial" w:cs="Arial"/>
          <w:sz w:val="24"/>
          <w:szCs w:val="24"/>
        </w:rPr>
        <w:sectPr w:rsidR="000F010E" w:rsidSect="00165A6C">
          <w:headerReference w:type="default" r:id="rId36"/>
          <w:headerReference w:type="first" r:id="rId37"/>
          <w:footerReference w:type="first" r:id="rId38"/>
          <w:pgSz w:w="16840" w:h="11907" w:orient="landscape" w:code="9"/>
          <w:pgMar w:top="1247" w:right="1247" w:bottom="1247" w:left="1021" w:header="851" w:footer="567" w:gutter="0"/>
          <w:pgNumType w:start="20"/>
          <w:cols w:space="720"/>
          <w:titlePg/>
          <w:docGrid w:linePitch="272"/>
        </w:sect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3DAB94BB" wp14:editId="579D0C05">
            <wp:extent cx="5977255" cy="3661410"/>
            <wp:effectExtent l="0" t="0" r="444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5A059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4b</w:t>
      </w:r>
    </w:p>
    <w:p w14:paraId="30B55B09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PAÍS: PRINCIPALES PRODUCTOS DE EXPORTACIÓN, SEGÚN PUERTO, AÑO</w:t>
      </w:r>
    </w:p>
    <w:p w14:paraId="387246E8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1316F592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</w:p>
    <w:p w14:paraId="72D799DC" w14:textId="7859A01D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7A75904A" wp14:editId="4032CFC5">
            <wp:extent cx="5977255" cy="3773170"/>
            <wp:effectExtent l="0" t="0" r="444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7320" w14:textId="77777777" w:rsidR="000F010E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  <w:sectPr w:rsidR="000F010E" w:rsidSect="00165A6C">
          <w:headerReference w:type="first" r:id="rId41"/>
          <w:footerReference w:type="first" r:id="rId42"/>
          <w:pgSz w:w="16840" w:h="11907" w:orient="landscape" w:code="9"/>
          <w:pgMar w:top="1247" w:right="1247" w:bottom="1247" w:left="1021" w:header="851" w:footer="567" w:gutter="0"/>
          <w:pgNumType w:start="20"/>
          <w:cols w:space="720"/>
          <w:titlePg/>
          <w:docGrid w:linePitch="272"/>
        </w:sectPr>
      </w:pPr>
    </w:p>
    <w:p w14:paraId="47EB632C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lastRenderedPageBreak/>
        <w:t>Cuadro 5</w:t>
      </w:r>
    </w:p>
    <w:p w14:paraId="2C4872F1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PAÍS: MOVIMIENTO DE CONTENEDORES, SEGÚN PUERTO, AÑO</w:t>
      </w:r>
    </w:p>
    <w:p w14:paraId="726E46DD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(Toneladas métricas)</w:t>
      </w:r>
    </w:p>
    <w:p w14:paraId="0BA178C9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</w:p>
    <w:p w14:paraId="4CA36B18" w14:textId="6B33D7DD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0B2D563B" wp14:editId="4CEAEA85">
            <wp:extent cx="5977255" cy="2719705"/>
            <wp:effectExtent l="0" t="0" r="4445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05AC6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</w:p>
    <w:p w14:paraId="09B73CB8" w14:textId="77777777" w:rsidR="000F010E" w:rsidRDefault="000F010E" w:rsidP="000F010E">
      <w:pPr>
        <w:jc w:val="center"/>
        <w:rPr>
          <w:rFonts w:ascii="Arial" w:hAnsi="Arial" w:cs="Arial"/>
          <w:sz w:val="24"/>
          <w:szCs w:val="24"/>
        </w:rPr>
        <w:sectPr w:rsidR="000F010E" w:rsidSect="00165A6C">
          <w:headerReference w:type="default" r:id="rId44"/>
          <w:headerReference w:type="first" r:id="rId45"/>
          <w:footerReference w:type="first" r:id="rId46"/>
          <w:pgSz w:w="16840" w:h="11907" w:orient="landscape" w:code="9"/>
          <w:pgMar w:top="1247" w:right="1247" w:bottom="1247" w:left="1021" w:header="851" w:footer="567" w:gutter="0"/>
          <w:pgNumType w:start="20"/>
          <w:cols w:space="720"/>
          <w:titlePg/>
          <w:docGrid w:linePitch="272"/>
        </w:sectPr>
      </w:pPr>
    </w:p>
    <w:p w14:paraId="55A109B4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  <w:bookmarkStart w:id="11" w:name="_GoBack"/>
      <w:bookmarkEnd w:id="11"/>
    </w:p>
    <w:p w14:paraId="1DFE1456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Cuadro 6</w:t>
      </w:r>
    </w:p>
    <w:p w14:paraId="375EE7D5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PAÍS: ARRIBO BUQUES CRUCEROS Y PASAJEROS, SEGÚN PUERTO, AÑO</w:t>
      </w:r>
    </w:p>
    <w:p w14:paraId="4EF09FE2" w14:textId="77777777" w:rsidR="000F010E" w:rsidRPr="007E2B1C" w:rsidRDefault="000F010E" w:rsidP="000F010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E2B1C">
        <w:rPr>
          <w:rFonts w:ascii="Arial" w:hAnsi="Arial" w:cs="Arial"/>
          <w:b/>
          <w:sz w:val="24"/>
          <w:szCs w:val="24"/>
          <w:lang w:val="es-ES_tradnl"/>
        </w:rPr>
        <w:t>(N° arribos y pasajeros)</w:t>
      </w:r>
    </w:p>
    <w:p w14:paraId="00328236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</w:p>
    <w:p w14:paraId="2CBA14AE" w14:textId="4E51A78D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noProof/>
          <w:sz w:val="24"/>
          <w:szCs w:val="24"/>
          <w:lang w:val="es-PE" w:eastAsia="es-PE"/>
        </w:rPr>
        <w:drawing>
          <wp:inline distT="0" distB="0" distL="0" distR="0" wp14:anchorId="6551C5E9" wp14:editId="27BE65BC">
            <wp:extent cx="5977255" cy="2306320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8207D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</w:p>
    <w:p w14:paraId="01DEA21C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</w:rPr>
      </w:pPr>
      <w:r w:rsidRPr="007E2B1C">
        <w:rPr>
          <w:rFonts w:ascii="Arial" w:hAnsi="Arial" w:cs="Arial"/>
          <w:sz w:val="24"/>
          <w:szCs w:val="24"/>
        </w:rPr>
        <w:t>****</w:t>
      </w:r>
    </w:p>
    <w:p w14:paraId="54FDAF50" w14:textId="77777777" w:rsidR="000F010E" w:rsidRPr="007E2B1C" w:rsidRDefault="000F010E" w:rsidP="000F010E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233B712D" w14:textId="77777777" w:rsidR="000F010E" w:rsidRPr="007E2B1C" w:rsidRDefault="000F010E" w:rsidP="000F010E">
      <w:pPr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_tradnl"/>
        </w:rPr>
      </w:pPr>
    </w:p>
    <w:p w14:paraId="3A717F0D" w14:textId="77777777" w:rsidR="000F010E" w:rsidRPr="007E2B1C" w:rsidRDefault="000F010E" w:rsidP="000F010E">
      <w:pPr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_tradnl"/>
        </w:rPr>
      </w:pPr>
    </w:p>
    <w:p w14:paraId="07CCC91F" w14:textId="77777777" w:rsidR="00F84B64" w:rsidRPr="00F84B64" w:rsidRDefault="00F84B64" w:rsidP="004C1339">
      <w:pPr>
        <w:jc w:val="center"/>
        <w:rPr>
          <w:rFonts w:ascii="Arial" w:hAnsi="Arial" w:cs="Arial"/>
          <w:color w:val="auto"/>
          <w:sz w:val="22"/>
          <w:szCs w:val="22"/>
        </w:rPr>
      </w:pPr>
    </w:p>
    <w:sectPr w:rsidR="00F84B64" w:rsidRPr="00F84B64" w:rsidSect="00165A6C">
      <w:headerReference w:type="first" r:id="rId48"/>
      <w:pgSz w:w="11904" w:h="16834" w:code="9"/>
      <w:pgMar w:top="1418" w:right="1418" w:bottom="1134" w:left="1701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91074" w14:textId="77777777" w:rsidR="006D2F55" w:rsidRDefault="006D2F55">
      <w:r>
        <w:separator/>
      </w:r>
    </w:p>
  </w:endnote>
  <w:endnote w:type="continuationSeparator" w:id="0">
    <w:p w14:paraId="5B8F84BA" w14:textId="77777777" w:rsidR="006D2F55" w:rsidRDefault="006D2F55">
      <w:r>
        <w:continuationSeparator/>
      </w:r>
    </w:p>
  </w:endnote>
  <w:endnote w:type="continuationNotice" w:id="1">
    <w:p w14:paraId="5D432FFB" w14:textId="77777777" w:rsidR="006D2F55" w:rsidRDefault="006D2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panose1 w:val="020B0609020202020204"/>
    <w:charset w:val="02"/>
    <w:family w:val="modern"/>
    <w:pitch w:val="fixed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4412" w14:textId="77777777" w:rsidR="000F010E" w:rsidRDefault="000F01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2E1B10" w14:textId="77777777" w:rsidR="000F010E" w:rsidRDefault="000F010E">
    <w:pPr>
      <w:pStyle w:val="Piedepgin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737B8" w14:textId="77777777" w:rsidR="000F010E" w:rsidRDefault="000F01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AEF22" w14:textId="77777777" w:rsidR="000F010E" w:rsidRDefault="000F01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9749" w14:textId="77777777" w:rsidR="000F010E" w:rsidRDefault="000F010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64EF9" w14:textId="77777777" w:rsidR="000F010E" w:rsidRDefault="000F010E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C563" w14:textId="77777777" w:rsidR="000F010E" w:rsidRDefault="000F010E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E461" w14:textId="77777777" w:rsidR="000F010E" w:rsidRDefault="000F010E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563E" w14:textId="77777777" w:rsidR="000F010E" w:rsidRDefault="000F010E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37E7A" w14:textId="77777777" w:rsidR="000F010E" w:rsidRDefault="000F010E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D165" w14:textId="77777777" w:rsidR="000F010E" w:rsidRDefault="000F01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230FB" w14:textId="77777777" w:rsidR="006D2F55" w:rsidRDefault="006D2F55">
      <w:r>
        <w:separator/>
      </w:r>
    </w:p>
  </w:footnote>
  <w:footnote w:type="continuationSeparator" w:id="0">
    <w:p w14:paraId="2CC8E935" w14:textId="77777777" w:rsidR="006D2F55" w:rsidRDefault="006D2F55">
      <w:r>
        <w:continuationSeparator/>
      </w:r>
    </w:p>
  </w:footnote>
  <w:footnote w:type="continuationNotice" w:id="1">
    <w:p w14:paraId="59370069" w14:textId="77777777" w:rsidR="006D2F55" w:rsidRDefault="006D2F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D5F0" w14:textId="1A25F073" w:rsidR="000F010E" w:rsidRPr="007E2B1C" w:rsidRDefault="000F010E">
    <w:pPr>
      <w:pStyle w:val="Encabezado"/>
      <w:jc w:val="center"/>
      <w:rPr>
        <w:rFonts w:ascii="Arial" w:hAnsi="Arial" w:cs="Arial"/>
      </w:rPr>
    </w:pPr>
    <w:r w:rsidRPr="007E2B1C">
      <w:rPr>
        <w:rFonts w:ascii="Arial" w:hAnsi="Arial" w:cs="Arial"/>
      </w:rPr>
      <w:fldChar w:fldCharType="begin"/>
    </w:r>
    <w:r w:rsidRPr="007E2B1C">
      <w:rPr>
        <w:rFonts w:ascii="Arial" w:hAnsi="Arial" w:cs="Arial"/>
      </w:rPr>
      <w:instrText>PAGE   \* MERGEFORMAT</w:instrText>
    </w:r>
    <w:r w:rsidRPr="007E2B1C">
      <w:rPr>
        <w:rFonts w:ascii="Arial" w:hAnsi="Arial" w:cs="Arial"/>
      </w:rPr>
      <w:fldChar w:fldCharType="separate"/>
    </w:r>
    <w:r w:rsidR="008548D1">
      <w:rPr>
        <w:rFonts w:ascii="Arial" w:hAnsi="Arial" w:cs="Arial"/>
        <w:noProof/>
      </w:rPr>
      <w:t>23</w:t>
    </w:r>
    <w:r w:rsidRPr="007E2B1C">
      <w:rPr>
        <w:rFonts w:ascii="Arial" w:hAnsi="Arial" w:cs="Arial"/>
      </w:rPr>
      <w:fldChar w:fldCharType="end"/>
    </w:r>
  </w:p>
  <w:p w14:paraId="0CD32538" w14:textId="77777777" w:rsidR="000F010E" w:rsidRPr="00D63143" w:rsidRDefault="000F010E">
    <w:pPr>
      <w:pStyle w:val="Encabezado"/>
      <w:jc w:val="center"/>
      <w:rPr>
        <w:sz w:val="22"/>
        <w:szCs w:val="2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C0020" w14:textId="51AF8816" w:rsidR="000F010E" w:rsidRDefault="000F010E" w:rsidP="00AB3FED">
    <w:pPr>
      <w:pStyle w:val="Encabezado"/>
      <w:framePr w:wrap="around" w:vAnchor="text" w:hAnchor="margin" w:xAlign="center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t>28</w:t>
    </w:r>
  </w:p>
  <w:p w14:paraId="35CDB5CD" w14:textId="77777777" w:rsidR="000F010E" w:rsidRDefault="000F010E" w:rsidP="00AB3FED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2AC4C" w14:textId="7DC82578" w:rsidR="000F010E" w:rsidRDefault="000F010E" w:rsidP="00AB3FED">
    <w:pPr>
      <w:pStyle w:val="Encabezado"/>
      <w:framePr w:wrap="around" w:vAnchor="text" w:hAnchor="margin" w:xAlign="center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t xml:space="preserve">29 </w:t>
    </w:r>
  </w:p>
  <w:p w14:paraId="073881C8" w14:textId="77777777" w:rsidR="000F010E" w:rsidRDefault="000F010E" w:rsidP="00AB3FED">
    <w:pPr>
      <w:pStyle w:val="Encabezad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72B6" w14:textId="77777777" w:rsidR="000F010E" w:rsidRPr="007E2B1C" w:rsidRDefault="000F010E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26</w:t>
    </w:r>
  </w:p>
  <w:p w14:paraId="0555AA54" w14:textId="77777777" w:rsidR="000F010E" w:rsidRPr="00D63143" w:rsidRDefault="000F010E">
    <w:pPr>
      <w:pStyle w:val="Encabezado"/>
      <w:jc w:val="center"/>
      <w:rPr>
        <w:sz w:val="22"/>
        <w:szCs w:val="2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4FDF" w14:textId="4C48973F" w:rsidR="000F010E" w:rsidRDefault="000F010E" w:rsidP="00AB3FED">
    <w:pPr>
      <w:pStyle w:val="Encabezado"/>
      <w:framePr w:wrap="around" w:vAnchor="text" w:hAnchor="margin" w:xAlign="center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t>30</w:t>
    </w:r>
  </w:p>
  <w:p w14:paraId="749D16DE" w14:textId="77777777" w:rsidR="000F010E" w:rsidRDefault="000F010E" w:rsidP="00AB3FED">
    <w:pPr>
      <w:pStyle w:val="Encabezad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91A0" w14:textId="300BBC91" w:rsidR="001C6C3D" w:rsidRDefault="001C6C3D" w:rsidP="00AB3FED">
    <w:pPr>
      <w:pStyle w:val="Encabezado"/>
      <w:framePr w:wrap="around" w:vAnchor="text" w:hAnchor="margin" w:xAlign="center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t xml:space="preserve"> </w:t>
    </w:r>
    <w:r w:rsidR="00DB06FC">
      <w:rPr>
        <w:rStyle w:val="Nmerodepgina"/>
        <w:rFonts w:ascii="Arial" w:hAnsi="Arial"/>
      </w:rPr>
      <w:t>31</w:t>
    </w:r>
  </w:p>
  <w:p w14:paraId="2D3B8E3A" w14:textId="77777777" w:rsidR="001C6C3D" w:rsidRDefault="001C6C3D" w:rsidP="00AB3F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4398" w14:textId="716E3EC4" w:rsidR="000562DA" w:rsidRPr="007E2B1C" w:rsidRDefault="000562DA" w:rsidP="000562DA">
    <w:pPr>
      <w:pStyle w:val="Encabezado"/>
      <w:jc w:val="center"/>
      <w:rPr>
        <w:rFonts w:ascii="Arial" w:hAnsi="Arial" w:cs="Arial"/>
      </w:rPr>
    </w:pPr>
  </w:p>
  <w:p w14:paraId="5F78AC36" w14:textId="77777777" w:rsidR="000562DA" w:rsidRDefault="000562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54CD" w14:textId="77777777" w:rsidR="000F010E" w:rsidRPr="007E2B1C" w:rsidRDefault="000F010E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26</w:t>
    </w:r>
  </w:p>
  <w:p w14:paraId="1D9B00A9" w14:textId="77777777" w:rsidR="000F010E" w:rsidRPr="00D63143" w:rsidRDefault="000F010E">
    <w:pPr>
      <w:pStyle w:val="Encabezado"/>
      <w:jc w:val="center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945F" w14:textId="0A367787" w:rsidR="000F010E" w:rsidRDefault="000F010E" w:rsidP="00AB3FED">
    <w:pPr>
      <w:pStyle w:val="Encabezado"/>
      <w:framePr w:wrap="around" w:vAnchor="text" w:hAnchor="margin" w:xAlign="center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t>24</w:t>
    </w:r>
  </w:p>
  <w:p w14:paraId="6940D541" w14:textId="77777777" w:rsidR="000F010E" w:rsidRDefault="000F010E" w:rsidP="00AB3FED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72F4" w14:textId="77777777" w:rsidR="000F010E" w:rsidRPr="007E2B1C" w:rsidRDefault="000F010E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26</w:t>
    </w:r>
  </w:p>
  <w:p w14:paraId="6508D693" w14:textId="77777777" w:rsidR="000F010E" w:rsidRPr="00D63143" w:rsidRDefault="000F010E">
    <w:pPr>
      <w:pStyle w:val="Encabezado"/>
      <w:jc w:val="center"/>
      <w:rPr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ED273" w14:textId="2731CB7D" w:rsidR="000F010E" w:rsidRDefault="000F010E" w:rsidP="00AB3FED">
    <w:pPr>
      <w:pStyle w:val="Encabezado"/>
      <w:framePr w:wrap="around" w:vAnchor="text" w:hAnchor="margin" w:xAlign="center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t xml:space="preserve">25 </w:t>
    </w:r>
  </w:p>
  <w:p w14:paraId="745C5054" w14:textId="77777777" w:rsidR="000F010E" w:rsidRDefault="000F010E" w:rsidP="00AB3FED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2558" w14:textId="77777777" w:rsidR="000F010E" w:rsidRPr="007E2B1C" w:rsidRDefault="000F010E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26</w:t>
    </w:r>
  </w:p>
  <w:p w14:paraId="5D9D9182" w14:textId="77777777" w:rsidR="000F010E" w:rsidRPr="00D63143" w:rsidRDefault="000F010E">
    <w:pPr>
      <w:pStyle w:val="Encabezado"/>
      <w:jc w:val="center"/>
      <w:rPr>
        <w:sz w:val="22"/>
        <w:szCs w:val="2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2E103" w14:textId="1A26A787" w:rsidR="000F010E" w:rsidRDefault="000F010E" w:rsidP="00AB3FED">
    <w:pPr>
      <w:pStyle w:val="Encabezado"/>
      <w:framePr w:wrap="around" w:vAnchor="text" w:hAnchor="margin" w:xAlign="center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t>27</w:t>
    </w:r>
  </w:p>
  <w:p w14:paraId="62AF1ADD" w14:textId="77777777" w:rsidR="000F010E" w:rsidRDefault="000F010E" w:rsidP="00AB3FED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3C7E" w14:textId="77777777" w:rsidR="000F010E" w:rsidRPr="007E2B1C" w:rsidRDefault="000F010E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>26</w:t>
    </w:r>
  </w:p>
  <w:p w14:paraId="52E19686" w14:textId="77777777" w:rsidR="000F010E" w:rsidRPr="00D63143" w:rsidRDefault="000F010E">
    <w:pPr>
      <w:pStyle w:val="Encabezado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2A3E6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1845B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6B4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928F7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2E3AB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59293F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8FA407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822F5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1C6112"/>
    <w:multiLevelType w:val="hybridMultilevel"/>
    <w:tmpl w:val="6BFAD03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44898"/>
    <w:multiLevelType w:val="hybridMultilevel"/>
    <w:tmpl w:val="2C948E56"/>
    <w:lvl w:ilvl="0" w:tplc="6540E37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3E9E8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C0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46468"/>
    <w:multiLevelType w:val="hybridMultilevel"/>
    <w:tmpl w:val="0E1CAE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04C3"/>
    <w:multiLevelType w:val="hybridMultilevel"/>
    <w:tmpl w:val="9B963918"/>
    <w:lvl w:ilvl="0" w:tplc="957C60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18B9"/>
    <w:multiLevelType w:val="hybridMultilevel"/>
    <w:tmpl w:val="29F2AEBE"/>
    <w:lvl w:ilvl="0" w:tplc="84E6EF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621D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348C2"/>
    <w:multiLevelType w:val="hybridMultilevel"/>
    <w:tmpl w:val="5470AC76"/>
    <w:lvl w:ilvl="0" w:tplc="A88A45E6">
      <w:start w:val="1"/>
      <w:numFmt w:val="decimal"/>
      <w:lvlText w:val="[%1]."/>
      <w:lvlJc w:val="left"/>
      <w:pPr>
        <w:ind w:left="720" w:hanging="360"/>
      </w:pPr>
      <w:rPr>
        <w:b w:val="0"/>
        <w:i w:val="0"/>
        <w:sz w:val="18"/>
        <w:szCs w:val="1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677D"/>
    <w:multiLevelType w:val="hybridMultilevel"/>
    <w:tmpl w:val="C53E9436"/>
    <w:lvl w:ilvl="0" w:tplc="4A3E9E8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7E4"/>
    <w:multiLevelType w:val="hybridMultilevel"/>
    <w:tmpl w:val="C832DD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FE6C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5530"/>
    <w:multiLevelType w:val="hybridMultilevel"/>
    <w:tmpl w:val="47DAE0F4"/>
    <w:lvl w:ilvl="0" w:tplc="B28E9B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A3CEF"/>
    <w:multiLevelType w:val="hybridMultilevel"/>
    <w:tmpl w:val="999467EE"/>
    <w:lvl w:ilvl="0" w:tplc="166A2A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B00834"/>
    <w:multiLevelType w:val="hybridMultilevel"/>
    <w:tmpl w:val="C7BE7EDC"/>
    <w:lvl w:ilvl="0" w:tplc="52E69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232B08"/>
    <w:multiLevelType w:val="hybridMultilevel"/>
    <w:tmpl w:val="27289BAC"/>
    <w:lvl w:ilvl="0" w:tplc="877288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80" w:hanging="360"/>
      </w:pPr>
    </w:lvl>
    <w:lvl w:ilvl="2" w:tplc="280A001B" w:tentative="1">
      <w:start w:val="1"/>
      <w:numFmt w:val="lowerRoman"/>
      <w:lvlText w:val="%3."/>
      <w:lvlJc w:val="right"/>
      <w:pPr>
        <w:ind w:left="2700" w:hanging="180"/>
      </w:pPr>
    </w:lvl>
    <w:lvl w:ilvl="3" w:tplc="280A000F" w:tentative="1">
      <w:start w:val="1"/>
      <w:numFmt w:val="decimal"/>
      <w:lvlText w:val="%4."/>
      <w:lvlJc w:val="left"/>
      <w:pPr>
        <w:ind w:left="3420" w:hanging="360"/>
      </w:pPr>
    </w:lvl>
    <w:lvl w:ilvl="4" w:tplc="280A0019" w:tentative="1">
      <w:start w:val="1"/>
      <w:numFmt w:val="lowerLetter"/>
      <w:lvlText w:val="%5."/>
      <w:lvlJc w:val="left"/>
      <w:pPr>
        <w:ind w:left="4140" w:hanging="360"/>
      </w:pPr>
    </w:lvl>
    <w:lvl w:ilvl="5" w:tplc="280A001B" w:tentative="1">
      <w:start w:val="1"/>
      <w:numFmt w:val="lowerRoman"/>
      <w:lvlText w:val="%6."/>
      <w:lvlJc w:val="right"/>
      <w:pPr>
        <w:ind w:left="4860" w:hanging="180"/>
      </w:pPr>
    </w:lvl>
    <w:lvl w:ilvl="6" w:tplc="280A000F" w:tentative="1">
      <w:start w:val="1"/>
      <w:numFmt w:val="decimal"/>
      <w:lvlText w:val="%7."/>
      <w:lvlJc w:val="left"/>
      <w:pPr>
        <w:ind w:left="5580" w:hanging="360"/>
      </w:pPr>
    </w:lvl>
    <w:lvl w:ilvl="7" w:tplc="280A0019" w:tentative="1">
      <w:start w:val="1"/>
      <w:numFmt w:val="lowerLetter"/>
      <w:lvlText w:val="%8."/>
      <w:lvlJc w:val="left"/>
      <w:pPr>
        <w:ind w:left="6300" w:hanging="360"/>
      </w:pPr>
    </w:lvl>
    <w:lvl w:ilvl="8" w:tplc="2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BA77CEE"/>
    <w:multiLevelType w:val="hybridMultilevel"/>
    <w:tmpl w:val="FE581908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8F33655"/>
    <w:multiLevelType w:val="multilevel"/>
    <w:tmpl w:val="CB8E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98F05F8"/>
    <w:multiLevelType w:val="hybridMultilevel"/>
    <w:tmpl w:val="6B2CDF2E"/>
    <w:lvl w:ilvl="0" w:tplc="7CDEF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BDE351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70B5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680"/>
        </w:tabs>
        <w:ind w:left="680" w:hanging="360"/>
      </w:pPr>
      <w:rPr>
        <w:rFonts w:ascii="Wingdings" w:hAnsi="Wingdings" w:hint="default"/>
      </w:rPr>
    </w:lvl>
  </w:abstractNum>
  <w:abstractNum w:abstractNumId="24" w15:restartNumberingAfterBreak="0">
    <w:nsid w:val="5D1E0279"/>
    <w:multiLevelType w:val="hybridMultilevel"/>
    <w:tmpl w:val="2A60EC10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88A4A1A"/>
    <w:multiLevelType w:val="hybridMultilevel"/>
    <w:tmpl w:val="7C763A80"/>
    <w:lvl w:ilvl="0" w:tplc="9DAAE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4059A"/>
    <w:multiLevelType w:val="hybridMultilevel"/>
    <w:tmpl w:val="1D0CD316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EE65C0"/>
    <w:multiLevelType w:val="hybridMultilevel"/>
    <w:tmpl w:val="392A64C0"/>
    <w:lvl w:ilvl="0" w:tplc="EA12367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9B072D"/>
    <w:multiLevelType w:val="hybridMultilevel"/>
    <w:tmpl w:val="A82E96E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14"/>
  </w:num>
  <w:num w:numId="11">
    <w:abstractNumId w:val="25"/>
  </w:num>
  <w:num w:numId="12">
    <w:abstractNumId w:val="21"/>
  </w:num>
  <w:num w:numId="13">
    <w:abstractNumId w:val="17"/>
  </w:num>
  <w:num w:numId="14">
    <w:abstractNumId w:val="19"/>
  </w:num>
  <w:num w:numId="15">
    <w:abstractNumId w:val="8"/>
  </w:num>
  <w:num w:numId="16">
    <w:abstractNumId w:val="16"/>
  </w:num>
  <w:num w:numId="17">
    <w:abstractNumId w:val="13"/>
  </w:num>
  <w:num w:numId="18">
    <w:abstractNumId w:val="28"/>
  </w:num>
  <w:num w:numId="19">
    <w:abstractNumId w:val="22"/>
  </w:num>
  <w:num w:numId="20">
    <w:abstractNumId w:val="24"/>
  </w:num>
  <w:num w:numId="21">
    <w:abstractNumId w:val="20"/>
  </w:num>
  <w:num w:numId="22">
    <w:abstractNumId w:val="27"/>
  </w:num>
  <w:num w:numId="23">
    <w:abstractNumId w:val="12"/>
  </w:num>
  <w:num w:numId="24">
    <w:abstractNumId w:val="23"/>
  </w:num>
  <w:num w:numId="25">
    <w:abstractNumId w:val="15"/>
  </w:num>
  <w:num w:numId="26">
    <w:abstractNumId w:val="18"/>
  </w:num>
  <w:num w:numId="27">
    <w:abstractNumId w:val="11"/>
  </w:num>
  <w:num w:numId="28">
    <w:abstractNumId w:val="10"/>
  </w:num>
  <w:num w:numId="29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F4"/>
    <w:rsid w:val="00000C80"/>
    <w:rsid w:val="000021E1"/>
    <w:rsid w:val="0000270F"/>
    <w:rsid w:val="000036CB"/>
    <w:rsid w:val="0000370F"/>
    <w:rsid w:val="0000386F"/>
    <w:rsid w:val="000041D4"/>
    <w:rsid w:val="00004BEE"/>
    <w:rsid w:val="000054D9"/>
    <w:rsid w:val="00005BB3"/>
    <w:rsid w:val="00007057"/>
    <w:rsid w:val="00010405"/>
    <w:rsid w:val="00010BFE"/>
    <w:rsid w:val="00011140"/>
    <w:rsid w:val="000111A9"/>
    <w:rsid w:val="00012B20"/>
    <w:rsid w:val="00012BC3"/>
    <w:rsid w:val="0001423F"/>
    <w:rsid w:val="0001534A"/>
    <w:rsid w:val="00016058"/>
    <w:rsid w:val="00016385"/>
    <w:rsid w:val="00017AA5"/>
    <w:rsid w:val="00017EAE"/>
    <w:rsid w:val="000209D7"/>
    <w:rsid w:val="00021C85"/>
    <w:rsid w:val="0002337E"/>
    <w:rsid w:val="00024673"/>
    <w:rsid w:val="00024D46"/>
    <w:rsid w:val="0002643A"/>
    <w:rsid w:val="00030A4A"/>
    <w:rsid w:val="00030C43"/>
    <w:rsid w:val="00031227"/>
    <w:rsid w:val="00035961"/>
    <w:rsid w:val="00036025"/>
    <w:rsid w:val="000375A3"/>
    <w:rsid w:val="0004020F"/>
    <w:rsid w:val="0004047C"/>
    <w:rsid w:val="000408DA"/>
    <w:rsid w:val="00041D9D"/>
    <w:rsid w:val="00043467"/>
    <w:rsid w:val="00043F27"/>
    <w:rsid w:val="00044C7B"/>
    <w:rsid w:val="0004503C"/>
    <w:rsid w:val="00045048"/>
    <w:rsid w:val="00045868"/>
    <w:rsid w:val="00045AE5"/>
    <w:rsid w:val="00045D5A"/>
    <w:rsid w:val="00045F01"/>
    <w:rsid w:val="00047049"/>
    <w:rsid w:val="00047564"/>
    <w:rsid w:val="0004767B"/>
    <w:rsid w:val="000478D8"/>
    <w:rsid w:val="00047F84"/>
    <w:rsid w:val="0005127C"/>
    <w:rsid w:val="0005129F"/>
    <w:rsid w:val="00051F9B"/>
    <w:rsid w:val="000529D8"/>
    <w:rsid w:val="0005438D"/>
    <w:rsid w:val="000562DA"/>
    <w:rsid w:val="000566BC"/>
    <w:rsid w:val="000570E1"/>
    <w:rsid w:val="00057E02"/>
    <w:rsid w:val="00060095"/>
    <w:rsid w:val="000617F2"/>
    <w:rsid w:val="00062D25"/>
    <w:rsid w:val="00063AB3"/>
    <w:rsid w:val="000641FF"/>
    <w:rsid w:val="000642A0"/>
    <w:rsid w:val="00064C90"/>
    <w:rsid w:val="0006504E"/>
    <w:rsid w:val="00065B55"/>
    <w:rsid w:val="00066E0D"/>
    <w:rsid w:val="000674D1"/>
    <w:rsid w:val="000710F0"/>
    <w:rsid w:val="0007148E"/>
    <w:rsid w:val="00073455"/>
    <w:rsid w:val="00075E5A"/>
    <w:rsid w:val="00076241"/>
    <w:rsid w:val="00076835"/>
    <w:rsid w:val="00076E42"/>
    <w:rsid w:val="0007719B"/>
    <w:rsid w:val="000804B7"/>
    <w:rsid w:val="00080FF5"/>
    <w:rsid w:val="0008124D"/>
    <w:rsid w:val="00082420"/>
    <w:rsid w:val="00083616"/>
    <w:rsid w:val="000863E8"/>
    <w:rsid w:val="00086853"/>
    <w:rsid w:val="000902E1"/>
    <w:rsid w:val="00090968"/>
    <w:rsid w:val="00091377"/>
    <w:rsid w:val="00091C45"/>
    <w:rsid w:val="00091DF6"/>
    <w:rsid w:val="000931A3"/>
    <w:rsid w:val="000954D2"/>
    <w:rsid w:val="00095E06"/>
    <w:rsid w:val="0009667D"/>
    <w:rsid w:val="00097B27"/>
    <w:rsid w:val="000A0EB7"/>
    <w:rsid w:val="000A2012"/>
    <w:rsid w:val="000A3DEC"/>
    <w:rsid w:val="000A3EDF"/>
    <w:rsid w:val="000A3F99"/>
    <w:rsid w:val="000A4A17"/>
    <w:rsid w:val="000A772C"/>
    <w:rsid w:val="000B11DD"/>
    <w:rsid w:val="000B144F"/>
    <w:rsid w:val="000B1E1A"/>
    <w:rsid w:val="000B2963"/>
    <w:rsid w:val="000B2972"/>
    <w:rsid w:val="000B350D"/>
    <w:rsid w:val="000B5376"/>
    <w:rsid w:val="000C2867"/>
    <w:rsid w:val="000C3F44"/>
    <w:rsid w:val="000C425F"/>
    <w:rsid w:val="000C49FB"/>
    <w:rsid w:val="000C4A48"/>
    <w:rsid w:val="000C539A"/>
    <w:rsid w:val="000C6259"/>
    <w:rsid w:val="000D0B95"/>
    <w:rsid w:val="000D2DD1"/>
    <w:rsid w:val="000D48F6"/>
    <w:rsid w:val="000D59AE"/>
    <w:rsid w:val="000D7A18"/>
    <w:rsid w:val="000E03B3"/>
    <w:rsid w:val="000E0728"/>
    <w:rsid w:val="000E12BF"/>
    <w:rsid w:val="000E1906"/>
    <w:rsid w:val="000E1A84"/>
    <w:rsid w:val="000E1E2B"/>
    <w:rsid w:val="000E20C0"/>
    <w:rsid w:val="000E2B2E"/>
    <w:rsid w:val="000E334C"/>
    <w:rsid w:val="000E5DB0"/>
    <w:rsid w:val="000E65FA"/>
    <w:rsid w:val="000E7ACD"/>
    <w:rsid w:val="000F010E"/>
    <w:rsid w:val="000F019F"/>
    <w:rsid w:val="000F0610"/>
    <w:rsid w:val="000F0EF0"/>
    <w:rsid w:val="000F17F6"/>
    <w:rsid w:val="000F19B4"/>
    <w:rsid w:val="000F3465"/>
    <w:rsid w:val="000F376D"/>
    <w:rsid w:val="000F4803"/>
    <w:rsid w:val="000F5294"/>
    <w:rsid w:val="000F540D"/>
    <w:rsid w:val="000F67B9"/>
    <w:rsid w:val="000F7E41"/>
    <w:rsid w:val="0010100B"/>
    <w:rsid w:val="0010197F"/>
    <w:rsid w:val="00101E19"/>
    <w:rsid w:val="00101E74"/>
    <w:rsid w:val="00102721"/>
    <w:rsid w:val="00104427"/>
    <w:rsid w:val="00105025"/>
    <w:rsid w:val="00105FEA"/>
    <w:rsid w:val="00105FFE"/>
    <w:rsid w:val="00106E4A"/>
    <w:rsid w:val="0011067A"/>
    <w:rsid w:val="0011238A"/>
    <w:rsid w:val="00114DD6"/>
    <w:rsid w:val="00115B88"/>
    <w:rsid w:val="001166FD"/>
    <w:rsid w:val="00116855"/>
    <w:rsid w:val="001172F5"/>
    <w:rsid w:val="00117780"/>
    <w:rsid w:val="00121DA6"/>
    <w:rsid w:val="00122FC8"/>
    <w:rsid w:val="00123755"/>
    <w:rsid w:val="0012395A"/>
    <w:rsid w:val="001248DA"/>
    <w:rsid w:val="00127242"/>
    <w:rsid w:val="00127C69"/>
    <w:rsid w:val="00130D15"/>
    <w:rsid w:val="00131D20"/>
    <w:rsid w:val="00132C3D"/>
    <w:rsid w:val="00133236"/>
    <w:rsid w:val="0013389E"/>
    <w:rsid w:val="001342FF"/>
    <w:rsid w:val="00135114"/>
    <w:rsid w:val="00135A09"/>
    <w:rsid w:val="001366C1"/>
    <w:rsid w:val="0013680E"/>
    <w:rsid w:val="00137F9F"/>
    <w:rsid w:val="00140AA9"/>
    <w:rsid w:val="00141BFA"/>
    <w:rsid w:val="0014274D"/>
    <w:rsid w:val="001433B2"/>
    <w:rsid w:val="00146231"/>
    <w:rsid w:val="00146BF7"/>
    <w:rsid w:val="0014747B"/>
    <w:rsid w:val="00151254"/>
    <w:rsid w:val="00154192"/>
    <w:rsid w:val="00155D2B"/>
    <w:rsid w:val="001565CF"/>
    <w:rsid w:val="0016290E"/>
    <w:rsid w:val="001647FB"/>
    <w:rsid w:val="00164CFC"/>
    <w:rsid w:val="001653B9"/>
    <w:rsid w:val="00165A6C"/>
    <w:rsid w:val="001664B1"/>
    <w:rsid w:val="0016678C"/>
    <w:rsid w:val="00170A4B"/>
    <w:rsid w:val="00170FC0"/>
    <w:rsid w:val="00171300"/>
    <w:rsid w:val="001714E5"/>
    <w:rsid w:val="001715EC"/>
    <w:rsid w:val="00171F13"/>
    <w:rsid w:val="001721DF"/>
    <w:rsid w:val="0017235D"/>
    <w:rsid w:val="001728B3"/>
    <w:rsid w:val="00172C7C"/>
    <w:rsid w:val="00174AA3"/>
    <w:rsid w:val="00174AAF"/>
    <w:rsid w:val="00175946"/>
    <w:rsid w:val="00176BFA"/>
    <w:rsid w:val="00177F8D"/>
    <w:rsid w:val="001807E6"/>
    <w:rsid w:val="00180EF4"/>
    <w:rsid w:val="001811A1"/>
    <w:rsid w:val="00182805"/>
    <w:rsid w:val="0018392C"/>
    <w:rsid w:val="001839DB"/>
    <w:rsid w:val="00183B59"/>
    <w:rsid w:val="00183C3E"/>
    <w:rsid w:val="001846AD"/>
    <w:rsid w:val="00185B8B"/>
    <w:rsid w:val="00186512"/>
    <w:rsid w:val="001924F3"/>
    <w:rsid w:val="001939B7"/>
    <w:rsid w:val="00193B0E"/>
    <w:rsid w:val="0019440A"/>
    <w:rsid w:val="00194450"/>
    <w:rsid w:val="00194AD4"/>
    <w:rsid w:val="00194E68"/>
    <w:rsid w:val="001952FF"/>
    <w:rsid w:val="00195EAD"/>
    <w:rsid w:val="00196205"/>
    <w:rsid w:val="00196B8E"/>
    <w:rsid w:val="00197756"/>
    <w:rsid w:val="00197FE7"/>
    <w:rsid w:val="001A0511"/>
    <w:rsid w:val="001A1932"/>
    <w:rsid w:val="001A1CF5"/>
    <w:rsid w:val="001A1DE8"/>
    <w:rsid w:val="001A2F06"/>
    <w:rsid w:val="001A455C"/>
    <w:rsid w:val="001B2044"/>
    <w:rsid w:val="001B25BC"/>
    <w:rsid w:val="001B3082"/>
    <w:rsid w:val="001B3121"/>
    <w:rsid w:val="001B3B59"/>
    <w:rsid w:val="001B4634"/>
    <w:rsid w:val="001B6068"/>
    <w:rsid w:val="001B73E1"/>
    <w:rsid w:val="001B756B"/>
    <w:rsid w:val="001C0244"/>
    <w:rsid w:val="001C1DDB"/>
    <w:rsid w:val="001C1F70"/>
    <w:rsid w:val="001C2136"/>
    <w:rsid w:val="001C30D5"/>
    <w:rsid w:val="001C38B1"/>
    <w:rsid w:val="001C475E"/>
    <w:rsid w:val="001C6C3D"/>
    <w:rsid w:val="001C7D8E"/>
    <w:rsid w:val="001D0279"/>
    <w:rsid w:val="001D0A72"/>
    <w:rsid w:val="001D176F"/>
    <w:rsid w:val="001D1EAB"/>
    <w:rsid w:val="001D226E"/>
    <w:rsid w:val="001D2A7C"/>
    <w:rsid w:val="001D350F"/>
    <w:rsid w:val="001D3717"/>
    <w:rsid w:val="001D453C"/>
    <w:rsid w:val="001D7C40"/>
    <w:rsid w:val="001E06DC"/>
    <w:rsid w:val="001E1290"/>
    <w:rsid w:val="001E15DF"/>
    <w:rsid w:val="001E1A01"/>
    <w:rsid w:val="001E3A2C"/>
    <w:rsid w:val="001E431A"/>
    <w:rsid w:val="001E49D0"/>
    <w:rsid w:val="001E4C38"/>
    <w:rsid w:val="001E4F0E"/>
    <w:rsid w:val="001E7A04"/>
    <w:rsid w:val="001E7ED4"/>
    <w:rsid w:val="001F14FB"/>
    <w:rsid w:val="001F162B"/>
    <w:rsid w:val="001F1A29"/>
    <w:rsid w:val="001F2EF5"/>
    <w:rsid w:val="001F4070"/>
    <w:rsid w:val="001F5269"/>
    <w:rsid w:val="001F76E0"/>
    <w:rsid w:val="00200774"/>
    <w:rsid w:val="00202A82"/>
    <w:rsid w:val="00202B3C"/>
    <w:rsid w:val="00203EEB"/>
    <w:rsid w:val="00204D32"/>
    <w:rsid w:val="002069C5"/>
    <w:rsid w:val="002071CD"/>
    <w:rsid w:val="00210E47"/>
    <w:rsid w:val="00211812"/>
    <w:rsid w:val="002118D1"/>
    <w:rsid w:val="00212714"/>
    <w:rsid w:val="0021281F"/>
    <w:rsid w:val="00212A30"/>
    <w:rsid w:val="00212D27"/>
    <w:rsid w:val="00212D74"/>
    <w:rsid w:val="00212F43"/>
    <w:rsid w:val="00213E6C"/>
    <w:rsid w:val="00213F31"/>
    <w:rsid w:val="00214BFB"/>
    <w:rsid w:val="00214DD7"/>
    <w:rsid w:val="002157A2"/>
    <w:rsid w:val="002159DB"/>
    <w:rsid w:val="0021678B"/>
    <w:rsid w:val="002169D6"/>
    <w:rsid w:val="00216DD7"/>
    <w:rsid w:val="0022086E"/>
    <w:rsid w:val="00220B99"/>
    <w:rsid w:val="00220C76"/>
    <w:rsid w:val="00220C91"/>
    <w:rsid w:val="00221FDF"/>
    <w:rsid w:val="00225128"/>
    <w:rsid w:val="00225898"/>
    <w:rsid w:val="0022594A"/>
    <w:rsid w:val="00225DBE"/>
    <w:rsid w:val="00227549"/>
    <w:rsid w:val="00227682"/>
    <w:rsid w:val="0022789A"/>
    <w:rsid w:val="00227E41"/>
    <w:rsid w:val="0023016A"/>
    <w:rsid w:val="0023182A"/>
    <w:rsid w:val="00231E6A"/>
    <w:rsid w:val="00232701"/>
    <w:rsid w:val="0023276B"/>
    <w:rsid w:val="00232B63"/>
    <w:rsid w:val="00232EFA"/>
    <w:rsid w:val="00233632"/>
    <w:rsid w:val="00233DB6"/>
    <w:rsid w:val="00234900"/>
    <w:rsid w:val="00235C8B"/>
    <w:rsid w:val="002378C2"/>
    <w:rsid w:val="00237C48"/>
    <w:rsid w:val="00240467"/>
    <w:rsid w:val="002413F7"/>
    <w:rsid w:val="002415C8"/>
    <w:rsid w:val="00241A17"/>
    <w:rsid w:val="00243017"/>
    <w:rsid w:val="00243430"/>
    <w:rsid w:val="00243561"/>
    <w:rsid w:val="00244C79"/>
    <w:rsid w:val="002466E0"/>
    <w:rsid w:val="00253C97"/>
    <w:rsid w:val="00253CF0"/>
    <w:rsid w:val="00255682"/>
    <w:rsid w:val="00256C9C"/>
    <w:rsid w:val="00257BDB"/>
    <w:rsid w:val="00257BF2"/>
    <w:rsid w:val="00257C52"/>
    <w:rsid w:val="00260343"/>
    <w:rsid w:val="00260D6D"/>
    <w:rsid w:val="0026126F"/>
    <w:rsid w:val="0026211C"/>
    <w:rsid w:val="0026238A"/>
    <w:rsid w:val="00263B5A"/>
    <w:rsid w:val="002643FC"/>
    <w:rsid w:val="00264D83"/>
    <w:rsid w:val="0026628D"/>
    <w:rsid w:val="00267AD4"/>
    <w:rsid w:val="00267E50"/>
    <w:rsid w:val="00270CCD"/>
    <w:rsid w:val="002731F8"/>
    <w:rsid w:val="002732B9"/>
    <w:rsid w:val="00273A60"/>
    <w:rsid w:val="002760D1"/>
    <w:rsid w:val="0027617B"/>
    <w:rsid w:val="00276788"/>
    <w:rsid w:val="00276A54"/>
    <w:rsid w:val="00276EAD"/>
    <w:rsid w:val="00281AF5"/>
    <w:rsid w:val="002826F5"/>
    <w:rsid w:val="00283E0B"/>
    <w:rsid w:val="00284461"/>
    <w:rsid w:val="00286AE9"/>
    <w:rsid w:val="00290F5F"/>
    <w:rsid w:val="00293781"/>
    <w:rsid w:val="00293D1B"/>
    <w:rsid w:val="0029491D"/>
    <w:rsid w:val="0029492F"/>
    <w:rsid w:val="00294ACE"/>
    <w:rsid w:val="00295121"/>
    <w:rsid w:val="00295881"/>
    <w:rsid w:val="0029665D"/>
    <w:rsid w:val="00297DBE"/>
    <w:rsid w:val="002A177D"/>
    <w:rsid w:val="002A19CB"/>
    <w:rsid w:val="002A1E48"/>
    <w:rsid w:val="002A1F2F"/>
    <w:rsid w:val="002A23FA"/>
    <w:rsid w:val="002A4A13"/>
    <w:rsid w:val="002A54A1"/>
    <w:rsid w:val="002A5D10"/>
    <w:rsid w:val="002A6205"/>
    <w:rsid w:val="002A7171"/>
    <w:rsid w:val="002A7CB6"/>
    <w:rsid w:val="002A7EE0"/>
    <w:rsid w:val="002B0EF9"/>
    <w:rsid w:val="002B2206"/>
    <w:rsid w:val="002B253A"/>
    <w:rsid w:val="002B36E8"/>
    <w:rsid w:val="002B4110"/>
    <w:rsid w:val="002B693A"/>
    <w:rsid w:val="002B6DF3"/>
    <w:rsid w:val="002B6EBA"/>
    <w:rsid w:val="002B7191"/>
    <w:rsid w:val="002B7AB5"/>
    <w:rsid w:val="002B7E39"/>
    <w:rsid w:val="002C023C"/>
    <w:rsid w:val="002C0634"/>
    <w:rsid w:val="002C0715"/>
    <w:rsid w:val="002C0CED"/>
    <w:rsid w:val="002C0D17"/>
    <w:rsid w:val="002C3B6B"/>
    <w:rsid w:val="002C4108"/>
    <w:rsid w:val="002C4431"/>
    <w:rsid w:val="002C7A65"/>
    <w:rsid w:val="002D121F"/>
    <w:rsid w:val="002D21BA"/>
    <w:rsid w:val="002D220F"/>
    <w:rsid w:val="002D31C6"/>
    <w:rsid w:val="002D42C2"/>
    <w:rsid w:val="002D6471"/>
    <w:rsid w:val="002E1016"/>
    <w:rsid w:val="002E101D"/>
    <w:rsid w:val="002E113B"/>
    <w:rsid w:val="002E1659"/>
    <w:rsid w:val="002E197E"/>
    <w:rsid w:val="002E23AF"/>
    <w:rsid w:val="002E2A15"/>
    <w:rsid w:val="002E4903"/>
    <w:rsid w:val="002E4B24"/>
    <w:rsid w:val="002E5CD8"/>
    <w:rsid w:val="002F1E1F"/>
    <w:rsid w:val="002F2692"/>
    <w:rsid w:val="002F2DC9"/>
    <w:rsid w:val="002F33DC"/>
    <w:rsid w:val="002F3913"/>
    <w:rsid w:val="002F4694"/>
    <w:rsid w:val="002F4D7C"/>
    <w:rsid w:val="002F5F45"/>
    <w:rsid w:val="002F694A"/>
    <w:rsid w:val="002F6B00"/>
    <w:rsid w:val="002F7783"/>
    <w:rsid w:val="00300E09"/>
    <w:rsid w:val="00301645"/>
    <w:rsid w:val="00302184"/>
    <w:rsid w:val="0030583A"/>
    <w:rsid w:val="00306835"/>
    <w:rsid w:val="0030695C"/>
    <w:rsid w:val="00307711"/>
    <w:rsid w:val="003077CB"/>
    <w:rsid w:val="003105B2"/>
    <w:rsid w:val="00313E59"/>
    <w:rsid w:val="0031447E"/>
    <w:rsid w:val="00314851"/>
    <w:rsid w:val="003148A1"/>
    <w:rsid w:val="00314CC6"/>
    <w:rsid w:val="0031615D"/>
    <w:rsid w:val="00316279"/>
    <w:rsid w:val="00316508"/>
    <w:rsid w:val="00316DC4"/>
    <w:rsid w:val="003170EC"/>
    <w:rsid w:val="00317521"/>
    <w:rsid w:val="00320F8A"/>
    <w:rsid w:val="00321F75"/>
    <w:rsid w:val="00322575"/>
    <w:rsid w:val="00325D15"/>
    <w:rsid w:val="003266F6"/>
    <w:rsid w:val="003272F6"/>
    <w:rsid w:val="0033034C"/>
    <w:rsid w:val="00330E56"/>
    <w:rsid w:val="00331442"/>
    <w:rsid w:val="00333545"/>
    <w:rsid w:val="003349C9"/>
    <w:rsid w:val="0033506E"/>
    <w:rsid w:val="003365BF"/>
    <w:rsid w:val="003365F6"/>
    <w:rsid w:val="0034041D"/>
    <w:rsid w:val="00341DB7"/>
    <w:rsid w:val="00342D17"/>
    <w:rsid w:val="00343CA0"/>
    <w:rsid w:val="00344D53"/>
    <w:rsid w:val="00345443"/>
    <w:rsid w:val="00346AC5"/>
    <w:rsid w:val="00347170"/>
    <w:rsid w:val="00347D12"/>
    <w:rsid w:val="003500BB"/>
    <w:rsid w:val="00351456"/>
    <w:rsid w:val="003518F8"/>
    <w:rsid w:val="003520FF"/>
    <w:rsid w:val="003538EB"/>
    <w:rsid w:val="00353CEB"/>
    <w:rsid w:val="003544B6"/>
    <w:rsid w:val="003567C8"/>
    <w:rsid w:val="00357B48"/>
    <w:rsid w:val="00360356"/>
    <w:rsid w:val="00360E2D"/>
    <w:rsid w:val="00361BA9"/>
    <w:rsid w:val="00363F61"/>
    <w:rsid w:val="0036504E"/>
    <w:rsid w:val="0036524C"/>
    <w:rsid w:val="00366B43"/>
    <w:rsid w:val="00366D3F"/>
    <w:rsid w:val="003678DA"/>
    <w:rsid w:val="00370D63"/>
    <w:rsid w:val="00370F32"/>
    <w:rsid w:val="00371A97"/>
    <w:rsid w:val="00372EB2"/>
    <w:rsid w:val="00373871"/>
    <w:rsid w:val="00373ECE"/>
    <w:rsid w:val="00376447"/>
    <w:rsid w:val="00376D4F"/>
    <w:rsid w:val="00380B46"/>
    <w:rsid w:val="00381465"/>
    <w:rsid w:val="003816E0"/>
    <w:rsid w:val="003826E8"/>
    <w:rsid w:val="0038297D"/>
    <w:rsid w:val="003834FB"/>
    <w:rsid w:val="00385839"/>
    <w:rsid w:val="00386B36"/>
    <w:rsid w:val="0038743E"/>
    <w:rsid w:val="00387D6F"/>
    <w:rsid w:val="00387E69"/>
    <w:rsid w:val="00390669"/>
    <w:rsid w:val="00390F0A"/>
    <w:rsid w:val="0039136F"/>
    <w:rsid w:val="00391E79"/>
    <w:rsid w:val="00392BFD"/>
    <w:rsid w:val="00393962"/>
    <w:rsid w:val="003947BD"/>
    <w:rsid w:val="00394F02"/>
    <w:rsid w:val="00395B7D"/>
    <w:rsid w:val="00395F69"/>
    <w:rsid w:val="00397499"/>
    <w:rsid w:val="003977DE"/>
    <w:rsid w:val="003A0596"/>
    <w:rsid w:val="003A183B"/>
    <w:rsid w:val="003A2FA5"/>
    <w:rsid w:val="003A38CD"/>
    <w:rsid w:val="003A4223"/>
    <w:rsid w:val="003A45AF"/>
    <w:rsid w:val="003A472C"/>
    <w:rsid w:val="003A4D46"/>
    <w:rsid w:val="003A4FF5"/>
    <w:rsid w:val="003A672E"/>
    <w:rsid w:val="003A71FA"/>
    <w:rsid w:val="003A7586"/>
    <w:rsid w:val="003A78C6"/>
    <w:rsid w:val="003A7A68"/>
    <w:rsid w:val="003B0A81"/>
    <w:rsid w:val="003B2D9F"/>
    <w:rsid w:val="003B3FF5"/>
    <w:rsid w:val="003B4074"/>
    <w:rsid w:val="003B50F3"/>
    <w:rsid w:val="003B51B0"/>
    <w:rsid w:val="003B58EE"/>
    <w:rsid w:val="003B69C1"/>
    <w:rsid w:val="003B7604"/>
    <w:rsid w:val="003C1A38"/>
    <w:rsid w:val="003C4393"/>
    <w:rsid w:val="003C4F52"/>
    <w:rsid w:val="003D05E1"/>
    <w:rsid w:val="003D1BF0"/>
    <w:rsid w:val="003D27C0"/>
    <w:rsid w:val="003D3D32"/>
    <w:rsid w:val="003D4561"/>
    <w:rsid w:val="003D4D33"/>
    <w:rsid w:val="003D5654"/>
    <w:rsid w:val="003D59DA"/>
    <w:rsid w:val="003D6766"/>
    <w:rsid w:val="003D6F3D"/>
    <w:rsid w:val="003D7B3C"/>
    <w:rsid w:val="003E005D"/>
    <w:rsid w:val="003E0342"/>
    <w:rsid w:val="003E0401"/>
    <w:rsid w:val="003E06DC"/>
    <w:rsid w:val="003E1B82"/>
    <w:rsid w:val="003E25AB"/>
    <w:rsid w:val="003E38D8"/>
    <w:rsid w:val="003E3DEF"/>
    <w:rsid w:val="003E4410"/>
    <w:rsid w:val="003E4812"/>
    <w:rsid w:val="003E5089"/>
    <w:rsid w:val="003E57B6"/>
    <w:rsid w:val="003E5CC9"/>
    <w:rsid w:val="003E6E1A"/>
    <w:rsid w:val="003F080A"/>
    <w:rsid w:val="003F0F9D"/>
    <w:rsid w:val="003F1111"/>
    <w:rsid w:val="003F19A5"/>
    <w:rsid w:val="003F1D48"/>
    <w:rsid w:val="003F269A"/>
    <w:rsid w:val="003F4151"/>
    <w:rsid w:val="003F4C5C"/>
    <w:rsid w:val="003F58F0"/>
    <w:rsid w:val="003F6627"/>
    <w:rsid w:val="003F6C49"/>
    <w:rsid w:val="003F7825"/>
    <w:rsid w:val="00400504"/>
    <w:rsid w:val="0040280C"/>
    <w:rsid w:val="00402F0F"/>
    <w:rsid w:val="004039E8"/>
    <w:rsid w:val="004060B8"/>
    <w:rsid w:val="004064FF"/>
    <w:rsid w:val="00406A4C"/>
    <w:rsid w:val="00406CA0"/>
    <w:rsid w:val="00410586"/>
    <w:rsid w:val="00411CF6"/>
    <w:rsid w:val="004140F3"/>
    <w:rsid w:val="00414ADD"/>
    <w:rsid w:val="00414DE0"/>
    <w:rsid w:val="0041746B"/>
    <w:rsid w:val="00417B3C"/>
    <w:rsid w:val="00417C89"/>
    <w:rsid w:val="00420CE7"/>
    <w:rsid w:val="00421450"/>
    <w:rsid w:val="004222FF"/>
    <w:rsid w:val="00422BE6"/>
    <w:rsid w:val="0042342F"/>
    <w:rsid w:val="004236F8"/>
    <w:rsid w:val="00423DA5"/>
    <w:rsid w:val="00423E91"/>
    <w:rsid w:val="0042447F"/>
    <w:rsid w:val="00425E90"/>
    <w:rsid w:val="00425FF5"/>
    <w:rsid w:val="0042659C"/>
    <w:rsid w:val="00426DE1"/>
    <w:rsid w:val="00427850"/>
    <w:rsid w:val="00427EE0"/>
    <w:rsid w:val="00430807"/>
    <w:rsid w:val="00430883"/>
    <w:rsid w:val="00430B1F"/>
    <w:rsid w:val="00430C27"/>
    <w:rsid w:val="00431106"/>
    <w:rsid w:val="004319A6"/>
    <w:rsid w:val="004333A1"/>
    <w:rsid w:val="00434F31"/>
    <w:rsid w:val="00440312"/>
    <w:rsid w:val="00440F4B"/>
    <w:rsid w:val="00441AB5"/>
    <w:rsid w:val="00441AE3"/>
    <w:rsid w:val="004429E0"/>
    <w:rsid w:val="00442E65"/>
    <w:rsid w:val="004433AB"/>
    <w:rsid w:val="00443BC7"/>
    <w:rsid w:val="00444471"/>
    <w:rsid w:val="00445F9A"/>
    <w:rsid w:val="00446FF6"/>
    <w:rsid w:val="0044731E"/>
    <w:rsid w:val="004479DA"/>
    <w:rsid w:val="00447D0B"/>
    <w:rsid w:val="00450098"/>
    <w:rsid w:val="00450397"/>
    <w:rsid w:val="00451636"/>
    <w:rsid w:val="00451B9E"/>
    <w:rsid w:val="004521FD"/>
    <w:rsid w:val="0045424E"/>
    <w:rsid w:val="00455A76"/>
    <w:rsid w:val="00455D9B"/>
    <w:rsid w:val="00455FD5"/>
    <w:rsid w:val="00456544"/>
    <w:rsid w:val="0045658F"/>
    <w:rsid w:val="00460205"/>
    <w:rsid w:val="0046062B"/>
    <w:rsid w:val="00460F1A"/>
    <w:rsid w:val="00461461"/>
    <w:rsid w:val="004627EA"/>
    <w:rsid w:val="00463331"/>
    <w:rsid w:val="004637B9"/>
    <w:rsid w:val="0046380B"/>
    <w:rsid w:val="00463FD4"/>
    <w:rsid w:val="004643DF"/>
    <w:rsid w:val="00464AD3"/>
    <w:rsid w:val="00464F47"/>
    <w:rsid w:val="00466217"/>
    <w:rsid w:val="00470262"/>
    <w:rsid w:val="00470AF0"/>
    <w:rsid w:val="00472227"/>
    <w:rsid w:val="00472B94"/>
    <w:rsid w:val="00473FFE"/>
    <w:rsid w:val="0047516F"/>
    <w:rsid w:val="00475BF0"/>
    <w:rsid w:val="00476071"/>
    <w:rsid w:val="00476565"/>
    <w:rsid w:val="00476893"/>
    <w:rsid w:val="00476AF8"/>
    <w:rsid w:val="00476B78"/>
    <w:rsid w:val="00484096"/>
    <w:rsid w:val="004840C1"/>
    <w:rsid w:val="004841F0"/>
    <w:rsid w:val="00484EDB"/>
    <w:rsid w:val="00485C6A"/>
    <w:rsid w:val="00485F42"/>
    <w:rsid w:val="00487A9D"/>
    <w:rsid w:val="00492F6F"/>
    <w:rsid w:val="00493BC7"/>
    <w:rsid w:val="004942A0"/>
    <w:rsid w:val="004967DD"/>
    <w:rsid w:val="0049715E"/>
    <w:rsid w:val="004A0052"/>
    <w:rsid w:val="004A0CB9"/>
    <w:rsid w:val="004A0EE9"/>
    <w:rsid w:val="004A151C"/>
    <w:rsid w:val="004A311F"/>
    <w:rsid w:val="004A370F"/>
    <w:rsid w:val="004A3A43"/>
    <w:rsid w:val="004A43DD"/>
    <w:rsid w:val="004A503F"/>
    <w:rsid w:val="004A5BAB"/>
    <w:rsid w:val="004A7D07"/>
    <w:rsid w:val="004B0CAF"/>
    <w:rsid w:val="004B1405"/>
    <w:rsid w:val="004B28B2"/>
    <w:rsid w:val="004B4E54"/>
    <w:rsid w:val="004C0767"/>
    <w:rsid w:val="004C0DB8"/>
    <w:rsid w:val="004C1339"/>
    <w:rsid w:val="004C1F2D"/>
    <w:rsid w:val="004C28D0"/>
    <w:rsid w:val="004C33AF"/>
    <w:rsid w:val="004C369E"/>
    <w:rsid w:val="004C6588"/>
    <w:rsid w:val="004D0FB3"/>
    <w:rsid w:val="004D2B13"/>
    <w:rsid w:val="004D2EE4"/>
    <w:rsid w:val="004D4499"/>
    <w:rsid w:val="004D4ACD"/>
    <w:rsid w:val="004D53A6"/>
    <w:rsid w:val="004D5922"/>
    <w:rsid w:val="004D65C3"/>
    <w:rsid w:val="004E0159"/>
    <w:rsid w:val="004E0518"/>
    <w:rsid w:val="004E0D19"/>
    <w:rsid w:val="004E30BD"/>
    <w:rsid w:val="004E3A5D"/>
    <w:rsid w:val="004E4015"/>
    <w:rsid w:val="004E4602"/>
    <w:rsid w:val="004E4A4C"/>
    <w:rsid w:val="004E52B8"/>
    <w:rsid w:val="004E53BC"/>
    <w:rsid w:val="004E542F"/>
    <w:rsid w:val="004E7471"/>
    <w:rsid w:val="004E7676"/>
    <w:rsid w:val="004E7EF9"/>
    <w:rsid w:val="004F0111"/>
    <w:rsid w:val="004F0C33"/>
    <w:rsid w:val="004F0F7E"/>
    <w:rsid w:val="004F1E09"/>
    <w:rsid w:val="004F21B3"/>
    <w:rsid w:val="004F251E"/>
    <w:rsid w:val="004F2D8D"/>
    <w:rsid w:val="004F31FE"/>
    <w:rsid w:val="004F3457"/>
    <w:rsid w:val="004F45C2"/>
    <w:rsid w:val="004F4C65"/>
    <w:rsid w:val="004F5C2F"/>
    <w:rsid w:val="004F61EA"/>
    <w:rsid w:val="0050091C"/>
    <w:rsid w:val="00500A01"/>
    <w:rsid w:val="00500D4B"/>
    <w:rsid w:val="005022B9"/>
    <w:rsid w:val="005025D9"/>
    <w:rsid w:val="00502943"/>
    <w:rsid w:val="00502FD4"/>
    <w:rsid w:val="00503A0F"/>
    <w:rsid w:val="00504BD7"/>
    <w:rsid w:val="00505FF5"/>
    <w:rsid w:val="00506176"/>
    <w:rsid w:val="00506E9D"/>
    <w:rsid w:val="005079AE"/>
    <w:rsid w:val="00507BF8"/>
    <w:rsid w:val="00507DA7"/>
    <w:rsid w:val="00507FCB"/>
    <w:rsid w:val="0051036C"/>
    <w:rsid w:val="0051100F"/>
    <w:rsid w:val="005110B9"/>
    <w:rsid w:val="0051200F"/>
    <w:rsid w:val="0051203A"/>
    <w:rsid w:val="00512AD5"/>
    <w:rsid w:val="005131AD"/>
    <w:rsid w:val="00514109"/>
    <w:rsid w:val="00514ECE"/>
    <w:rsid w:val="005177B3"/>
    <w:rsid w:val="00517F36"/>
    <w:rsid w:val="0052062F"/>
    <w:rsid w:val="00520862"/>
    <w:rsid w:val="005220A3"/>
    <w:rsid w:val="005240AC"/>
    <w:rsid w:val="005254FC"/>
    <w:rsid w:val="00527178"/>
    <w:rsid w:val="005300AD"/>
    <w:rsid w:val="00530BC4"/>
    <w:rsid w:val="005318E7"/>
    <w:rsid w:val="00534568"/>
    <w:rsid w:val="00535440"/>
    <w:rsid w:val="00537D26"/>
    <w:rsid w:val="00541406"/>
    <w:rsid w:val="00541E70"/>
    <w:rsid w:val="005423E1"/>
    <w:rsid w:val="00544621"/>
    <w:rsid w:val="0054780F"/>
    <w:rsid w:val="00547B3F"/>
    <w:rsid w:val="00550189"/>
    <w:rsid w:val="0055021A"/>
    <w:rsid w:val="00550D6F"/>
    <w:rsid w:val="005520DF"/>
    <w:rsid w:val="00553805"/>
    <w:rsid w:val="0055596A"/>
    <w:rsid w:val="00556C82"/>
    <w:rsid w:val="00557235"/>
    <w:rsid w:val="005572CD"/>
    <w:rsid w:val="005579E5"/>
    <w:rsid w:val="0056022A"/>
    <w:rsid w:val="005624AC"/>
    <w:rsid w:val="005625FB"/>
    <w:rsid w:val="0056298F"/>
    <w:rsid w:val="00562EB2"/>
    <w:rsid w:val="005634ED"/>
    <w:rsid w:val="00563F4C"/>
    <w:rsid w:val="00564876"/>
    <w:rsid w:val="0056534A"/>
    <w:rsid w:val="00566530"/>
    <w:rsid w:val="005666D6"/>
    <w:rsid w:val="00566FE7"/>
    <w:rsid w:val="0057025F"/>
    <w:rsid w:val="00570612"/>
    <w:rsid w:val="00570659"/>
    <w:rsid w:val="0057100A"/>
    <w:rsid w:val="005725C5"/>
    <w:rsid w:val="005736A2"/>
    <w:rsid w:val="0057390B"/>
    <w:rsid w:val="00574791"/>
    <w:rsid w:val="005757C8"/>
    <w:rsid w:val="00575F0C"/>
    <w:rsid w:val="00576192"/>
    <w:rsid w:val="00576D76"/>
    <w:rsid w:val="00577E20"/>
    <w:rsid w:val="005806AC"/>
    <w:rsid w:val="00580FA0"/>
    <w:rsid w:val="00583002"/>
    <w:rsid w:val="005833C0"/>
    <w:rsid w:val="005843FF"/>
    <w:rsid w:val="00584E57"/>
    <w:rsid w:val="005858B4"/>
    <w:rsid w:val="00586366"/>
    <w:rsid w:val="00587907"/>
    <w:rsid w:val="00587DB5"/>
    <w:rsid w:val="005914F5"/>
    <w:rsid w:val="005918E9"/>
    <w:rsid w:val="005922BA"/>
    <w:rsid w:val="00594838"/>
    <w:rsid w:val="00597CC0"/>
    <w:rsid w:val="00597D31"/>
    <w:rsid w:val="005A0449"/>
    <w:rsid w:val="005A1D28"/>
    <w:rsid w:val="005A3DA5"/>
    <w:rsid w:val="005A44B1"/>
    <w:rsid w:val="005A495E"/>
    <w:rsid w:val="005A4AB2"/>
    <w:rsid w:val="005A52D1"/>
    <w:rsid w:val="005A5A90"/>
    <w:rsid w:val="005A6992"/>
    <w:rsid w:val="005B19F4"/>
    <w:rsid w:val="005B45BC"/>
    <w:rsid w:val="005B5BC0"/>
    <w:rsid w:val="005B76BE"/>
    <w:rsid w:val="005B7879"/>
    <w:rsid w:val="005C1AB8"/>
    <w:rsid w:val="005C21FB"/>
    <w:rsid w:val="005C2448"/>
    <w:rsid w:val="005C2C67"/>
    <w:rsid w:val="005C38DF"/>
    <w:rsid w:val="005C4B52"/>
    <w:rsid w:val="005C6462"/>
    <w:rsid w:val="005C6785"/>
    <w:rsid w:val="005C7426"/>
    <w:rsid w:val="005D2C59"/>
    <w:rsid w:val="005D6B16"/>
    <w:rsid w:val="005D7625"/>
    <w:rsid w:val="005D7B16"/>
    <w:rsid w:val="005D7C83"/>
    <w:rsid w:val="005E1F32"/>
    <w:rsid w:val="005E47BC"/>
    <w:rsid w:val="005E4D7B"/>
    <w:rsid w:val="005E5DC7"/>
    <w:rsid w:val="005E61C4"/>
    <w:rsid w:val="005F0025"/>
    <w:rsid w:val="005F0A2D"/>
    <w:rsid w:val="005F1276"/>
    <w:rsid w:val="005F2E1F"/>
    <w:rsid w:val="005F31AB"/>
    <w:rsid w:val="005F41D2"/>
    <w:rsid w:val="005F42D1"/>
    <w:rsid w:val="005F52D8"/>
    <w:rsid w:val="005F5569"/>
    <w:rsid w:val="005F5D21"/>
    <w:rsid w:val="005F718F"/>
    <w:rsid w:val="006003F6"/>
    <w:rsid w:val="0060088E"/>
    <w:rsid w:val="00601834"/>
    <w:rsid w:val="006018B2"/>
    <w:rsid w:val="0060268B"/>
    <w:rsid w:val="006079FB"/>
    <w:rsid w:val="00610447"/>
    <w:rsid w:val="00610650"/>
    <w:rsid w:val="00611C56"/>
    <w:rsid w:val="00611EBD"/>
    <w:rsid w:val="006127A7"/>
    <w:rsid w:val="00613907"/>
    <w:rsid w:val="00613BCD"/>
    <w:rsid w:val="00613DFD"/>
    <w:rsid w:val="00614546"/>
    <w:rsid w:val="00620082"/>
    <w:rsid w:val="00620111"/>
    <w:rsid w:val="0062146B"/>
    <w:rsid w:val="00621A29"/>
    <w:rsid w:val="006223C6"/>
    <w:rsid w:val="006234D0"/>
    <w:rsid w:val="00623B26"/>
    <w:rsid w:val="006248A2"/>
    <w:rsid w:val="0062605B"/>
    <w:rsid w:val="00626484"/>
    <w:rsid w:val="00626A45"/>
    <w:rsid w:val="00626B1D"/>
    <w:rsid w:val="00627784"/>
    <w:rsid w:val="006320BD"/>
    <w:rsid w:val="00632D93"/>
    <w:rsid w:val="0063398D"/>
    <w:rsid w:val="00634278"/>
    <w:rsid w:val="00634470"/>
    <w:rsid w:val="00634940"/>
    <w:rsid w:val="006355CA"/>
    <w:rsid w:val="00635BB5"/>
    <w:rsid w:val="006364EF"/>
    <w:rsid w:val="00636A3A"/>
    <w:rsid w:val="00636A72"/>
    <w:rsid w:val="00636B7E"/>
    <w:rsid w:val="006408F6"/>
    <w:rsid w:val="00640DD1"/>
    <w:rsid w:val="006410B6"/>
    <w:rsid w:val="0064230A"/>
    <w:rsid w:val="006425E9"/>
    <w:rsid w:val="00642B73"/>
    <w:rsid w:val="00643603"/>
    <w:rsid w:val="00643810"/>
    <w:rsid w:val="006457A2"/>
    <w:rsid w:val="00646B11"/>
    <w:rsid w:val="00646B54"/>
    <w:rsid w:val="00647A06"/>
    <w:rsid w:val="00650BC0"/>
    <w:rsid w:val="00650F22"/>
    <w:rsid w:val="006518E3"/>
    <w:rsid w:val="00651A40"/>
    <w:rsid w:val="00654365"/>
    <w:rsid w:val="00654DDB"/>
    <w:rsid w:val="0065510D"/>
    <w:rsid w:val="00655189"/>
    <w:rsid w:val="006551DE"/>
    <w:rsid w:val="00655588"/>
    <w:rsid w:val="0065566B"/>
    <w:rsid w:val="006563CD"/>
    <w:rsid w:val="0065667E"/>
    <w:rsid w:val="0065702E"/>
    <w:rsid w:val="006576FD"/>
    <w:rsid w:val="00660D60"/>
    <w:rsid w:val="006628E4"/>
    <w:rsid w:val="00663381"/>
    <w:rsid w:val="0066366B"/>
    <w:rsid w:val="0066407F"/>
    <w:rsid w:val="00664FD2"/>
    <w:rsid w:val="00665458"/>
    <w:rsid w:val="00667067"/>
    <w:rsid w:val="0066780A"/>
    <w:rsid w:val="006703B2"/>
    <w:rsid w:val="0067211C"/>
    <w:rsid w:val="006728CD"/>
    <w:rsid w:val="00674DBC"/>
    <w:rsid w:val="00675041"/>
    <w:rsid w:val="00675C46"/>
    <w:rsid w:val="00675E18"/>
    <w:rsid w:val="0067790D"/>
    <w:rsid w:val="006779C5"/>
    <w:rsid w:val="00677A6E"/>
    <w:rsid w:val="00680441"/>
    <w:rsid w:val="00680A07"/>
    <w:rsid w:val="00680EE3"/>
    <w:rsid w:val="00681C7F"/>
    <w:rsid w:val="006822FE"/>
    <w:rsid w:val="006829CA"/>
    <w:rsid w:val="00683373"/>
    <w:rsid w:val="00683E8E"/>
    <w:rsid w:val="00684099"/>
    <w:rsid w:val="00685851"/>
    <w:rsid w:val="00685FDA"/>
    <w:rsid w:val="00686465"/>
    <w:rsid w:val="00686965"/>
    <w:rsid w:val="00690DE8"/>
    <w:rsid w:val="00691740"/>
    <w:rsid w:val="00692731"/>
    <w:rsid w:val="00693A17"/>
    <w:rsid w:val="00694239"/>
    <w:rsid w:val="00696DF6"/>
    <w:rsid w:val="00697DE1"/>
    <w:rsid w:val="006A0A38"/>
    <w:rsid w:val="006A2917"/>
    <w:rsid w:val="006A466E"/>
    <w:rsid w:val="006A4FAC"/>
    <w:rsid w:val="006A561F"/>
    <w:rsid w:val="006A6045"/>
    <w:rsid w:val="006A621C"/>
    <w:rsid w:val="006A765D"/>
    <w:rsid w:val="006B25BB"/>
    <w:rsid w:val="006B26CF"/>
    <w:rsid w:val="006B3B82"/>
    <w:rsid w:val="006B4068"/>
    <w:rsid w:val="006B4081"/>
    <w:rsid w:val="006B44BB"/>
    <w:rsid w:val="006B615F"/>
    <w:rsid w:val="006B6816"/>
    <w:rsid w:val="006B6FC4"/>
    <w:rsid w:val="006B7740"/>
    <w:rsid w:val="006C017F"/>
    <w:rsid w:val="006C08AC"/>
    <w:rsid w:val="006C208D"/>
    <w:rsid w:val="006C244F"/>
    <w:rsid w:val="006C34FE"/>
    <w:rsid w:val="006C5936"/>
    <w:rsid w:val="006C5EB1"/>
    <w:rsid w:val="006C60F8"/>
    <w:rsid w:val="006C6114"/>
    <w:rsid w:val="006C665C"/>
    <w:rsid w:val="006C6E10"/>
    <w:rsid w:val="006D0844"/>
    <w:rsid w:val="006D0B85"/>
    <w:rsid w:val="006D28B9"/>
    <w:rsid w:val="006D2F55"/>
    <w:rsid w:val="006D393C"/>
    <w:rsid w:val="006D4188"/>
    <w:rsid w:val="006D4CE9"/>
    <w:rsid w:val="006D4E0A"/>
    <w:rsid w:val="006D516C"/>
    <w:rsid w:val="006D781A"/>
    <w:rsid w:val="006E0A15"/>
    <w:rsid w:val="006E0BB0"/>
    <w:rsid w:val="006E1381"/>
    <w:rsid w:val="006E39CB"/>
    <w:rsid w:val="006E3F2A"/>
    <w:rsid w:val="006E4975"/>
    <w:rsid w:val="006E49AA"/>
    <w:rsid w:val="006E53CE"/>
    <w:rsid w:val="006E56AA"/>
    <w:rsid w:val="006F083C"/>
    <w:rsid w:val="006F0C79"/>
    <w:rsid w:val="006F136B"/>
    <w:rsid w:val="006F18BA"/>
    <w:rsid w:val="006F1D76"/>
    <w:rsid w:val="006F1D7B"/>
    <w:rsid w:val="006F22F0"/>
    <w:rsid w:val="006F426B"/>
    <w:rsid w:val="006F6347"/>
    <w:rsid w:val="007003EA"/>
    <w:rsid w:val="007005A4"/>
    <w:rsid w:val="00700A17"/>
    <w:rsid w:val="00701810"/>
    <w:rsid w:val="00704C8B"/>
    <w:rsid w:val="0070531A"/>
    <w:rsid w:val="00707029"/>
    <w:rsid w:val="00707204"/>
    <w:rsid w:val="00707963"/>
    <w:rsid w:val="007115AA"/>
    <w:rsid w:val="007117D7"/>
    <w:rsid w:val="00711D43"/>
    <w:rsid w:val="00712FAC"/>
    <w:rsid w:val="00712FD7"/>
    <w:rsid w:val="00713106"/>
    <w:rsid w:val="00716350"/>
    <w:rsid w:val="0071735E"/>
    <w:rsid w:val="00722FB0"/>
    <w:rsid w:val="007232D7"/>
    <w:rsid w:val="007235C7"/>
    <w:rsid w:val="00723C34"/>
    <w:rsid w:val="00724BAC"/>
    <w:rsid w:val="00725486"/>
    <w:rsid w:val="00725E78"/>
    <w:rsid w:val="00726E16"/>
    <w:rsid w:val="0072756C"/>
    <w:rsid w:val="0072759B"/>
    <w:rsid w:val="0073192B"/>
    <w:rsid w:val="00732430"/>
    <w:rsid w:val="00732742"/>
    <w:rsid w:val="00733147"/>
    <w:rsid w:val="00735B6A"/>
    <w:rsid w:val="0073686E"/>
    <w:rsid w:val="00736AFE"/>
    <w:rsid w:val="00737E80"/>
    <w:rsid w:val="00740D1A"/>
    <w:rsid w:val="00741754"/>
    <w:rsid w:val="007422F2"/>
    <w:rsid w:val="00742E8A"/>
    <w:rsid w:val="00742FB5"/>
    <w:rsid w:val="00744274"/>
    <w:rsid w:val="007442E4"/>
    <w:rsid w:val="00744F97"/>
    <w:rsid w:val="007457C3"/>
    <w:rsid w:val="00746524"/>
    <w:rsid w:val="00747E6B"/>
    <w:rsid w:val="00747E95"/>
    <w:rsid w:val="007502D0"/>
    <w:rsid w:val="00750F70"/>
    <w:rsid w:val="00751301"/>
    <w:rsid w:val="00751ADD"/>
    <w:rsid w:val="007524C8"/>
    <w:rsid w:val="00752518"/>
    <w:rsid w:val="0075271A"/>
    <w:rsid w:val="007535D6"/>
    <w:rsid w:val="00753F30"/>
    <w:rsid w:val="007540FB"/>
    <w:rsid w:val="0075533C"/>
    <w:rsid w:val="00755CD6"/>
    <w:rsid w:val="0075691B"/>
    <w:rsid w:val="00756B8E"/>
    <w:rsid w:val="0075756D"/>
    <w:rsid w:val="00757EFA"/>
    <w:rsid w:val="007601E0"/>
    <w:rsid w:val="00760577"/>
    <w:rsid w:val="0076172D"/>
    <w:rsid w:val="0076216D"/>
    <w:rsid w:val="00762EF0"/>
    <w:rsid w:val="0076302F"/>
    <w:rsid w:val="00765A4C"/>
    <w:rsid w:val="00766B93"/>
    <w:rsid w:val="00767C23"/>
    <w:rsid w:val="00771755"/>
    <w:rsid w:val="0077285A"/>
    <w:rsid w:val="0077436B"/>
    <w:rsid w:val="00774E64"/>
    <w:rsid w:val="00774EE3"/>
    <w:rsid w:val="0077574E"/>
    <w:rsid w:val="00781239"/>
    <w:rsid w:val="007819FD"/>
    <w:rsid w:val="00781AC2"/>
    <w:rsid w:val="00784D05"/>
    <w:rsid w:val="007851F3"/>
    <w:rsid w:val="0078576D"/>
    <w:rsid w:val="00785A86"/>
    <w:rsid w:val="00786928"/>
    <w:rsid w:val="00787A36"/>
    <w:rsid w:val="00787BF3"/>
    <w:rsid w:val="00791A5F"/>
    <w:rsid w:val="00792041"/>
    <w:rsid w:val="0079231A"/>
    <w:rsid w:val="0079374A"/>
    <w:rsid w:val="00794030"/>
    <w:rsid w:val="00794208"/>
    <w:rsid w:val="00796E5B"/>
    <w:rsid w:val="007979DF"/>
    <w:rsid w:val="007A02FB"/>
    <w:rsid w:val="007A1990"/>
    <w:rsid w:val="007A2A5C"/>
    <w:rsid w:val="007A2A93"/>
    <w:rsid w:val="007A2D0A"/>
    <w:rsid w:val="007A3B12"/>
    <w:rsid w:val="007A4187"/>
    <w:rsid w:val="007A58FB"/>
    <w:rsid w:val="007A676E"/>
    <w:rsid w:val="007A6B37"/>
    <w:rsid w:val="007A6BB2"/>
    <w:rsid w:val="007A7BFC"/>
    <w:rsid w:val="007B06F1"/>
    <w:rsid w:val="007B31D9"/>
    <w:rsid w:val="007B6C35"/>
    <w:rsid w:val="007B6F3D"/>
    <w:rsid w:val="007B7456"/>
    <w:rsid w:val="007C26A8"/>
    <w:rsid w:val="007C34F0"/>
    <w:rsid w:val="007C3EC8"/>
    <w:rsid w:val="007C47DD"/>
    <w:rsid w:val="007C489D"/>
    <w:rsid w:val="007C4991"/>
    <w:rsid w:val="007C4BDF"/>
    <w:rsid w:val="007C5460"/>
    <w:rsid w:val="007D0DE7"/>
    <w:rsid w:val="007D115C"/>
    <w:rsid w:val="007D11B9"/>
    <w:rsid w:val="007D18B1"/>
    <w:rsid w:val="007D1B90"/>
    <w:rsid w:val="007D1F16"/>
    <w:rsid w:val="007D316D"/>
    <w:rsid w:val="007D31C7"/>
    <w:rsid w:val="007D4845"/>
    <w:rsid w:val="007D5D43"/>
    <w:rsid w:val="007D797D"/>
    <w:rsid w:val="007E19B2"/>
    <w:rsid w:val="007E241B"/>
    <w:rsid w:val="007E2863"/>
    <w:rsid w:val="007E29C1"/>
    <w:rsid w:val="007E2EDD"/>
    <w:rsid w:val="007E3680"/>
    <w:rsid w:val="007E394E"/>
    <w:rsid w:val="007E477E"/>
    <w:rsid w:val="007E516B"/>
    <w:rsid w:val="007E5D00"/>
    <w:rsid w:val="007E5D72"/>
    <w:rsid w:val="007E625C"/>
    <w:rsid w:val="007E6660"/>
    <w:rsid w:val="007E672A"/>
    <w:rsid w:val="007E720C"/>
    <w:rsid w:val="007E7356"/>
    <w:rsid w:val="007E73A7"/>
    <w:rsid w:val="007E7C99"/>
    <w:rsid w:val="007E7EE7"/>
    <w:rsid w:val="007F06F7"/>
    <w:rsid w:val="007F0CFF"/>
    <w:rsid w:val="007F2404"/>
    <w:rsid w:val="007F2FEE"/>
    <w:rsid w:val="007F3CA5"/>
    <w:rsid w:val="007F3DB2"/>
    <w:rsid w:val="007F4598"/>
    <w:rsid w:val="007F4763"/>
    <w:rsid w:val="007F4890"/>
    <w:rsid w:val="007F5F09"/>
    <w:rsid w:val="007F6139"/>
    <w:rsid w:val="007F6D7B"/>
    <w:rsid w:val="007F77D8"/>
    <w:rsid w:val="008003BB"/>
    <w:rsid w:val="00801636"/>
    <w:rsid w:val="008020C6"/>
    <w:rsid w:val="008025B1"/>
    <w:rsid w:val="008025E8"/>
    <w:rsid w:val="008050EE"/>
    <w:rsid w:val="008061E5"/>
    <w:rsid w:val="00810867"/>
    <w:rsid w:val="00810A85"/>
    <w:rsid w:val="00812DE0"/>
    <w:rsid w:val="008134E9"/>
    <w:rsid w:val="008141A1"/>
    <w:rsid w:val="00814C50"/>
    <w:rsid w:val="0081642D"/>
    <w:rsid w:val="00817CEB"/>
    <w:rsid w:val="00820258"/>
    <w:rsid w:val="008218BA"/>
    <w:rsid w:val="008264F3"/>
    <w:rsid w:val="008266CF"/>
    <w:rsid w:val="00826A8F"/>
    <w:rsid w:val="00827133"/>
    <w:rsid w:val="0082730C"/>
    <w:rsid w:val="00830A5B"/>
    <w:rsid w:val="00833257"/>
    <w:rsid w:val="00833292"/>
    <w:rsid w:val="008334BD"/>
    <w:rsid w:val="0083388E"/>
    <w:rsid w:val="00833F88"/>
    <w:rsid w:val="008354FD"/>
    <w:rsid w:val="00836B74"/>
    <w:rsid w:val="00840C15"/>
    <w:rsid w:val="00841DFC"/>
    <w:rsid w:val="00842BA5"/>
    <w:rsid w:val="00844C7B"/>
    <w:rsid w:val="008452A1"/>
    <w:rsid w:val="008452F9"/>
    <w:rsid w:val="00846EED"/>
    <w:rsid w:val="00847C45"/>
    <w:rsid w:val="0085082D"/>
    <w:rsid w:val="00850EB8"/>
    <w:rsid w:val="008523FD"/>
    <w:rsid w:val="00852DB7"/>
    <w:rsid w:val="008542DA"/>
    <w:rsid w:val="008548D1"/>
    <w:rsid w:val="0085542C"/>
    <w:rsid w:val="0085640E"/>
    <w:rsid w:val="00857C0C"/>
    <w:rsid w:val="0086015B"/>
    <w:rsid w:val="00860852"/>
    <w:rsid w:val="008617B4"/>
    <w:rsid w:val="008627ED"/>
    <w:rsid w:val="00862AF0"/>
    <w:rsid w:val="008636FF"/>
    <w:rsid w:val="00863880"/>
    <w:rsid w:val="008640D1"/>
    <w:rsid w:val="00864B26"/>
    <w:rsid w:val="0086537E"/>
    <w:rsid w:val="00866AC6"/>
    <w:rsid w:val="008676A6"/>
    <w:rsid w:val="00867FD2"/>
    <w:rsid w:val="008711B5"/>
    <w:rsid w:val="008711C7"/>
    <w:rsid w:val="0087131C"/>
    <w:rsid w:val="008713CE"/>
    <w:rsid w:val="008717D5"/>
    <w:rsid w:val="0087222D"/>
    <w:rsid w:val="00873A3D"/>
    <w:rsid w:val="0087643C"/>
    <w:rsid w:val="008771D5"/>
    <w:rsid w:val="0087720E"/>
    <w:rsid w:val="00883B4A"/>
    <w:rsid w:val="00883E03"/>
    <w:rsid w:val="008844ED"/>
    <w:rsid w:val="008853D4"/>
    <w:rsid w:val="00887683"/>
    <w:rsid w:val="00887A8B"/>
    <w:rsid w:val="008901D3"/>
    <w:rsid w:val="00890951"/>
    <w:rsid w:val="00890E68"/>
    <w:rsid w:val="008913C1"/>
    <w:rsid w:val="00892BD7"/>
    <w:rsid w:val="00892F80"/>
    <w:rsid w:val="008940B0"/>
    <w:rsid w:val="008944AF"/>
    <w:rsid w:val="00894B70"/>
    <w:rsid w:val="00894CDB"/>
    <w:rsid w:val="00894F71"/>
    <w:rsid w:val="00897050"/>
    <w:rsid w:val="00897500"/>
    <w:rsid w:val="008A1CE1"/>
    <w:rsid w:val="008A2164"/>
    <w:rsid w:val="008A260F"/>
    <w:rsid w:val="008A2C8A"/>
    <w:rsid w:val="008A2FF0"/>
    <w:rsid w:val="008A353A"/>
    <w:rsid w:val="008A4F8D"/>
    <w:rsid w:val="008A5F5B"/>
    <w:rsid w:val="008A678B"/>
    <w:rsid w:val="008A7261"/>
    <w:rsid w:val="008A768A"/>
    <w:rsid w:val="008B13E3"/>
    <w:rsid w:val="008B1675"/>
    <w:rsid w:val="008B1BEA"/>
    <w:rsid w:val="008B238E"/>
    <w:rsid w:val="008B28E3"/>
    <w:rsid w:val="008B2C1F"/>
    <w:rsid w:val="008B394B"/>
    <w:rsid w:val="008B546B"/>
    <w:rsid w:val="008B62BA"/>
    <w:rsid w:val="008B7EE0"/>
    <w:rsid w:val="008C108D"/>
    <w:rsid w:val="008C32B3"/>
    <w:rsid w:val="008C36B5"/>
    <w:rsid w:val="008C4F17"/>
    <w:rsid w:val="008C7F77"/>
    <w:rsid w:val="008D0A88"/>
    <w:rsid w:val="008D0FA9"/>
    <w:rsid w:val="008D1F6B"/>
    <w:rsid w:val="008D1F72"/>
    <w:rsid w:val="008D296A"/>
    <w:rsid w:val="008D37AD"/>
    <w:rsid w:val="008D3B93"/>
    <w:rsid w:val="008D5355"/>
    <w:rsid w:val="008D59C0"/>
    <w:rsid w:val="008D7A36"/>
    <w:rsid w:val="008E079D"/>
    <w:rsid w:val="008E127A"/>
    <w:rsid w:val="008E2EDD"/>
    <w:rsid w:val="008E42CC"/>
    <w:rsid w:val="008E5681"/>
    <w:rsid w:val="008E58D7"/>
    <w:rsid w:val="008E594B"/>
    <w:rsid w:val="008E6EAF"/>
    <w:rsid w:val="008E747D"/>
    <w:rsid w:val="008F0E52"/>
    <w:rsid w:val="008F1451"/>
    <w:rsid w:val="008F2A13"/>
    <w:rsid w:val="008F5700"/>
    <w:rsid w:val="008F686A"/>
    <w:rsid w:val="008F76B0"/>
    <w:rsid w:val="00901177"/>
    <w:rsid w:val="009025D1"/>
    <w:rsid w:val="00902846"/>
    <w:rsid w:val="00902FFF"/>
    <w:rsid w:val="009035E9"/>
    <w:rsid w:val="0090435A"/>
    <w:rsid w:val="00904702"/>
    <w:rsid w:val="00905124"/>
    <w:rsid w:val="00907121"/>
    <w:rsid w:val="009071DC"/>
    <w:rsid w:val="0090729E"/>
    <w:rsid w:val="0091015F"/>
    <w:rsid w:val="00910390"/>
    <w:rsid w:val="009108C6"/>
    <w:rsid w:val="009124DD"/>
    <w:rsid w:val="009124E7"/>
    <w:rsid w:val="0091285B"/>
    <w:rsid w:val="00912B56"/>
    <w:rsid w:val="00914AA7"/>
    <w:rsid w:val="00920299"/>
    <w:rsid w:val="00921704"/>
    <w:rsid w:val="00922498"/>
    <w:rsid w:val="0092489F"/>
    <w:rsid w:val="00924BBE"/>
    <w:rsid w:val="00926428"/>
    <w:rsid w:val="0093053E"/>
    <w:rsid w:val="009307F5"/>
    <w:rsid w:val="0093139C"/>
    <w:rsid w:val="00931DC9"/>
    <w:rsid w:val="00932061"/>
    <w:rsid w:val="00932580"/>
    <w:rsid w:val="009330EE"/>
    <w:rsid w:val="00933FC4"/>
    <w:rsid w:val="00934089"/>
    <w:rsid w:val="009348A2"/>
    <w:rsid w:val="00935B2D"/>
    <w:rsid w:val="009364A4"/>
    <w:rsid w:val="009368A5"/>
    <w:rsid w:val="009407AE"/>
    <w:rsid w:val="0094216C"/>
    <w:rsid w:val="00943C9A"/>
    <w:rsid w:val="0094444B"/>
    <w:rsid w:val="0094468C"/>
    <w:rsid w:val="009449D0"/>
    <w:rsid w:val="00944E15"/>
    <w:rsid w:val="009455DF"/>
    <w:rsid w:val="009462FC"/>
    <w:rsid w:val="0094748B"/>
    <w:rsid w:val="00950627"/>
    <w:rsid w:val="009515BF"/>
    <w:rsid w:val="00953548"/>
    <w:rsid w:val="00955288"/>
    <w:rsid w:val="00956498"/>
    <w:rsid w:val="00956B8D"/>
    <w:rsid w:val="00956C78"/>
    <w:rsid w:val="00960627"/>
    <w:rsid w:val="00960646"/>
    <w:rsid w:val="009613AC"/>
    <w:rsid w:val="00961473"/>
    <w:rsid w:val="00961E87"/>
    <w:rsid w:val="009621C4"/>
    <w:rsid w:val="0096244A"/>
    <w:rsid w:val="0096395C"/>
    <w:rsid w:val="009641E9"/>
    <w:rsid w:val="0096603E"/>
    <w:rsid w:val="00970381"/>
    <w:rsid w:val="00971CD8"/>
    <w:rsid w:val="0097208D"/>
    <w:rsid w:val="009721C4"/>
    <w:rsid w:val="00972217"/>
    <w:rsid w:val="009726A0"/>
    <w:rsid w:val="00974B44"/>
    <w:rsid w:val="00975B4B"/>
    <w:rsid w:val="0097673F"/>
    <w:rsid w:val="0097683D"/>
    <w:rsid w:val="00976E61"/>
    <w:rsid w:val="00977012"/>
    <w:rsid w:val="00977444"/>
    <w:rsid w:val="0097777C"/>
    <w:rsid w:val="00981F38"/>
    <w:rsid w:val="00982146"/>
    <w:rsid w:val="00983209"/>
    <w:rsid w:val="009843CF"/>
    <w:rsid w:val="00984AA1"/>
    <w:rsid w:val="00985BE9"/>
    <w:rsid w:val="009863F3"/>
    <w:rsid w:val="009905B4"/>
    <w:rsid w:val="00990826"/>
    <w:rsid w:val="00991765"/>
    <w:rsid w:val="0099238A"/>
    <w:rsid w:val="009924B2"/>
    <w:rsid w:val="009936EC"/>
    <w:rsid w:val="0099408A"/>
    <w:rsid w:val="009945F2"/>
    <w:rsid w:val="0099542D"/>
    <w:rsid w:val="009955D6"/>
    <w:rsid w:val="00995E0E"/>
    <w:rsid w:val="0099672B"/>
    <w:rsid w:val="00996D87"/>
    <w:rsid w:val="00997F22"/>
    <w:rsid w:val="009A0321"/>
    <w:rsid w:val="009A032C"/>
    <w:rsid w:val="009A0BC2"/>
    <w:rsid w:val="009A0EFE"/>
    <w:rsid w:val="009A1474"/>
    <w:rsid w:val="009A386A"/>
    <w:rsid w:val="009A3C5E"/>
    <w:rsid w:val="009A54C0"/>
    <w:rsid w:val="009A6822"/>
    <w:rsid w:val="009A7A2C"/>
    <w:rsid w:val="009A7A45"/>
    <w:rsid w:val="009B0BB8"/>
    <w:rsid w:val="009B137C"/>
    <w:rsid w:val="009B258A"/>
    <w:rsid w:val="009B2A13"/>
    <w:rsid w:val="009B2E4F"/>
    <w:rsid w:val="009B31C1"/>
    <w:rsid w:val="009B3499"/>
    <w:rsid w:val="009B376A"/>
    <w:rsid w:val="009B45F2"/>
    <w:rsid w:val="009B506D"/>
    <w:rsid w:val="009B5C21"/>
    <w:rsid w:val="009B5E95"/>
    <w:rsid w:val="009B629D"/>
    <w:rsid w:val="009B6C83"/>
    <w:rsid w:val="009B7997"/>
    <w:rsid w:val="009C017E"/>
    <w:rsid w:val="009C1162"/>
    <w:rsid w:val="009C1434"/>
    <w:rsid w:val="009C177C"/>
    <w:rsid w:val="009C25E1"/>
    <w:rsid w:val="009C30DC"/>
    <w:rsid w:val="009C4159"/>
    <w:rsid w:val="009C49EC"/>
    <w:rsid w:val="009C5B9F"/>
    <w:rsid w:val="009C5DEB"/>
    <w:rsid w:val="009C6ABC"/>
    <w:rsid w:val="009C79DD"/>
    <w:rsid w:val="009D10B5"/>
    <w:rsid w:val="009D16CD"/>
    <w:rsid w:val="009D3F1B"/>
    <w:rsid w:val="009D4C5C"/>
    <w:rsid w:val="009D5247"/>
    <w:rsid w:val="009D5863"/>
    <w:rsid w:val="009D78CB"/>
    <w:rsid w:val="009E08CC"/>
    <w:rsid w:val="009E0CEB"/>
    <w:rsid w:val="009E0F22"/>
    <w:rsid w:val="009E1742"/>
    <w:rsid w:val="009E1AAC"/>
    <w:rsid w:val="009E1E60"/>
    <w:rsid w:val="009E2340"/>
    <w:rsid w:val="009E2CAD"/>
    <w:rsid w:val="009E3116"/>
    <w:rsid w:val="009E3914"/>
    <w:rsid w:val="009F059F"/>
    <w:rsid w:val="009F0BA7"/>
    <w:rsid w:val="009F11B9"/>
    <w:rsid w:val="009F175A"/>
    <w:rsid w:val="009F2702"/>
    <w:rsid w:val="009F2E4B"/>
    <w:rsid w:val="009F3115"/>
    <w:rsid w:val="009F3147"/>
    <w:rsid w:val="009F6D6A"/>
    <w:rsid w:val="009F73BF"/>
    <w:rsid w:val="00A01584"/>
    <w:rsid w:val="00A01C4E"/>
    <w:rsid w:val="00A02FFC"/>
    <w:rsid w:val="00A03BCC"/>
    <w:rsid w:val="00A0408D"/>
    <w:rsid w:val="00A0469E"/>
    <w:rsid w:val="00A057CD"/>
    <w:rsid w:val="00A06109"/>
    <w:rsid w:val="00A061A7"/>
    <w:rsid w:val="00A06567"/>
    <w:rsid w:val="00A07958"/>
    <w:rsid w:val="00A10DE8"/>
    <w:rsid w:val="00A10DF9"/>
    <w:rsid w:val="00A112AD"/>
    <w:rsid w:val="00A11A45"/>
    <w:rsid w:val="00A11CFD"/>
    <w:rsid w:val="00A12655"/>
    <w:rsid w:val="00A127C3"/>
    <w:rsid w:val="00A13784"/>
    <w:rsid w:val="00A14BF1"/>
    <w:rsid w:val="00A15041"/>
    <w:rsid w:val="00A1607A"/>
    <w:rsid w:val="00A16354"/>
    <w:rsid w:val="00A16378"/>
    <w:rsid w:val="00A178C1"/>
    <w:rsid w:val="00A20FD5"/>
    <w:rsid w:val="00A222F3"/>
    <w:rsid w:val="00A23770"/>
    <w:rsid w:val="00A23F13"/>
    <w:rsid w:val="00A25083"/>
    <w:rsid w:val="00A25891"/>
    <w:rsid w:val="00A25D25"/>
    <w:rsid w:val="00A26D08"/>
    <w:rsid w:val="00A27C47"/>
    <w:rsid w:val="00A27E2A"/>
    <w:rsid w:val="00A300C9"/>
    <w:rsid w:val="00A30BBB"/>
    <w:rsid w:val="00A31F04"/>
    <w:rsid w:val="00A321BF"/>
    <w:rsid w:val="00A322C5"/>
    <w:rsid w:val="00A3263E"/>
    <w:rsid w:val="00A32C7F"/>
    <w:rsid w:val="00A33125"/>
    <w:rsid w:val="00A33613"/>
    <w:rsid w:val="00A33865"/>
    <w:rsid w:val="00A347D9"/>
    <w:rsid w:val="00A34E06"/>
    <w:rsid w:val="00A3563A"/>
    <w:rsid w:val="00A359CE"/>
    <w:rsid w:val="00A35DC6"/>
    <w:rsid w:val="00A37066"/>
    <w:rsid w:val="00A40655"/>
    <w:rsid w:val="00A407C7"/>
    <w:rsid w:val="00A40EAF"/>
    <w:rsid w:val="00A41F0B"/>
    <w:rsid w:val="00A424E8"/>
    <w:rsid w:val="00A44B2D"/>
    <w:rsid w:val="00A4546A"/>
    <w:rsid w:val="00A46699"/>
    <w:rsid w:val="00A468B7"/>
    <w:rsid w:val="00A46EA8"/>
    <w:rsid w:val="00A50D51"/>
    <w:rsid w:val="00A5138E"/>
    <w:rsid w:val="00A52684"/>
    <w:rsid w:val="00A54ACE"/>
    <w:rsid w:val="00A55115"/>
    <w:rsid w:val="00A557AB"/>
    <w:rsid w:val="00A57934"/>
    <w:rsid w:val="00A605B9"/>
    <w:rsid w:val="00A6085A"/>
    <w:rsid w:val="00A6116F"/>
    <w:rsid w:val="00A61B62"/>
    <w:rsid w:val="00A62699"/>
    <w:rsid w:val="00A62943"/>
    <w:rsid w:val="00A62D78"/>
    <w:rsid w:val="00A62EA0"/>
    <w:rsid w:val="00A64398"/>
    <w:rsid w:val="00A64AED"/>
    <w:rsid w:val="00A65A08"/>
    <w:rsid w:val="00A65CF6"/>
    <w:rsid w:val="00A6672A"/>
    <w:rsid w:val="00A66F52"/>
    <w:rsid w:val="00A67D8E"/>
    <w:rsid w:val="00A711F9"/>
    <w:rsid w:val="00A729DE"/>
    <w:rsid w:val="00A72AA4"/>
    <w:rsid w:val="00A73871"/>
    <w:rsid w:val="00A755FF"/>
    <w:rsid w:val="00A75D39"/>
    <w:rsid w:val="00A7625C"/>
    <w:rsid w:val="00A768BE"/>
    <w:rsid w:val="00A77195"/>
    <w:rsid w:val="00A774B1"/>
    <w:rsid w:val="00A8168B"/>
    <w:rsid w:val="00A82DA8"/>
    <w:rsid w:val="00A8380E"/>
    <w:rsid w:val="00A83FBF"/>
    <w:rsid w:val="00A8487E"/>
    <w:rsid w:val="00A8567E"/>
    <w:rsid w:val="00A90DB1"/>
    <w:rsid w:val="00A915B5"/>
    <w:rsid w:val="00A91913"/>
    <w:rsid w:val="00A92348"/>
    <w:rsid w:val="00A926BD"/>
    <w:rsid w:val="00A92721"/>
    <w:rsid w:val="00A931C9"/>
    <w:rsid w:val="00A943A3"/>
    <w:rsid w:val="00A94E1A"/>
    <w:rsid w:val="00A95F37"/>
    <w:rsid w:val="00A97F1E"/>
    <w:rsid w:val="00AA1775"/>
    <w:rsid w:val="00AA1BFA"/>
    <w:rsid w:val="00AA1D11"/>
    <w:rsid w:val="00AA2821"/>
    <w:rsid w:val="00AA3333"/>
    <w:rsid w:val="00AA335F"/>
    <w:rsid w:val="00AA4235"/>
    <w:rsid w:val="00AA506E"/>
    <w:rsid w:val="00AA54D7"/>
    <w:rsid w:val="00AA55E2"/>
    <w:rsid w:val="00AA5E30"/>
    <w:rsid w:val="00AA6F4C"/>
    <w:rsid w:val="00AA7856"/>
    <w:rsid w:val="00AA7D1A"/>
    <w:rsid w:val="00AB0B81"/>
    <w:rsid w:val="00AB2963"/>
    <w:rsid w:val="00AB3FED"/>
    <w:rsid w:val="00AB4029"/>
    <w:rsid w:val="00AB42C5"/>
    <w:rsid w:val="00AB457B"/>
    <w:rsid w:val="00AB4907"/>
    <w:rsid w:val="00AB64A2"/>
    <w:rsid w:val="00AB6548"/>
    <w:rsid w:val="00AB6811"/>
    <w:rsid w:val="00AC20A1"/>
    <w:rsid w:val="00AC334B"/>
    <w:rsid w:val="00AC4DEC"/>
    <w:rsid w:val="00AC6947"/>
    <w:rsid w:val="00AC76B4"/>
    <w:rsid w:val="00AC7970"/>
    <w:rsid w:val="00AC7A2B"/>
    <w:rsid w:val="00AD144C"/>
    <w:rsid w:val="00AD170E"/>
    <w:rsid w:val="00AD3BC8"/>
    <w:rsid w:val="00AD4808"/>
    <w:rsid w:val="00AD510C"/>
    <w:rsid w:val="00AD5954"/>
    <w:rsid w:val="00AD5C71"/>
    <w:rsid w:val="00AD6D2D"/>
    <w:rsid w:val="00AE03AE"/>
    <w:rsid w:val="00AE0E13"/>
    <w:rsid w:val="00AE0EB4"/>
    <w:rsid w:val="00AE2A46"/>
    <w:rsid w:val="00AE390D"/>
    <w:rsid w:val="00AE3F8F"/>
    <w:rsid w:val="00AE4554"/>
    <w:rsid w:val="00AE45C6"/>
    <w:rsid w:val="00AE4826"/>
    <w:rsid w:val="00AE48F9"/>
    <w:rsid w:val="00AE4C55"/>
    <w:rsid w:val="00AE4CF2"/>
    <w:rsid w:val="00AE5507"/>
    <w:rsid w:val="00AE583B"/>
    <w:rsid w:val="00AE653C"/>
    <w:rsid w:val="00AE76AB"/>
    <w:rsid w:val="00AF1271"/>
    <w:rsid w:val="00AF2F56"/>
    <w:rsid w:val="00AF4023"/>
    <w:rsid w:val="00AF436A"/>
    <w:rsid w:val="00AF7B1A"/>
    <w:rsid w:val="00B009CD"/>
    <w:rsid w:val="00B00A5B"/>
    <w:rsid w:val="00B00BB2"/>
    <w:rsid w:val="00B0179A"/>
    <w:rsid w:val="00B02D5B"/>
    <w:rsid w:val="00B02E27"/>
    <w:rsid w:val="00B03A7F"/>
    <w:rsid w:val="00B041D8"/>
    <w:rsid w:val="00B04805"/>
    <w:rsid w:val="00B0617B"/>
    <w:rsid w:val="00B07205"/>
    <w:rsid w:val="00B07295"/>
    <w:rsid w:val="00B115DD"/>
    <w:rsid w:val="00B11840"/>
    <w:rsid w:val="00B12D75"/>
    <w:rsid w:val="00B12F87"/>
    <w:rsid w:val="00B13E9C"/>
    <w:rsid w:val="00B147E8"/>
    <w:rsid w:val="00B16DF5"/>
    <w:rsid w:val="00B178D2"/>
    <w:rsid w:val="00B17D1B"/>
    <w:rsid w:val="00B21246"/>
    <w:rsid w:val="00B2192C"/>
    <w:rsid w:val="00B2197D"/>
    <w:rsid w:val="00B224A2"/>
    <w:rsid w:val="00B22E12"/>
    <w:rsid w:val="00B23D05"/>
    <w:rsid w:val="00B2430C"/>
    <w:rsid w:val="00B24EFE"/>
    <w:rsid w:val="00B2590A"/>
    <w:rsid w:val="00B26ECA"/>
    <w:rsid w:val="00B2742E"/>
    <w:rsid w:val="00B314F5"/>
    <w:rsid w:val="00B3199F"/>
    <w:rsid w:val="00B31F06"/>
    <w:rsid w:val="00B336D0"/>
    <w:rsid w:val="00B34A7B"/>
    <w:rsid w:val="00B35268"/>
    <w:rsid w:val="00B358D7"/>
    <w:rsid w:val="00B3600F"/>
    <w:rsid w:val="00B36D73"/>
    <w:rsid w:val="00B404DE"/>
    <w:rsid w:val="00B40734"/>
    <w:rsid w:val="00B40A46"/>
    <w:rsid w:val="00B40BBB"/>
    <w:rsid w:val="00B40FDD"/>
    <w:rsid w:val="00B41D0A"/>
    <w:rsid w:val="00B42543"/>
    <w:rsid w:val="00B42AD1"/>
    <w:rsid w:val="00B42F5B"/>
    <w:rsid w:val="00B4308F"/>
    <w:rsid w:val="00B4323F"/>
    <w:rsid w:val="00B432C1"/>
    <w:rsid w:val="00B43BD2"/>
    <w:rsid w:val="00B44064"/>
    <w:rsid w:val="00B46566"/>
    <w:rsid w:val="00B46764"/>
    <w:rsid w:val="00B46F8D"/>
    <w:rsid w:val="00B47D0A"/>
    <w:rsid w:val="00B5053F"/>
    <w:rsid w:val="00B5206C"/>
    <w:rsid w:val="00B5471C"/>
    <w:rsid w:val="00B54C81"/>
    <w:rsid w:val="00B554C5"/>
    <w:rsid w:val="00B555B4"/>
    <w:rsid w:val="00B55EBA"/>
    <w:rsid w:val="00B56182"/>
    <w:rsid w:val="00B56B73"/>
    <w:rsid w:val="00B60934"/>
    <w:rsid w:val="00B615D3"/>
    <w:rsid w:val="00B615DB"/>
    <w:rsid w:val="00B63DEA"/>
    <w:rsid w:val="00B645F8"/>
    <w:rsid w:val="00B6589A"/>
    <w:rsid w:val="00B65C5A"/>
    <w:rsid w:val="00B67EC1"/>
    <w:rsid w:val="00B704B4"/>
    <w:rsid w:val="00B724CE"/>
    <w:rsid w:val="00B739F0"/>
    <w:rsid w:val="00B741A1"/>
    <w:rsid w:val="00B80742"/>
    <w:rsid w:val="00B825FB"/>
    <w:rsid w:val="00B83108"/>
    <w:rsid w:val="00B84612"/>
    <w:rsid w:val="00B8577A"/>
    <w:rsid w:val="00B86103"/>
    <w:rsid w:val="00B864D3"/>
    <w:rsid w:val="00B87AD9"/>
    <w:rsid w:val="00B87EB1"/>
    <w:rsid w:val="00B91AC6"/>
    <w:rsid w:val="00B93808"/>
    <w:rsid w:val="00B93B97"/>
    <w:rsid w:val="00BA0C3B"/>
    <w:rsid w:val="00BA1823"/>
    <w:rsid w:val="00BA262B"/>
    <w:rsid w:val="00BA26A3"/>
    <w:rsid w:val="00BA2ADC"/>
    <w:rsid w:val="00BA3945"/>
    <w:rsid w:val="00BA5889"/>
    <w:rsid w:val="00BA6D3A"/>
    <w:rsid w:val="00BA71B5"/>
    <w:rsid w:val="00BB2ACD"/>
    <w:rsid w:val="00BB39DD"/>
    <w:rsid w:val="00BB441A"/>
    <w:rsid w:val="00BB4575"/>
    <w:rsid w:val="00BB7112"/>
    <w:rsid w:val="00BC0F42"/>
    <w:rsid w:val="00BC5D33"/>
    <w:rsid w:val="00BC619F"/>
    <w:rsid w:val="00BC62E1"/>
    <w:rsid w:val="00BC6FCB"/>
    <w:rsid w:val="00BD29C9"/>
    <w:rsid w:val="00BD31BE"/>
    <w:rsid w:val="00BD40B2"/>
    <w:rsid w:val="00BD4178"/>
    <w:rsid w:val="00BD5D3A"/>
    <w:rsid w:val="00BD5F2C"/>
    <w:rsid w:val="00BD6618"/>
    <w:rsid w:val="00BD747B"/>
    <w:rsid w:val="00BD751F"/>
    <w:rsid w:val="00BD793D"/>
    <w:rsid w:val="00BE0366"/>
    <w:rsid w:val="00BE169A"/>
    <w:rsid w:val="00BE2CAC"/>
    <w:rsid w:val="00BE31AB"/>
    <w:rsid w:val="00BE4007"/>
    <w:rsid w:val="00BE43C1"/>
    <w:rsid w:val="00BE500E"/>
    <w:rsid w:val="00BE5C46"/>
    <w:rsid w:val="00BE6173"/>
    <w:rsid w:val="00BE64A3"/>
    <w:rsid w:val="00BE7E1E"/>
    <w:rsid w:val="00BF0F26"/>
    <w:rsid w:val="00BF15BE"/>
    <w:rsid w:val="00BF1DC3"/>
    <w:rsid w:val="00BF2CEF"/>
    <w:rsid w:val="00BF2EB5"/>
    <w:rsid w:val="00BF347F"/>
    <w:rsid w:val="00BF3A24"/>
    <w:rsid w:val="00BF4134"/>
    <w:rsid w:val="00BF5945"/>
    <w:rsid w:val="00BF69F7"/>
    <w:rsid w:val="00BF6DBC"/>
    <w:rsid w:val="00BF6FAB"/>
    <w:rsid w:val="00C01BEB"/>
    <w:rsid w:val="00C026A9"/>
    <w:rsid w:val="00C02E97"/>
    <w:rsid w:val="00C0622E"/>
    <w:rsid w:val="00C074BB"/>
    <w:rsid w:val="00C105C7"/>
    <w:rsid w:val="00C10F6F"/>
    <w:rsid w:val="00C1167E"/>
    <w:rsid w:val="00C11BDA"/>
    <w:rsid w:val="00C12B54"/>
    <w:rsid w:val="00C13503"/>
    <w:rsid w:val="00C13F11"/>
    <w:rsid w:val="00C1583A"/>
    <w:rsid w:val="00C15E18"/>
    <w:rsid w:val="00C15FFD"/>
    <w:rsid w:val="00C16A95"/>
    <w:rsid w:val="00C17132"/>
    <w:rsid w:val="00C176DD"/>
    <w:rsid w:val="00C20CAD"/>
    <w:rsid w:val="00C20D7D"/>
    <w:rsid w:val="00C223EA"/>
    <w:rsid w:val="00C22EF4"/>
    <w:rsid w:val="00C245C9"/>
    <w:rsid w:val="00C250CB"/>
    <w:rsid w:val="00C252B4"/>
    <w:rsid w:val="00C25EFE"/>
    <w:rsid w:val="00C26C05"/>
    <w:rsid w:val="00C26C2D"/>
    <w:rsid w:val="00C27709"/>
    <w:rsid w:val="00C27A93"/>
    <w:rsid w:val="00C312C7"/>
    <w:rsid w:val="00C326D6"/>
    <w:rsid w:val="00C32984"/>
    <w:rsid w:val="00C333E7"/>
    <w:rsid w:val="00C33968"/>
    <w:rsid w:val="00C34925"/>
    <w:rsid w:val="00C35568"/>
    <w:rsid w:val="00C35D72"/>
    <w:rsid w:val="00C365E5"/>
    <w:rsid w:val="00C36EBA"/>
    <w:rsid w:val="00C36FB7"/>
    <w:rsid w:val="00C40A55"/>
    <w:rsid w:val="00C41778"/>
    <w:rsid w:val="00C4184F"/>
    <w:rsid w:val="00C4221F"/>
    <w:rsid w:val="00C42A09"/>
    <w:rsid w:val="00C42E61"/>
    <w:rsid w:val="00C43070"/>
    <w:rsid w:val="00C43E61"/>
    <w:rsid w:val="00C4623E"/>
    <w:rsid w:val="00C463E4"/>
    <w:rsid w:val="00C4680E"/>
    <w:rsid w:val="00C47840"/>
    <w:rsid w:val="00C4791F"/>
    <w:rsid w:val="00C47D66"/>
    <w:rsid w:val="00C47DAC"/>
    <w:rsid w:val="00C54DFB"/>
    <w:rsid w:val="00C55AA6"/>
    <w:rsid w:val="00C577EA"/>
    <w:rsid w:val="00C57FA7"/>
    <w:rsid w:val="00C602B1"/>
    <w:rsid w:val="00C61C3E"/>
    <w:rsid w:val="00C62650"/>
    <w:rsid w:val="00C62827"/>
    <w:rsid w:val="00C62876"/>
    <w:rsid w:val="00C62C15"/>
    <w:rsid w:val="00C6315B"/>
    <w:rsid w:val="00C640B6"/>
    <w:rsid w:val="00C6436E"/>
    <w:rsid w:val="00C647CE"/>
    <w:rsid w:val="00C647D6"/>
    <w:rsid w:val="00C66E07"/>
    <w:rsid w:val="00C674D2"/>
    <w:rsid w:val="00C67D93"/>
    <w:rsid w:val="00C67E47"/>
    <w:rsid w:val="00C70930"/>
    <w:rsid w:val="00C715B3"/>
    <w:rsid w:val="00C71814"/>
    <w:rsid w:val="00C733FC"/>
    <w:rsid w:val="00C755F6"/>
    <w:rsid w:val="00C7561B"/>
    <w:rsid w:val="00C7584E"/>
    <w:rsid w:val="00C763A4"/>
    <w:rsid w:val="00C76478"/>
    <w:rsid w:val="00C764A7"/>
    <w:rsid w:val="00C769BF"/>
    <w:rsid w:val="00C80355"/>
    <w:rsid w:val="00C80EBB"/>
    <w:rsid w:val="00C8542C"/>
    <w:rsid w:val="00C8689F"/>
    <w:rsid w:val="00C870AB"/>
    <w:rsid w:val="00C87DAC"/>
    <w:rsid w:val="00C90E8C"/>
    <w:rsid w:val="00C91326"/>
    <w:rsid w:val="00C913AD"/>
    <w:rsid w:val="00C93997"/>
    <w:rsid w:val="00C9412E"/>
    <w:rsid w:val="00C941E4"/>
    <w:rsid w:val="00C943B7"/>
    <w:rsid w:val="00C95594"/>
    <w:rsid w:val="00C956AB"/>
    <w:rsid w:val="00C95E45"/>
    <w:rsid w:val="00C97EF8"/>
    <w:rsid w:val="00CA09A9"/>
    <w:rsid w:val="00CA1481"/>
    <w:rsid w:val="00CA1651"/>
    <w:rsid w:val="00CA2F03"/>
    <w:rsid w:val="00CA3BF4"/>
    <w:rsid w:val="00CA4FE1"/>
    <w:rsid w:val="00CA6EB7"/>
    <w:rsid w:val="00CA7ADD"/>
    <w:rsid w:val="00CA7C33"/>
    <w:rsid w:val="00CA7F8A"/>
    <w:rsid w:val="00CB0931"/>
    <w:rsid w:val="00CB19B1"/>
    <w:rsid w:val="00CB389F"/>
    <w:rsid w:val="00CB451B"/>
    <w:rsid w:val="00CB6F93"/>
    <w:rsid w:val="00CC0A3C"/>
    <w:rsid w:val="00CC169D"/>
    <w:rsid w:val="00CC1707"/>
    <w:rsid w:val="00CC2E84"/>
    <w:rsid w:val="00CC3142"/>
    <w:rsid w:val="00CC54DC"/>
    <w:rsid w:val="00CC560B"/>
    <w:rsid w:val="00CC6212"/>
    <w:rsid w:val="00CC66C9"/>
    <w:rsid w:val="00CC78A5"/>
    <w:rsid w:val="00CC7B5D"/>
    <w:rsid w:val="00CC7F3E"/>
    <w:rsid w:val="00CD1657"/>
    <w:rsid w:val="00CD2360"/>
    <w:rsid w:val="00CD2489"/>
    <w:rsid w:val="00CD2E91"/>
    <w:rsid w:val="00CD42AA"/>
    <w:rsid w:val="00CD4807"/>
    <w:rsid w:val="00CD4EBF"/>
    <w:rsid w:val="00CD5EC7"/>
    <w:rsid w:val="00CD61BE"/>
    <w:rsid w:val="00CD7284"/>
    <w:rsid w:val="00CD72F4"/>
    <w:rsid w:val="00CD7653"/>
    <w:rsid w:val="00CD77C7"/>
    <w:rsid w:val="00CE1345"/>
    <w:rsid w:val="00CE2FFD"/>
    <w:rsid w:val="00CE3DAB"/>
    <w:rsid w:val="00CE4BAC"/>
    <w:rsid w:val="00CE540F"/>
    <w:rsid w:val="00CE54EA"/>
    <w:rsid w:val="00CE5913"/>
    <w:rsid w:val="00CF01A1"/>
    <w:rsid w:val="00CF0FFF"/>
    <w:rsid w:val="00CF16CA"/>
    <w:rsid w:val="00CF1930"/>
    <w:rsid w:val="00CF1B9E"/>
    <w:rsid w:val="00CF1C2F"/>
    <w:rsid w:val="00CF1C31"/>
    <w:rsid w:val="00CF205B"/>
    <w:rsid w:val="00CF223E"/>
    <w:rsid w:val="00CF22D8"/>
    <w:rsid w:val="00CF2454"/>
    <w:rsid w:val="00CF2E96"/>
    <w:rsid w:val="00CF36C3"/>
    <w:rsid w:val="00CF53A8"/>
    <w:rsid w:val="00CF5443"/>
    <w:rsid w:val="00CF61F1"/>
    <w:rsid w:val="00CF669F"/>
    <w:rsid w:val="00CF6B05"/>
    <w:rsid w:val="00CF6FCC"/>
    <w:rsid w:val="00CF7B78"/>
    <w:rsid w:val="00CF7EF7"/>
    <w:rsid w:val="00D011EC"/>
    <w:rsid w:val="00D011FC"/>
    <w:rsid w:val="00D022BB"/>
    <w:rsid w:val="00D0329D"/>
    <w:rsid w:val="00D032F9"/>
    <w:rsid w:val="00D105FA"/>
    <w:rsid w:val="00D10691"/>
    <w:rsid w:val="00D10F15"/>
    <w:rsid w:val="00D115C9"/>
    <w:rsid w:val="00D116FF"/>
    <w:rsid w:val="00D11F88"/>
    <w:rsid w:val="00D123E0"/>
    <w:rsid w:val="00D1260E"/>
    <w:rsid w:val="00D1333B"/>
    <w:rsid w:val="00D14093"/>
    <w:rsid w:val="00D15279"/>
    <w:rsid w:val="00D16029"/>
    <w:rsid w:val="00D20392"/>
    <w:rsid w:val="00D21180"/>
    <w:rsid w:val="00D236AC"/>
    <w:rsid w:val="00D25228"/>
    <w:rsid w:val="00D2573F"/>
    <w:rsid w:val="00D258FA"/>
    <w:rsid w:val="00D26D24"/>
    <w:rsid w:val="00D277B9"/>
    <w:rsid w:val="00D3022B"/>
    <w:rsid w:val="00D327EF"/>
    <w:rsid w:val="00D33558"/>
    <w:rsid w:val="00D35829"/>
    <w:rsid w:val="00D360A8"/>
    <w:rsid w:val="00D36264"/>
    <w:rsid w:val="00D366CB"/>
    <w:rsid w:val="00D36D20"/>
    <w:rsid w:val="00D40055"/>
    <w:rsid w:val="00D4024B"/>
    <w:rsid w:val="00D41B78"/>
    <w:rsid w:val="00D446DF"/>
    <w:rsid w:val="00D44A18"/>
    <w:rsid w:val="00D463A0"/>
    <w:rsid w:val="00D466DD"/>
    <w:rsid w:val="00D46F40"/>
    <w:rsid w:val="00D528D2"/>
    <w:rsid w:val="00D52C7A"/>
    <w:rsid w:val="00D53C92"/>
    <w:rsid w:val="00D54C9F"/>
    <w:rsid w:val="00D55E98"/>
    <w:rsid w:val="00D56A88"/>
    <w:rsid w:val="00D6061D"/>
    <w:rsid w:val="00D60C0F"/>
    <w:rsid w:val="00D62F5C"/>
    <w:rsid w:val="00D63A78"/>
    <w:rsid w:val="00D67CF1"/>
    <w:rsid w:val="00D67E33"/>
    <w:rsid w:val="00D7079E"/>
    <w:rsid w:val="00D71182"/>
    <w:rsid w:val="00D71299"/>
    <w:rsid w:val="00D718E5"/>
    <w:rsid w:val="00D753EE"/>
    <w:rsid w:val="00D75CD2"/>
    <w:rsid w:val="00D7612C"/>
    <w:rsid w:val="00D80AD0"/>
    <w:rsid w:val="00D80DE1"/>
    <w:rsid w:val="00D81D84"/>
    <w:rsid w:val="00D82F92"/>
    <w:rsid w:val="00D854CA"/>
    <w:rsid w:val="00D85628"/>
    <w:rsid w:val="00D85A5E"/>
    <w:rsid w:val="00D85C0F"/>
    <w:rsid w:val="00D85CA1"/>
    <w:rsid w:val="00D863FA"/>
    <w:rsid w:val="00D866AB"/>
    <w:rsid w:val="00D8674E"/>
    <w:rsid w:val="00D9012E"/>
    <w:rsid w:val="00D91924"/>
    <w:rsid w:val="00D92735"/>
    <w:rsid w:val="00D9309A"/>
    <w:rsid w:val="00D93B79"/>
    <w:rsid w:val="00D95304"/>
    <w:rsid w:val="00D96273"/>
    <w:rsid w:val="00D977E9"/>
    <w:rsid w:val="00DA0A1C"/>
    <w:rsid w:val="00DA1C1B"/>
    <w:rsid w:val="00DA32CC"/>
    <w:rsid w:val="00DA36CF"/>
    <w:rsid w:val="00DA3A35"/>
    <w:rsid w:val="00DA3C01"/>
    <w:rsid w:val="00DA3C2C"/>
    <w:rsid w:val="00DA502E"/>
    <w:rsid w:val="00DA5A2F"/>
    <w:rsid w:val="00DA5DCC"/>
    <w:rsid w:val="00DA5F79"/>
    <w:rsid w:val="00DA61FB"/>
    <w:rsid w:val="00DA63E7"/>
    <w:rsid w:val="00DA6D12"/>
    <w:rsid w:val="00DA6ED6"/>
    <w:rsid w:val="00DB06FC"/>
    <w:rsid w:val="00DB3163"/>
    <w:rsid w:val="00DB3F4A"/>
    <w:rsid w:val="00DB623B"/>
    <w:rsid w:val="00DB6B4E"/>
    <w:rsid w:val="00DB72B0"/>
    <w:rsid w:val="00DB74CE"/>
    <w:rsid w:val="00DB7E6E"/>
    <w:rsid w:val="00DC1206"/>
    <w:rsid w:val="00DC1327"/>
    <w:rsid w:val="00DC174F"/>
    <w:rsid w:val="00DC18CE"/>
    <w:rsid w:val="00DC2178"/>
    <w:rsid w:val="00DC2BA7"/>
    <w:rsid w:val="00DC4259"/>
    <w:rsid w:val="00DC50AC"/>
    <w:rsid w:val="00DC6E58"/>
    <w:rsid w:val="00DC725A"/>
    <w:rsid w:val="00DC7393"/>
    <w:rsid w:val="00DC7C54"/>
    <w:rsid w:val="00DD19F7"/>
    <w:rsid w:val="00DD1C05"/>
    <w:rsid w:val="00DD34FD"/>
    <w:rsid w:val="00DD3E9A"/>
    <w:rsid w:val="00DD4790"/>
    <w:rsid w:val="00DD60DF"/>
    <w:rsid w:val="00DD65E1"/>
    <w:rsid w:val="00DD6878"/>
    <w:rsid w:val="00DD6E5E"/>
    <w:rsid w:val="00DE004B"/>
    <w:rsid w:val="00DE22DC"/>
    <w:rsid w:val="00DE254A"/>
    <w:rsid w:val="00DE27B8"/>
    <w:rsid w:val="00DE328F"/>
    <w:rsid w:val="00DE666E"/>
    <w:rsid w:val="00DE6DB9"/>
    <w:rsid w:val="00DE6FAC"/>
    <w:rsid w:val="00DE7437"/>
    <w:rsid w:val="00DE7AEF"/>
    <w:rsid w:val="00DF06F9"/>
    <w:rsid w:val="00DF0B10"/>
    <w:rsid w:val="00DF1598"/>
    <w:rsid w:val="00DF1702"/>
    <w:rsid w:val="00DF3094"/>
    <w:rsid w:val="00DF4287"/>
    <w:rsid w:val="00DF52E4"/>
    <w:rsid w:val="00E0143F"/>
    <w:rsid w:val="00E021B8"/>
    <w:rsid w:val="00E02AC2"/>
    <w:rsid w:val="00E04011"/>
    <w:rsid w:val="00E04BFC"/>
    <w:rsid w:val="00E070E7"/>
    <w:rsid w:val="00E1248C"/>
    <w:rsid w:val="00E13007"/>
    <w:rsid w:val="00E1402E"/>
    <w:rsid w:val="00E1413C"/>
    <w:rsid w:val="00E14215"/>
    <w:rsid w:val="00E145E9"/>
    <w:rsid w:val="00E1512F"/>
    <w:rsid w:val="00E15581"/>
    <w:rsid w:val="00E1559F"/>
    <w:rsid w:val="00E15690"/>
    <w:rsid w:val="00E15DD1"/>
    <w:rsid w:val="00E1626B"/>
    <w:rsid w:val="00E17861"/>
    <w:rsid w:val="00E2093B"/>
    <w:rsid w:val="00E21C82"/>
    <w:rsid w:val="00E2207C"/>
    <w:rsid w:val="00E2301C"/>
    <w:rsid w:val="00E25CD2"/>
    <w:rsid w:val="00E274BE"/>
    <w:rsid w:val="00E27F0D"/>
    <w:rsid w:val="00E31333"/>
    <w:rsid w:val="00E31910"/>
    <w:rsid w:val="00E31C9F"/>
    <w:rsid w:val="00E3275D"/>
    <w:rsid w:val="00E335AE"/>
    <w:rsid w:val="00E35607"/>
    <w:rsid w:val="00E35FB7"/>
    <w:rsid w:val="00E365A0"/>
    <w:rsid w:val="00E37C43"/>
    <w:rsid w:val="00E412B9"/>
    <w:rsid w:val="00E41B26"/>
    <w:rsid w:val="00E42927"/>
    <w:rsid w:val="00E4368D"/>
    <w:rsid w:val="00E43F1D"/>
    <w:rsid w:val="00E46741"/>
    <w:rsid w:val="00E500EA"/>
    <w:rsid w:val="00E52AE5"/>
    <w:rsid w:val="00E5331B"/>
    <w:rsid w:val="00E555E6"/>
    <w:rsid w:val="00E56CBC"/>
    <w:rsid w:val="00E570A5"/>
    <w:rsid w:val="00E57A82"/>
    <w:rsid w:val="00E6061A"/>
    <w:rsid w:val="00E60771"/>
    <w:rsid w:val="00E6150F"/>
    <w:rsid w:val="00E61DA5"/>
    <w:rsid w:val="00E620C0"/>
    <w:rsid w:val="00E6323E"/>
    <w:rsid w:val="00E63499"/>
    <w:rsid w:val="00E65A06"/>
    <w:rsid w:val="00E671D4"/>
    <w:rsid w:val="00E7042D"/>
    <w:rsid w:val="00E71DE0"/>
    <w:rsid w:val="00E7200B"/>
    <w:rsid w:val="00E72475"/>
    <w:rsid w:val="00E73EF5"/>
    <w:rsid w:val="00E74099"/>
    <w:rsid w:val="00E7619E"/>
    <w:rsid w:val="00E763BD"/>
    <w:rsid w:val="00E7651C"/>
    <w:rsid w:val="00E7697E"/>
    <w:rsid w:val="00E8068F"/>
    <w:rsid w:val="00E82B48"/>
    <w:rsid w:val="00E842E0"/>
    <w:rsid w:val="00E845DF"/>
    <w:rsid w:val="00E84656"/>
    <w:rsid w:val="00E84E45"/>
    <w:rsid w:val="00E85FFA"/>
    <w:rsid w:val="00E87443"/>
    <w:rsid w:val="00E90AC7"/>
    <w:rsid w:val="00E90D0F"/>
    <w:rsid w:val="00E90FF7"/>
    <w:rsid w:val="00E9102B"/>
    <w:rsid w:val="00E91FA7"/>
    <w:rsid w:val="00E92A97"/>
    <w:rsid w:val="00E92E29"/>
    <w:rsid w:val="00E93453"/>
    <w:rsid w:val="00E93EAD"/>
    <w:rsid w:val="00E949DA"/>
    <w:rsid w:val="00E96155"/>
    <w:rsid w:val="00E966E3"/>
    <w:rsid w:val="00E96E33"/>
    <w:rsid w:val="00E970FF"/>
    <w:rsid w:val="00E9723B"/>
    <w:rsid w:val="00E9752C"/>
    <w:rsid w:val="00E97716"/>
    <w:rsid w:val="00EA185C"/>
    <w:rsid w:val="00EA2212"/>
    <w:rsid w:val="00EA28EF"/>
    <w:rsid w:val="00EA38C2"/>
    <w:rsid w:val="00EA455A"/>
    <w:rsid w:val="00EA49FF"/>
    <w:rsid w:val="00EA59DF"/>
    <w:rsid w:val="00EA6115"/>
    <w:rsid w:val="00EA7264"/>
    <w:rsid w:val="00EA79B9"/>
    <w:rsid w:val="00EA7ED0"/>
    <w:rsid w:val="00EB02DA"/>
    <w:rsid w:val="00EB09E8"/>
    <w:rsid w:val="00EB0B5E"/>
    <w:rsid w:val="00EB1452"/>
    <w:rsid w:val="00EB280C"/>
    <w:rsid w:val="00EB28A4"/>
    <w:rsid w:val="00EB2FF1"/>
    <w:rsid w:val="00EB33DF"/>
    <w:rsid w:val="00EB345E"/>
    <w:rsid w:val="00EB38AB"/>
    <w:rsid w:val="00EB3D5E"/>
    <w:rsid w:val="00EB617F"/>
    <w:rsid w:val="00EB6A7B"/>
    <w:rsid w:val="00EB6D08"/>
    <w:rsid w:val="00EC260B"/>
    <w:rsid w:val="00EC4AA9"/>
    <w:rsid w:val="00EC5808"/>
    <w:rsid w:val="00EC64BA"/>
    <w:rsid w:val="00ED02FE"/>
    <w:rsid w:val="00ED0DF0"/>
    <w:rsid w:val="00ED1501"/>
    <w:rsid w:val="00ED1657"/>
    <w:rsid w:val="00ED4A4B"/>
    <w:rsid w:val="00ED5C85"/>
    <w:rsid w:val="00ED5E23"/>
    <w:rsid w:val="00ED6125"/>
    <w:rsid w:val="00ED6AB9"/>
    <w:rsid w:val="00ED7D82"/>
    <w:rsid w:val="00EE02F9"/>
    <w:rsid w:val="00EE0673"/>
    <w:rsid w:val="00EE1FEC"/>
    <w:rsid w:val="00EE372B"/>
    <w:rsid w:val="00EE4818"/>
    <w:rsid w:val="00EE6070"/>
    <w:rsid w:val="00EE675B"/>
    <w:rsid w:val="00EE7C24"/>
    <w:rsid w:val="00EF1CC0"/>
    <w:rsid w:val="00EF2CA7"/>
    <w:rsid w:val="00EF368C"/>
    <w:rsid w:val="00EF4F66"/>
    <w:rsid w:val="00EF5528"/>
    <w:rsid w:val="00EF646C"/>
    <w:rsid w:val="00EF6621"/>
    <w:rsid w:val="00EF6B23"/>
    <w:rsid w:val="00EF6D05"/>
    <w:rsid w:val="00F00501"/>
    <w:rsid w:val="00F043F0"/>
    <w:rsid w:val="00F04C56"/>
    <w:rsid w:val="00F04D7B"/>
    <w:rsid w:val="00F06775"/>
    <w:rsid w:val="00F1339B"/>
    <w:rsid w:val="00F13672"/>
    <w:rsid w:val="00F1554E"/>
    <w:rsid w:val="00F17933"/>
    <w:rsid w:val="00F17AF2"/>
    <w:rsid w:val="00F20027"/>
    <w:rsid w:val="00F2703B"/>
    <w:rsid w:val="00F306DF"/>
    <w:rsid w:val="00F30FB4"/>
    <w:rsid w:val="00F3105A"/>
    <w:rsid w:val="00F33F2D"/>
    <w:rsid w:val="00F34DA1"/>
    <w:rsid w:val="00F35182"/>
    <w:rsid w:val="00F359D3"/>
    <w:rsid w:val="00F35CE9"/>
    <w:rsid w:val="00F3733A"/>
    <w:rsid w:val="00F374DC"/>
    <w:rsid w:val="00F3756F"/>
    <w:rsid w:val="00F375DC"/>
    <w:rsid w:val="00F4004B"/>
    <w:rsid w:val="00F400FE"/>
    <w:rsid w:val="00F41036"/>
    <w:rsid w:val="00F41936"/>
    <w:rsid w:val="00F425CC"/>
    <w:rsid w:val="00F42A69"/>
    <w:rsid w:val="00F46866"/>
    <w:rsid w:val="00F46C6F"/>
    <w:rsid w:val="00F4738D"/>
    <w:rsid w:val="00F478F0"/>
    <w:rsid w:val="00F4790E"/>
    <w:rsid w:val="00F47976"/>
    <w:rsid w:val="00F50438"/>
    <w:rsid w:val="00F509F9"/>
    <w:rsid w:val="00F532EF"/>
    <w:rsid w:val="00F56B7F"/>
    <w:rsid w:val="00F56D43"/>
    <w:rsid w:val="00F6027D"/>
    <w:rsid w:val="00F61EA1"/>
    <w:rsid w:val="00F62218"/>
    <w:rsid w:val="00F6323E"/>
    <w:rsid w:val="00F63921"/>
    <w:rsid w:val="00F63C41"/>
    <w:rsid w:val="00F6675C"/>
    <w:rsid w:val="00F66BC0"/>
    <w:rsid w:val="00F66CCF"/>
    <w:rsid w:val="00F6769D"/>
    <w:rsid w:val="00F67A40"/>
    <w:rsid w:val="00F7091F"/>
    <w:rsid w:val="00F711E4"/>
    <w:rsid w:val="00F72817"/>
    <w:rsid w:val="00F729A0"/>
    <w:rsid w:val="00F7301E"/>
    <w:rsid w:val="00F73B96"/>
    <w:rsid w:val="00F74F14"/>
    <w:rsid w:val="00F757B5"/>
    <w:rsid w:val="00F77756"/>
    <w:rsid w:val="00F80280"/>
    <w:rsid w:val="00F815F7"/>
    <w:rsid w:val="00F81886"/>
    <w:rsid w:val="00F83D78"/>
    <w:rsid w:val="00F83E75"/>
    <w:rsid w:val="00F84B64"/>
    <w:rsid w:val="00F84F3D"/>
    <w:rsid w:val="00F85DB5"/>
    <w:rsid w:val="00F868E4"/>
    <w:rsid w:val="00F86C65"/>
    <w:rsid w:val="00F87D82"/>
    <w:rsid w:val="00F9024F"/>
    <w:rsid w:val="00F90318"/>
    <w:rsid w:val="00F9052E"/>
    <w:rsid w:val="00F91ADB"/>
    <w:rsid w:val="00F91E91"/>
    <w:rsid w:val="00F923B2"/>
    <w:rsid w:val="00F94E81"/>
    <w:rsid w:val="00F94F54"/>
    <w:rsid w:val="00F95573"/>
    <w:rsid w:val="00F95AD6"/>
    <w:rsid w:val="00F96BFA"/>
    <w:rsid w:val="00FA0467"/>
    <w:rsid w:val="00FA3008"/>
    <w:rsid w:val="00FA3833"/>
    <w:rsid w:val="00FA3DBB"/>
    <w:rsid w:val="00FA5358"/>
    <w:rsid w:val="00FA64F6"/>
    <w:rsid w:val="00FA6580"/>
    <w:rsid w:val="00FA6952"/>
    <w:rsid w:val="00FA6F72"/>
    <w:rsid w:val="00FB0036"/>
    <w:rsid w:val="00FB0C47"/>
    <w:rsid w:val="00FB272F"/>
    <w:rsid w:val="00FB2AFF"/>
    <w:rsid w:val="00FB3373"/>
    <w:rsid w:val="00FB3B34"/>
    <w:rsid w:val="00FB5662"/>
    <w:rsid w:val="00FB5E65"/>
    <w:rsid w:val="00FB648C"/>
    <w:rsid w:val="00FC29BB"/>
    <w:rsid w:val="00FC3EE5"/>
    <w:rsid w:val="00FC44F4"/>
    <w:rsid w:val="00FC4849"/>
    <w:rsid w:val="00FC55BA"/>
    <w:rsid w:val="00FC5732"/>
    <w:rsid w:val="00FC5BCF"/>
    <w:rsid w:val="00FC7870"/>
    <w:rsid w:val="00FC7C35"/>
    <w:rsid w:val="00FD06D5"/>
    <w:rsid w:val="00FD16E2"/>
    <w:rsid w:val="00FD1E13"/>
    <w:rsid w:val="00FD1EFA"/>
    <w:rsid w:val="00FD2CB8"/>
    <w:rsid w:val="00FD361C"/>
    <w:rsid w:val="00FD5AA2"/>
    <w:rsid w:val="00FD5D17"/>
    <w:rsid w:val="00FD65C7"/>
    <w:rsid w:val="00FD7023"/>
    <w:rsid w:val="00FE0F85"/>
    <w:rsid w:val="00FE1610"/>
    <w:rsid w:val="00FE2F45"/>
    <w:rsid w:val="00FE3C3D"/>
    <w:rsid w:val="00FE3E93"/>
    <w:rsid w:val="00FE4511"/>
    <w:rsid w:val="00FE5E55"/>
    <w:rsid w:val="00FE60B0"/>
    <w:rsid w:val="00FE7798"/>
    <w:rsid w:val="00FF02AD"/>
    <w:rsid w:val="00FF19A8"/>
    <w:rsid w:val="00FF22C4"/>
    <w:rsid w:val="00FF256F"/>
    <w:rsid w:val="00FF3E10"/>
    <w:rsid w:val="00FF4591"/>
    <w:rsid w:val="00FF4C1A"/>
    <w:rsid w:val="00FF4E95"/>
    <w:rsid w:val="00FF5C64"/>
    <w:rsid w:val="00FF607C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F16FE74"/>
  <w15:docId w15:val="{376A6710-2E4A-4695-930C-5B956011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0F010E"/>
    <w:rPr>
      <w:color w:val="000000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color w:val="auto"/>
      <w:u w:val="single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color w:val="auto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426"/>
      </w:tabs>
      <w:jc w:val="center"/>
      <w:outlineLvl w:val="3"/>
    </w:pPr>
    <w:rPr>
      <w:rFonts w:ascii="Arial" w:hAnsi="Arial"/>
      <w:color w:val="auto"/>
      <w:sz w:val="24"/>
      <w:lang w:val="es-PE" w:eastAsia="es-PE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rFonts w:ascii="Arial" w:hAnsi="Arial"/>
      <w:b/>
      <w:color w:val="auto"/>
      <w:sz w:val="24"/>
      <w:lang w:val="es-PE"/>
    </w:rPr>
  </w:style>
  <w:style w:type="paragraph" w:styleId="Ttulo6">
    <w:name w:val="heading 6"/>
    <w:basedOn w:val="Normal"/>
    <w:next w:val="Normal"/>
    <w:link w:val="Ttulo6C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426"/>
      </w:tabs>
      <w:jc w:val="center"/>
      <w:outlineLvl w:val="8"/>
    </w:pPr>
    <w:rPr>
      <w:rFonts w:ascii="Arial" w:hAnsi="Arial"/>
      <w:b/>
      <w:color w:val="auto"/>
      <w:sz w:val="22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/>
      <w:b/>
      <w:color w:val="auto"/>
      <w:sz w:val="24"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</w:style>
  <w:style w:type="paragraph" w:customStyle="1" w:styleId="Estilo2">
    <w:name w:val="Estilo2"/>
    <w:basedOn w:val="Normal"/>
    <w:pPr>
      <w:jc w:val="both"/>
    </w:pPr>
    <w:rPr>
      <w:rFonts w:ascii="Arial" w:hAnsi="Arial"/>
      <w:color w:val="auto"/>
      <w:sz w:val="24"/>
      <w:lang w:eastAsia="es-PE"/>
    </w:rPr>
  </w:style>
  <w:style w:type="character" w:styleId="Nmerodepgina">
    <w:name w:val="page number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aliases w:val="w Parrafo numerado"/>
    <w:basedOn w:val="Normal"/>
    <w:link w:val="PrrafodelistaCar"/>
    <w:uiPriority w:val="34"/>
    <w:qFormat/>
    <w:rsid w:val="008A2164"/>
    <w:pPr>
      <w:ind w:left="708"/>
    </w:pPr>
    <w:rPr>
      <w:color w:val="auto"/>
      <w:sz w:val="24"/>
      <w:szCs w:val="24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</w:style>
  <w:style w:type="paragraph" w:styleId="Asuntodelcomentario">
    <w:name w:val="annotation subject"/>
    <w:basedOn w:val="Textocomentario"/>
    <w:next w:val="Textocomentario"/>
    <w:link w:val="AsuntodelcomentarioCar"/>
    <w:semiHidden/>
    <w:rPr>
      <w:b/>
      <w:bCs/>
    </w:rPr>
  </w:style>
  <w:style w:type="paragraph" w:styleId="TDC3">
    <w:name w:val="toc 3"/>
    <w:basedOn w:val="Normal"/>
    <w:next w:val="Normal"/>
    <w:autoRedefine/>
    <w:semiHidden/>
    <w:pPr>
      <w:tabs>
        <w:tab w:val="left" w:pos="720"/>
        <w:tab w:val="right" w:pos="8575"/>
      </w:tabs>
      <w:spacing w:line="360" w:lineRule="auto"/>
      <w:ind w:left="180"/>
      <w:jc w:val="both"/>
    </w:pPr>
    <w:rPr>
      <w:rFonts w:ascii="Arial" w:hAnsi="Arial"/>
      <w:color w:val="auto"/>
      <w:sz w:val="24"/>
      <w:lang w:val="es-PE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rFonts w:ascii="Arial" w:hAnsi="Arial"/>
      <w:color w:val="auto"/>
      <w:sz w:val="24"/>
      <w:lang w:val="es-PE"/>
    </w:rPr>
  </w:style>
  <w:style w:type="paragraph" w:styleId="TDC6">
    <w:name w:val="toc 6"/>
    <w:basedOn w:val="Normal"/>
    <w:next w:val="Normal"/>
    <w:autoRedefine/>
    <w:semiHidden/>
    <w:pPr>
      <w:tabs>
        <w:tab w:val="right" w:pos="8575"/>
      </w:tabs>
      <w:spacing w:line="360" w:lineRule="auto"/>
      <w:ind w:left="720"/>
      <w:jc w:val="both"/>
    </w:pPr>
    <w:rPr>
      <w:rFonts w:ascii="Arial" w:hAnsi="Arial"/>
      <w:color w:val="auto"/>
      <w:sz w:val="24"/>
      <w:lang w:val="es-PE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rFonts w:ascii="Arial" w:hAnsi="Arial"/>
      <w:color w:val="auto"/>
      <w:sz w:val="24"/>
      <w:lang w:val="es-PE"/>
    </w:r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  <w:rPr>
      <w:color w:val="auto"/>
      <w:lang w:val="es-PE" w:eastAsia="es-PE"/>
    </w:rPr>
  </w:style>
  <w:style w:type="paragraph" w:styleId="Textoindependiente3">
    <w:name w:val="Body Text 3"/>
    <w:basedOn w:val="Normal"/>
    <w:link w:val="Textoindependiente3Car"/>
    <w:pPr>
      <w:spacing w:after="120"/>
    </w:pPr>
    <w:rPr>
      <w:color w:val="auto"/>
      <w:sz w:val="16"/>
      <w:szCs w:val="16"/>
      <w:lang w:val="es-PE" w:eastAsia="es-PE"/>
    </w:rPr>
  </w:style>
  <w:style w:type="paragraph" w:styleId="Textoindependiente">
    <w:name w:val="Body Text"/>
    <w:basedOn w:val="Normal"/>
    <w:link w:val="TextoindependienteCar"/>
    <w:pPr>
      <w:ind w:right="4280"/>
    </w:pPr>
    <w:rPr>
      <w:rFonts w:ascii="OCR-B-10 BT" w:hAnsi="OCR-B-10 BT"/>
      <w:color w:val="auto"/>
      <w:lang w:val="es-PE" w:eastAsia="es-PE"/>
    </w:rPr>
  </w:style>
  <w:style w:type="paragraph" w:styleId="Sangra2detindependiente">
    <w:name w:val="Body Text Indent 2"/>
    <w:basedOn w:val="Normal"/>
    <w:link w:val="Sangra2detindependienteCar"/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4320" w:hanging="4320"/>
      <w:jc w:val="both"/>
    </w:pPr>
    <w:rPr>
      <w:rFonts w:ascii="Arial" w:hAnsi="Arial"/>
      <w:sz w:val="24"/>
      <w:lang w:val="es-ES_tradnl" w:eastAsia="es-PE"/>
    </w:rPr>
  </w:style>
  <w:style w:type="paragraph" w:styleId="Sangra3detindependiente">
    <w:name w:val="Body Text Indent 3"/>
    <w:basedOn w:val="Normal"/>
    <w:link w:val="Sangra3detindependienteCar"/>
    <w:pPr>
      <w:tabs>
        <w:tab w:val="left" w:pos="426"/>
        <w:tab w:val="left" w:pos="851"/>
      </w:tabs>
      <w:ind w:left="851" w:hanging="851"/>
      <w:jc w:val="both"/>
    </w:pPr>
    <w:rPr>
      <w:rFonts w:ascii="Arial" w:hAnsi="Arial"/>
      <w:color w:val="auto"/>
      <w:sz w:val="24"/>
      <w:lang w:val="es-PE" w:eastAsia="es-PE"/>
    </w:rPr>
  </w:style>
  <w:style w:type="paragraph" w:styleId="Textodebloque">
    <w:name w:val="Block Text"/>
    <w:basedOn w:val="Normal"/>
    <w:pPr>
      <w:tabs>
        <w:tab w:val="left" w:pos="426"/>
      </w:tabs>
      <w:ind w:left="426" w:right="424" w:hanging="426"/>
      <w:jc w:val="both"/>
    </w:pPr>
    <w:rPr>
      <w:rFonts w:ascii="Arial" w:hAnsi="Arial"/>
      <w:i/>
      <w:color w:val="auto"/>
      <w:sz w:val="24"/>
      <w:lang w:val="es-PE" w:eastAsia="es-PE"/>
    </w:rPr>
  </w:style>
  <w:style w:type="paragraph" w:styleId="NormalWeb">
    <w:name w:val="Normal (Web)"/>
    <w:basedOn w:val="Normal"/>
    <w:pPr>
      <w:spacing w:before="100" w:after="100"/>
    </w:pPr>
    <w:rPr>
      <w:color w:val="auto"/>
      <w:sz w:val="24"/>
      <w:lang w:val="es-PE" w:eastAsia="es-PE"/>
    </w:rPr>
  </w:style>
  <w:style w:type="paragraph" w:customStyle="1" w:styleId="AvK">
    <w:name w:val="AvK"/>
    <w:basedOn w:val="Normal"/>
    <w:pPr>
      <w:jc w:val="both"/>
    </w:pPr>
    <w:rPr>
      <w:rFonts w:ascii="Arial" w:hAnsi="Arial"/>
      <w:color w:val="auto"/>
      <w:sz w:val="24"/>
      <w:lang w:val="es-PE" w:eastAsia="es-PE"/>
    </w:rPr>
  </w:style>
  <w:style w:type="paragraph" w:styleId="Textosinformato">
    <w:name w:val="Plain Text"/>
    <w:basedOn w:val="Normal"/>
    <w:link w:val="TextosinformatoCar"/>
    <w:rPr>
      <w:rFonts w:ascii="Courier New" w:hAnsi="Courier New"/>
      <w:color w:val="auto"/>
      <w:lang w:val="es-VE" w:eastAsia="es-PE"/>
    </w:rPr>
  </w:style>
  <w:style w:type="paragraph" w:styleId="Textonotapie">
    <w:name w:val="footnote text"/>
    <w:basedOn w:val="Normal"/>
    <w:link w:val="TextonotapieCar"/>
    <w:pPr>
      <w:ind w:left="284"/>
      <w:jc w:val="both"/>
    </w:pPr>
    <w:rPr>
      <w:rFonts w:ascii="Arial" w:hAnsi="Arial"/>
      <w:color w:val="auto"/>
      <w:sz w:val="16"/>
      <w:lang w:val="es-PE" w:eastAsia="es-PE"/>
    </w:rPr>
  </w:style>
  <w:style w:type="paragraph" w:customStyle="1" w:styleId="Textosinformato1">
    <w:name w:val="Texto sin formato1"/>
    <w:basedOn w:val="Normal"/>
    <w:pPr>
      <w:widowControl w:val="0"/>
    </w:pPr>
    <w:rPr>
      <w:rFonts w:ascii="Courier New" w:hAnsi="Courier New"/>
      <w:color w:val="auto"/>
      <w:lang w:val="es-PE" w:eastAsia="es-PE"/>
    </w:rPr>
  </w:style>
  <w:style w:type="paragraph" w:styleId="Remitedesobre">
    <w:name w:val="envelope return"/>
    <w:basedOn w:val="Normal"/>
    <w:rPr>
      <w:rFonts w:ascii="Arial" w:hAnsi="Arial"/>
      <w:color w:val="auto"/>
      <w:sz w:val="18"/>
      <w:lang w:val="es-ES_tradnl" w:eastAsia="es-PE"/>
    </w:rPr>
  </w:style>
  <w:style w:type="paragraph" w:styleId="Lista">
    <w:name w:val="List"/>
    <w:basedOn w:val="Normal"/>
    <w:pPr>
      <w:ind w:left="283" w:hanging="283"/>
    </w:pPr>
    <w:rPr>
      <w:color w:val="auto"/>
      <w:lang w:val="es-PE" w:eastAsia="es-PE"/>
    </w:rPr>
  </w:style>
  <w:style w:type="character" w:customStyle="1" w:styleId="TextocomentarioCar">
    <w:name w:val="Texto comentario Car"/>
    <w:link w:val="Textocomentario"/>
    <w:rsid w:val="00614546"/>
    <w:rPr>
      <w:color w:val="000000"/>
      <w:lang w:val="es-ES" w:eastAsia="es-ES" w:bidi="ar-SA"/>
    </w:rPr>
  </w:style>
  <w:style w:type="character" w:styleId="Refdenotaalpie">
    <w:name w:val="footnote reference"/>
    <w:rPr>
      <w:vertAlign w:val="superscript"/>
    </w:rPr>
  </w:style>
  <w:style w:type="paragraph" w:customStyle="1" w:styleId="Epgrafe1">
    <w:name w:val="Epígrafe1"/>
    <w:basedOn w:val="Normal"/>
    <w:next w:val="Normal"/>
    <w:qFormat/>
    <w:pPr>
      <w:framePr w:wrap="auto" w:vAnchor="page" w:hAnchor="page" w:x="1009" w:y="7921"/>
      <w:spacing w:line="380" w:lineRule="atLeast"/>
      <w:jc w:val="center"/>
    </w:pPr>
    <w:rPr>
      <w:rFonts w:ascii="Arial" w:hAnsi="Arial"/>
      <w:b/>
      <w:color w:val="auto"/>
      <w:sz w:val="28"/>
      <w:lang w:val="es-P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  <w:color w:val="auto"/>
      <w:lang w:val="en-US"/>
    </w:rPr>
  </w:style>
  <w:style w:type="paragraph" w:customStyle="1" w:styleId="Nor2">
    <w:name w:val="Nor_2"/>
    <w:basedOn w:val="Normal"/>
    <w:pPr>
      <w:ind w:left="1134"/>
      <w:jc w:val="both"/>
      <w:outlineLvl w:val="0"/>
    </w:pPr>
    <w:rPr>
      <w:rFonts w:ascii="Tahoma" w:hAnsi="Tahoma"/>
      <w:color w:val="auto"/>
      <w:sz w:val="22"/>
      <w:lang w:val="es-PE"/>
    </w:rPr>
  </w:style>
  <w:style w:type="paragraph" w:customStyle="1" w:styleId="Lneadeasunto">
    <w:name w:val="Línea de asunto"/>
    <w:basedOn w:val="Normal"/>
    <w:rPr>
      <w:color w:val="auto"/>
      <w:sz w:val="24"/>
      <w:szCs w:val="24"/>
      <w:lang w:val="es-PE" w:eastAsia="es-PE"/>
    </w:rPr>
  </w:style>
  <w:style w:type="character" w:styleId="Textoennegrita">
    <w:name w:val="Strong"/>
    <w:qFormat/>
    <w:rPr>
      <w:b/>
      <w:bCs/>
    </w:rPr>
  </w:style>
  <w:style w:type="paragraph" w:styleId="Cierre">
    <w:name w:val="Closing"/>
    <w:basedOn w:val="Normal"/>
    <w:pPr>
      <w:ind w:left="4252"/>
    </w:pPr>
    <w:rPr>
      <w:rFonts w:ascii="Arial" w:hAnsi="Arial"/>
      <w:color w:val="auto"/>
      <w:sz w:val="24"/>
      <w:lang w:val="es-PE"/>
    </w:rPr>
  </w:style>
  <w:style w:type="paragraph" w:styleId="Continuarlista">
    <w:name w:val="List Continue"/>
    <w:basedOn w:val="Normal"/>
    <w:pPr>
      <w:spacing w:after="120"/>
      <w:ind w:left="283"/>
    </w:pPr>
    <w:rPr>
      <w:rFonts w:ascii="Arial" w:hAnsi="Arial"/>
      <w:color w:val="auto"/>
      <w:sz w:val="24"/>
      <w:lang w:val="es-PE"/>
    </w:rPr>
  </w:style>
  <w:style w:type="paragraph" w:styleId="Continuarlista2">
    <w:name w:val="List Continue 2"/>
    <w:basedOn w:val="Normal"/>
    <w:pPr>
      <w:spacing w:after="120"/>
      <w:ind w:left="566"/>
    </w:pPr>
    <w:rPr>
      <w:rFonts w:ascii="Arial" w:hAnsi="Arial"/>
      <w:color w:val="auto"/>
      <w:sz w:val="24"/>
      <w:lang w:val="es-PE"/>
    </w:rPr>
  </w:style>
  <w:style w:type="paragraph" w:styleId="Continuarlista3">
    <w:name w:val="List Continue 3"/>
    <w:basedOn w:val="Normal"/>
    <w:pPr>
      <w:spacing w:after="120"/>
      <w:ind w:left="849"/>
    </w:pPr>
    <w:rPr>
      <w:rFonts w:ascii="Arial" w:hAnsi="Arial"/>
      <w:color w:val="auto"/>
      <w:sz w:val="24"/>
      <w:lang w:val="es-PE"/>
    </w:rPr>
  </w:style>
  <w:style w:type="paragraph" w:styleId="Continuarlista4">
    <w:name w:val="List Continue 4"/>
    <w:basedOn w:val="Normal"/>
    <w:pPr>
      <w:spacing w:after="120"/>
      <w:ind w:left="1132"/>
    </w:pPr>
    <w:rPr>
      <w:rFonts w:ascii="Arial" w:hAnsi="Arial"/>
      <w:color w:val="auto"/>
      <w:sz w:val="24"/>
      <w:lang w:val="es-PE"/>
    </w:rPr>
  </w:style>
  <w:style w:type="paragraph" w:styleId="Continuarlista5">
    <w:name w:val="List Continue 5"/>
    <w:basedOn w:val="Normal"/>
    <w:pPr>
      <w:spacing w:after="120"/>
      <w:ind w:left="1415"/>
    </w:pPr>
    <w:rPr>
      <w:rFonts w:ascii="Arial" w:hAnsi="Arial"/>
      <w:color w:val="auto"/>
      <w:sz w:val="24"/>
      <w:lang w:val="es-PE"/>
    </w:rPr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  <w:color w:val="auto"/>
      <w:sz w:val="24"/>
      <w:lang w:val="es-PE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  <w:color w:val="auto"/>
      <w:sz w:val="24"/>
      <w:lang w:val="es-PE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color w:val="auto"/>
      <w:sz w:val="24"/>
      <w:lang w:val="es-PE"/>
    </w:rPr>
  </w:style>
  <w:style w:type="paragraph" w:styleId="Encabezadodenota">
    <w:name w:val="Note Heading"/>
    <w:basedOn w:val="Normal"/>
    <w:next w:val="Normal"/>
    <w:rPr>
      <w:rFonts w:ascii="Arial" w:hAnsi="Arial"/>
      <w:color w:val="auto"/>
      <w:sz w:val="24"/>
      <w:lang w:val="es-PE"/>
    </w:rPr>
  </w:style>
  <w:style w:type="paragraph" w:styleId="Fecha">
    <w:name w:val="Date"/>
    <w:basedOn w:val="Normal"/>
    <w:next w:val="Normal"/>
    <w:rPr>
      <w:rFonts w:ascii="Arial" w:hAnsi="Arial"/>
      <w:color w:val="auto"/>
      <w:sz w:val="24"/>
      <w:lang w:val="es-PE"/>
    </w:rPr>
  </w:style>
  <w:style w:type="paragraph" w:styleId="Firma">
    <w:name w:val="Signature"/>
    <w:basedOn w:val="Normal"/>
    <w:pPr>
      <w:ind w:left="4252"/>
    </w:pPr>
    <w:rPr>
      <w:rFonts w:ascii="Arial" w:hAnsi="Arial"/>
      <w:color w:val="auto"/>
      <w:sz w:val="24"/>
      <w:lang w:val="es-P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rFonts w:ascii="Arial" w:hAnsi="Arial"/>
      <w:color w:val="auto"/>
      <w:sz w:val="24"/>
      <w:lang w:val="es-PE"/>
    </w:rPr>
  </w:style>
  <w:style w:type="paragraph" w:styleId="ndice2">
    <w:name w:val="index 2"/>
    <w:basedOn w:val="Normal"/>
    <w:next w:val="Normal"/>
    <w:autoRedefine/>
    <w:semiHidden/>
    <w:pPr>
      <w:ind w:left="480" w:hanging="240"/>
    </w:pPr>
    <w:rPr>
      <w:rFonts w:ascii="Arial" w:hAnsi="Arial"/>
      <w:color w:val="auto"/>
      <w:sz w:val="24"/>
      <w:lang w:val="es-PE"/>
    </w:rPr>
  </w:style>
  <w:style w:type="paragraph" w:styleId="ndice3">
    <w:name w:val="index 3"/>
    <w:basedOn w:val="Normal"/>
    <w:next w:val="Normal"/>
    <w:autoRedefine/>
    <w:semiHidden/>
    <w:pPr>
      <w:ind w:left="720" w:hanging="240"/>
    </w:pPr>
    <w:rPr>
      <w:rFonts w:ascii="Arial" w:hAnsi="Arial"/>
      <w:color w:val="auto"/>
      <w:sz w:val="24"/>
      <w:lang w:val="es-PE"/>
    </w:rPr>
  </w:style>
  <w:style w:type="paragraph" w:styleId="ndice4">
    <w:name w:val="index 4"/>
    <w:basedOn w:val="Normal"/>
    <w:next w:val="Normal"/>
    <w:autoRedefine/>
    <w:semiHidden/>
    <w:pPr>
      <w:ind w:left="960" w:hanging="240"/>
    </w:pPr>
    <w:rPr>
      <w:rFonts w:ascii="Arial" w:hAnsi="Arial"/>
      <w:color w:val="auto"/>
      <w:sz w:val="24"/>
      <w:lang w:val="es-PE"/>
    </w:rPr>
  </w:style>
  <w:style w:type="paragraph" w:styleId="ndice5">
    <w:name w:val="index 5"/>
    <w:basedOn w:val="Normal"/>
    <w:next w:val="Normal"/>
    <w:autoRedefine/>
    <w:semiHidden/>
    <w:pPr>
      <w:ind w:left="1200" w:hanging="240"/>
    </w:pPr>
    <w:rPr>
      <w:rFonts w:ascii="Arial" w:hAnsi="Arial"/>
      <w:color w:val="auto"/>
      <w:sz w:val="24"/>
      <w:lang w:val="es-PE"/>
    </w:rPr>
  </w:style>
  <w:style w:type="paragraph" w:styleId="ndice6">
    <w:name w:val="index 6"/>
    <w:basedOn w:val="Normal"/>
    <w:next w:val="Normal"/>
    <w:autoRedefine/>
    <w:semiHidden/>
    <w:pPr>
      <w:ind w:left="1440" w:hanging="240"/>
    </w:pPr>
    <w:rPr>
      <w:rFonts w:ascii="Arial" w:hAnsi="Arial"/>
      <w:color w:val="auto"/>
      <w:sz w:val="24"/>
      <w:lang w:val="es-PE"/>
    </w:rPr>
  </w:style>
  <w:style w:type="paragraph" w:styleId="ndice7">
    <w:name w:val="index 7"/>
    <w:basedOn w:val="Normal"/>
    <w:next w:val="Normal"/>
    <w:autoRedefine/>
    <w:semiHidden/>
    <w:pPr>
      <w:ind w:left="1680" w:hanging="240"/>
    </w:pPr>
    <w:rPr>
      <w:rFonts w:ascii="Arial" w:hAnsi="Arial"/>
      <w:color w:val="auto"/>
      <w:sz w:val="24"/>
      <w:lang w:val="es-PE"/>
    </w:rPr>
  </w:style>
  <w:style w:type="paragraph" w:styleId="ndice8">
    <w:name w:val="index 8"/>
    <w:basedOn w:val="Normal"/>
    <w:next w:val="Normal"/>
    <w:autoRedefine/>
    <w:semiHidden/>
    <w:pPr>
      <w:ind w:left="1920" w:hanging="240"/>
    </w:pPr>
    <w:rPr>
      <w:rFonts w:ascii="Arial" w:hAnsi="Arial"/>
      <w:color w:val="auto"/>
      <w:sz w:val="24"/>
      <w:lang w:val="es-PE"/>
    </w:rPr>
  </w:style>
  <w:style w:type="paragraph" w:styleId="ndice9">
    <w:name w:val="index 9"/>
    <w:basedOn w:val="Normal"/>
    <w:next w:val="Normal"/>
    <w:autoRedefine/>
    <w:semiHidden/>
    <w:pPr>
      <w:ind w:left="2160" w:hanging="240"/>
    </w:pPr>
    <w:rPr>
      <w:rFonts w:ascii="Arial" w:hAnsi="Arial"/>
      <w:color w:val="auto"/>
      <w:sz w:val="24"/>
      <w:lang w:val="es-PE"/>
    </w:rPr>
  </w:style>
  <w:style w:type="paragraph" w:styleId="Lista2">
    <w:name w:val="List 2"/>
    <w:basedOn w:val="Normal"/>
    <w:pPr>
      <w:ind w:left="566" w:hanging="283"/>
    </w:pPr>
    <w:rPr>
      <w:rFonts w:ascii="Arial" w:hAnsi="Arial"/>
      <w:color w:val="auto"/>
      <w:sz w:val="24"/>
      <w:lang w:val="es-PE"/>
    </w:rPr>
  </w:style>
  <w:style w:type="paragraph" w:styleId="Lista3">
    <w:name w:val="List 3"/>
    <w:basedOn w:val="Normal"/>
    <w:pPr>
      <w:ind w:left="849" w:hanging="283"/>
    </w:pPr>
    <w:rPr>
      <w:rFonts w:ascii="Arial" w:hAnsi="Arial"/>
      <w:color w:val="auto"/>
      <w:sz w:val="24"/>
      <w:lang w:val="es-PE"/>
    </w:rPr>
  </w:style>
  <w:style w:type="paragraph" w:styleId="Lista4">
    <w:name w:val="List 4"/>
    <w:basedOn w:val="Normal"/>
    <w:pPr>
      <w:ind w:left="1132" w:hanging="283"/>
    </w:pPr>
    <w:rPr>
      <w:rFonts w:ascii="Arial" w:hAnsi="Arial"/>
      <w:color w:val="auto"/>
      <w:sz w:val="24"/>
      <w:lang w:val="es-PE"/>
    </w:rPr>
  </w:style>
  <w:style w:type="paragraph" w:styleId="Lista5">
    <w:name w:val="List 5"/>
    <w:basedOn w:val="Normal"/>
    <w:pPr>
      <w:ind w:left="1415" w:hanging="283"/>
    </w:pPr>
    <w:rPr>
      <w:rFonts w:ascii="Arial" w:hAnsi="Arial"/>
      <w:color w:val="auto"/>
      <w:sz w:val="24"/>
      <w:lang w:val="es-PE"/>
    </w:rPr>
  </w:style>
  <w:style w:type="paragraph" w:styleId="Listaconnmeros">
    <w:name w:val="List Number"/>
    <w:basedOn w:val="Normal"/>
    <w:pPr>
      <w:numPr>
        <w:numId w:val="1"/>
      </w:numPr>
    </w:pPr>
    <w:rPr>
      <w:rFonts w:ascii="Arial" w:hAnsi="Arial"/>
      <w:color w:val="auto"/>
      <w:sz w:val="24"/>
      <w:lang w:val="es-PE"/>
    </w:rPr>
  </w:style>
  <w:style w:type="paragraph" w:styleId="Listaconnmeros2">
    <w:name w:val="List Number 2"/>
    <w:basedOn w:val="Normal"/>
    <w:pPr>
      <w:numPr>
        <w:numId w:val="2"/>
      </w:numPr>
    </w:pPr>
    <w:rPr>
      <w:rFonts w:ascii="Arial" w:hAnsi="Arial"/>
      <w:color w:val="auto"/>
      <w:sz w:val="24"/>
      <w:lang w:val="es-PE"/>
    </w:rPr>
  </w:style>
  <w:style w:type="paragraph" w:styleId="Listaconnmeros3">
    <w:name w:val="List Number 3"/>
    <w:basedOn w:val="Normal"/>
    <w:pPr>
      <w:numPr>
        <w:numId w:val="3"/>
      </w:numPr>
    </w:pPr>
    <w:rPr>
      <w:rFonts w:ascii="Arial" w:hAnsi="Arial"/>
      <w:color w:val="auto"/>
      <w:sz w:val="24"/>
      <w:lang w:val="es-PE"/>
    </w:rPr>
  </w:style>
  <w:style w:type="paragraph" w:styleId="Listaconnmeros4">
    <w:name w:val="List Number 4"/>
    <w:basedOn w:val="Normal"/>
    <w:pPr>
      <w:numPr>
        <w:numId w:val="4"/>
      </w:numPr>
    </w:pPr>
    <w:rPr>
      <w:rFonts w:ascii="Arial" w:hAnsi="Arial"/>
      <w:color w:val="auto"/>
      <w:sz w:val="24"/>
      <w:lang w:val="es-PE"/>
    </w:rPr>
  </w:style>
  <w:style w:type="paragraph" w:styleId="Listaconnmeros5">
    <w:name w:val="List Number 5"/>
    <w:basedOn w:val="Normal"/>
    <w:pPr>
      <w:numPr>
        <w:numId w:val="5"/>
      </w:numPr>
    </w:pPr>
    <w:rPr>
      <w:rFonts w:ascii="Arial" w:hAnsi="Arial"/>
      <w:color w:val="auto"/>
      <w:sz w:val="24"/>
      <w:lang w:val="es-PE"/>
    </w:rPr>
  </w:style>
  <w:style w:type="paragraph" w:styleId="Listaconvietas">
    <w:name w:val="List Bullet"/>
    <w:basedOn w:val="Normal"/>
    <w:autoRedefine/>
    <w:pPr>
      <w:numPr>
        <w:numId w:val="6"/>
      </w:numPr>
    </w:pPr>
    <w:rPr>
      <w:rFonts w:ascii="Arial" w:hAnsi="Arial"/>
      <w:color w:val="auto"/>
      <w:sz w:val="24"/>
      <w:lang w:val="es-PE"/>
    </w:rPr>
  </w:style>
  <w:style w:type="paragraph" w:styleId="Listaconvietas2">
    <w:name w:val="List Bullet 2"/>
    <w:basedOn w:val="Normal"/>
    <w:autoRedefine/>
    <w:pPr>
      <w:numPr>
        <w:numId w:val="7"/>
      </w:numPr>
    </w:pPr>
    <w:rPr>
      <w:rFonts w:ascii="Arial" w:hAnsi="Arial"/>
      <w:color w:val="auto"/>
      <w:sz w:val="24"/>
      <w:lang w:val="es-PE"/>
    </w:rPr>
  </w:style>
  <w:style w:type="paragraph" w:styleId="Listaconvietas3">
    <w:name w:val="List Bullet 3"/>
    <w:basedOn w:val="Normal"/>
    <w:autoRedefine/>
    <w:pPr>
      <w:tabs>
        <w:tab w:val="num" w:pos="926"/>
      </w:tabs>
      <w:ind w:left="926" w:hanging="360"/>
    </w:pPr>
    <w:rPr>
      <w:rFonts w:ascii="Arial" w:hAnsi="Arial"/>
      <w:color w:val="auto"/>
      <w:sz w:val="24"/>
      <w:lang w:val="es-PE"/>
    </w:rPr>
  </w:style>
  <w:style w:type="paragraph" w:styleId="Listaconvietas4">
    <w:name w:val="List Bullet 4"/>
    <w:basedOn w:val="Normal"/>
    <w:autoRedefine/>
    <w:pPr>
      <w:tabs>
        <w:tab w:val="num" w:pos="1209"/>
      </w:tabs>
      <w:ind w:left="1209" w:hanging="360"/>
    </w:pPr>
    <w:rPr>
      <w:rFonts w:ascii="Arial" w:hAnsi="Arial"/>
      <w:color w:val="auto"/>
      <w:sz w:val="24"/>
      <w:lang w:val="es-PE"/>
    </w:rPr>
  </w:style>
  <w:style w:type="paragraph" w:styleId="Listaconvietas5">
    <w:name w:val="List Bullet 5"/>
    <w:basedOn w:val="Normal"/>
    <w:autoRedefine/>
    <w:pPr>
      <w:numPr>
        <w:numId w:val="8"/>
      </w:numPr>
    </w:pPr>
    <w:rPr>
      <w:rFonts w:ascii="Arial" w:hAnsi="Arial"/>
      <w:color w:val="auto"/>
      <w:sz w:val="24"/>
      <w:lang w:val="es-PE"/>
    </w:rPr>
  </w:style>
  <w:style w:type="paragraph" w:styleId="Saludo">
    <w:name w:val="Salutation"/>
    <w:basedOn w:val="Normal"/>
    <w:next w:val="Normal"/>
    <w:rPr>
      <w:rFonts w:ascii="Arial" w:hAnsi="Arial"/>
      <w:color w:val="auto"/>
      <w:sz w:val="24"/>
      <w:lang w:val="es-PE"/>
    </w:rPr>
  </w:style>
  <w:style w:type="paragraph" w:styleId="Sangranormal">
    <w:name w:val="Normal Indent"/>
    <w:basedOn w:val="Normal"/>
    <w:pPr>
      <w:ind w:left="708"/>
    </w:pPr>
    <w:rPr>
      <w:rFonts w:ascii="Arial" w:hAnsi="Arial"/>
      <w:color w:val="auto"/>
      <w:sz w:val="24"/>
      <w:lang w:val="es-PE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  <w:color w:val="auto"/>
      <w:sz w:val="24"/>
      <w:lang w:val="es-PE"/>
    </w:rPr>
  </w:style>
  <w:style w:type="paragraph" w:styleId="Tabladeilustraciones">
    <w:name w:val="table of figures"/>
    <w:basedOn w:val="Normal"/>
    <w:next w:val="Normal"/>
    <w:semiHidden/>
    <w:pPr>
      <w:ind w:left="480" w:hanging="480"/>
    </w:pPr>
    <w:rPr>
      <w:rFonts w:ascii="Arial" w:hAnsi="Arial"/>
      <w:color w:val="auto"/>
      <w:sz w:val="24"/>
      <w:lang w:val="es-PE"/>
    </w:rPr>
  </w:style>
  <w:style w:type="paragraph" w:styleId="TDC1">
    <w:name w:val="toc 1"/>
    <w:basedOn w:val="Normal"/>
    <w:next w:val="Normal"/>
    <w:autoRedefine/>
    <w:semiHidden/>
    <w:rPr>
      <w:rFonts w:ascii="Arial" w:hAnsi="Arial"/>
      <w:color w:val="auto"/>
      <w:sz w:val="24"/>
      <w:lang w:val="es-PE"/>
    </w:rPr>
  </w:style>
  <w:style w:type="paragraph" w:styleId="TDC2">
    <w:name w:val="toc 2"/>
    <w:basedOn w:val="Normal"/>
    <w:next w:val="Normal"/>
    <w:autoRedefine/>
    <w:semiHidden/>
    <w:pPr>
      <w:ind w:left="240"/>
    </w:pPr>
    <w:rPr>
      <w:rFonts w:ascii="Arial" w:hAnsi="Arial"/>
      <w:color w:val="auto"/>
      <w:sz w:val="24"/>
      <w:lang w:val="es-PE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Arial" w:hAnsi="Arial"/>
      <w:color w:val="auto"/>
      <w:sz w:val="24"/>
      <w:lang w:val="es-PE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rFonts w:ascii="Arial" w:hAnsi="Arial"/>
      <w:color w:val="auto"/>
      <w:sz w:val="24"/>
      <w:lang w:val="es-PE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rFonts w:ascii="Arial" w:hAnsi="Arial"/>
      <w:color w:val="auto"/>
      <w:sz w:val="24"/>
      <w:lang w:val="es-PE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  <w:rPr>
      <w:rFonts w:ascii="Arial" w:hAnsi="Arial"/>
      <w:color w:val="auto"/>
      <w:sz w:val="24"/>
      <w:lang w:val="es-PE"/>
    </w:rPr>
  </w:style>
  <w:style w:type="paragraph" w:styleId="Textoindependienteprimerasangra">
    <w:name w:val="Body Text First Indent"/>
    <w:basedOn w:val="Textoindependiente"/>
    <w:pPr>
      <w:spacing w:after="120"/>
      <w:ind w:right="0" w:firstLine="210"/>
    </w:pPr>
    <w:rPr>
      <w:rFonts w:ascii="Arial" w:hAnsi="Arial"/>
      <w:sz w:val="24"/>
      <w:lang w:eastAsia="es-ES"/>
    </w:rPr>
  </w:style>
  <w:style w:type="paragraph" w:styleId="Textoindependienteprimerasangra2">
    <w:name w:val="Body Text First Indent 2"/>
    <w:basedOn w:val="Sangradetextonormal"/>
    <w:pPr>
      <w:ind w:firstLine="210"/>
    </w:pPr>
    <w:rPr>
      <w:rFonts w:ascii="Arial" w:hAnsi="Arial"/>
      <w:color w:val="auto"/>
      <w:sz w:val="24"/>
    </w:r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s-ES" w:eastAsia="es-ES"/>
    </w:rPr>
  </w:style>
  <w:style w:type="paragraph" w:styleId="Textonotaalfinal">
    <w:name w:val="endnote text"/>
    <w:basedOn w:val="Normal"/>
    <w:semiHidden/>
    <w:rPr>
      <w:rFonts w:ascii="Arial" w:hAnsi="Arial"/>
      <w:color w:val="auto"/>
      <w:lang w:val="es-PE"/>
    </w:rPr>
  </w:style>
  <w:style w:type="paragraph" w:styleId="Ttulodendice">
    <w:name w:val="index heading"/>
    <w:basedOn w:val="Normal"/>
    <w:next w:val="ndice1"/>
    <w:semiHidden/>
    <w:rPr>
      <w:rFonts w:ascii="Arial" w:hAnsi="Arial"/>
      <w:b/>
      <w:color w:val="auto"/>
      <w:sz w:val="24"/>
      <w:lang w:val="es-PE"/>
    </w:rPr>
  </w:style>
  <w:style w:type="character" w:customStyle="1" w:styleId="CarCar">
    <w:name w:val="Car Car"/>
    <w:rPr>
      <w:rFonts w:ascii="Arial" w:hAnsi="Arial"/>
      <w:b/>
      <w:sz w:val="24"/>
      <w:lang w:val="es-PE" w:eastAsia="es-ES" w:bidi="ar-SA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22">
    <w:name w:val="xl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18"/>
      <w:szCs w:val="18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Texto">
    <w:name w:val="Texto"/>
    <w:basedOn w:val="Normal"/>
    <w:rsid w:val="001E3A2C"/>
    <w:pPr>
      <w:spacing w:before="160"/>
      <w:ind w:left="454"/>
      <w:jc w:val="both"/>
    </w:pPr>
    <w:rPr>
      <w:rFonts w:ascii="Univers" w:hAnsi="Univers"/>
      <w:color w:val="auto"/>
      <w:sz w:val="24"/>
      <w:lang w:val="es-ES_tradnl"/>
    </w:rPr>
  </w:style>
  <w:style w:type="character" w:customStyle="1" w:styleId="TextonotapieCar">
    <w:name w:val="Texto nota pie Car"/>
    <w:link w:val="Textonotapie"/>
    <w:rsid w:val="00C764A7"/>
    <w:rPr>
      <w:rFonts w:ascii="Arial" w:hAnsi="Arial"/>
      <w:sz w:val="16"/>
    </w:rPr>
  </w:style>
  <w:style w:type="character" w:customStyle="1" w:styleId="TtuloCar">
    <w:name w:val="Título Car"/>
    <w:link w:val="Ttulo"/>
    <w:rsid w:val="008334BD"/>
    <w:rPr>
      <w:rFonts w:ascii="Arial" w:hAnsi="Arial"/>
      <w:b/>
      <w:sz w:val="24"/>
      <w:lang w:val="es-ES" w:eastAsia="es-ES"/>
    </w:rPr>
  </w:style>
  <w:style w:type="character" w:customStyle="1" w:styleId="PrrafodelistaCar">
    <w:name w:val="Párrafo de lista Car"/>
    <w:aliases w:val="w Parrafo numerado Car"/>
    <w:link w:val="Prrafodelista"/>
    <w:uiPriority w:val="34"/>
    <w:rsid w:val="007D5D43"/>
    <w:rPr>
      <w:sz w:val="24"/>
      <w:szCs w:val="24"/>
      <w:lang w:val="es-ES" w:eastAsia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A62943"/>
    <w:pPr>
      <w:outlineLvl w:val="9"/>
    </w:pPr>
    <w:rPr>
      <w:rFonts w:ascii="Cambria" w:hAnsi="Cambria" w:cs="Times New Roman"/>
    </w:rPr>
  </w:style>
  <w:style w:type="character" w:customStyle="1" w:styleId="EncabezadoCar">
    <w:name w:val="Encabezado Car"/>
    <w:link w:val="Encabezado"/>
    <w:uiPriority w:val="99"/>
    <w:rsid w:val="00A62943"/>
    <w:rPr>
      <w:color w:val="000000"/>
      <w:lang w:val="es-ES" w:eastAsia="es-ES"/>
    </w:rPr>
  </w:style>
  <w:style w:type="character" w:styleId="Ttulodellibro">
    <w:name w:val="Book Title"/>
    <w:uiPriority w:val="33"/>
    <w:qFormat/>
    <w:rsid w:val="00A62943"/>
    <w:rPr>
      <w:b/>
      <w:bCs/>
      <w:smallCaps/>
      <w:spacing w:val="5"/>
    </w:rPr>
  </w:style>
  <w:style w:type="paragraph" w:styleId="Sinespaciado">
    <w:name w:val="No Spacing"/>
    <w:uiPriority w:val="1"/>
    <w:qFormat/>
    <w:rsid w:val="00A62943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A62943"/>
    <w:rPr>
      <w:color w:val="000000"/>
      <w:lang w:val="es-ES" w:eastAsia="es-ES"/>
    </w:rPr>
  </w:style>
  <w:style w:type="character" w:customStyle="1" w:styleId="Ttulo3Car">
    <w:name w:val="Título 3 Car"/>
    <w:link w:val="Ttulo3"/>
    <w:rsid w:val="00A62943"/>
    <w:rPr>
      <w:rFonts w:ascii="Arial" w:hAnsi="Arial"/>
      <w:b/>
      <w:lang w:val="es-ES" w:eastAsia="es-ES"/>
    </w:rPr>
  </w:style>
  <w:style w:type="character" w:customStyle="1" w:styleId="TextosinformatoCar">
    <w:name w:val="Texto sin formato Car"/>
    <w:link w:val="Textosinformato"/>
    <w:rsid w:val="00636A72"/>
    <w:rPr>
      <w:rFonts w:ascii="Courier New" w:hAnsi="Courier New"/>
      <w:lang w:val="es-VE"/>
    </w:rPr>
  </w:style>
  <w:style w:type="character" w:customStyle="1" w:styleId="Ttulo2Car">
    <w:name w:val="Título 2 Car"/>
    <w:link w:val="Ttulo2"/>
    <w:rsid w:val="00A25891"/>
    <w:rPr>
      <w:rFonts w:ascii="Arial" w:hAnsi="Arial"/>
      <w:b/>
      <w:u w:val="single"/>
      <w:lang w:val="es-ES" w:eastAsia="es-ES"/>
    </w:rPr>
  </w:style>
  <w:style w:type="character" w:customStyle="1" w:styleId="apple-converted-space">
    <w:name w:val="apple-converted-space"/>
    <w:basedOn w:val="Fuentedeprrafopredeter"/>
    <w:rsid w:val="00924BBE"/>
  </w:style>
  <w:style w:type="paragraph" w:styleId="Revisin">
    <w:name w:val="Revision"/>
    <w:hidden/>
    <w:uiPriority w:val="99"/>
    <w:semiHidden/>
    <w:rsid w:val="00387D6F"/>
    <w:rPr>
      <w:color w:val="000000"/>
      <w:lang w:val="es-ES" w:eastAsia="es-ES"/>
    </w:rPr>
  </w:style>
  <w:style w:type="paragraph" w:customStyle="1" w:styleId="xmsonormal">
    <w:name w:val="x_msonormal"/>
    <w:basedOn w:val="Normal"/>
    <w:rsid w:val="009924B2"/>
    <w:pPr>
      <w:spacing w:before="100" w:beforeAutospacing="1" w:after="100" w:afterAutospacing="1"/>
    </w:pPr>
    <w:rPr>
      <w:color w:val="auto"/>
      <w:sz w:val="24"/>
      <w:szCs w:val="24"/>
      <w:lang w:val="es-PE" w:eastAsia="es-PE"/>
    </w:rPr>
  </w:style>
  <w:style w:type="character" w:customStyle="1" w:styleId="TextoindependienteCar">
    <w:name w:val="Texto independiente Car"/>
    <w:link w:val="Textoindependiente"/>
    <w:rsid w:val="00EB2FF1"/>
    <w:rPr>
      <w:rFonts w:ascii="OCR-B-10 BT" w:hAnsi="OCR-B-10 BT"/>
    </w:rPr>
  </w:style>
  <w:style w:type="paragraph" w:customStyle="1" w:styleId="Default">
    <w:name w:val="Default"/>
    <w:rsid w:val="0070796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1C6C3D"/>
    <w:rPr>
      <w:rFonts w:ascii="Arial" w:hAnsi="Arial" w:cs="Arial"/>
      <w:b/>
      <w:bCs/>
      <w:color w:val="000000"/>
      <w:kern w:val="32"/>
      <w:sz w:val="32"/>
      <w:szCs w:val="32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C6C3D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1C6C3D"/>
    <w:rPr>
      <w:rFonts w:ascii="Arial" w:hAnsi="Arial"/>
      <w:b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1C6C3D"/>
    <w:rPr>
      <w:b/>
      <w:bCs/>
      <w:color w:val="000000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1C6C3D"/>
    <w:rPr>
      <w:color w:val="000000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1C6C3D"/>
    <w:rPr>
      <w:i/>
      <w:iCs/>
      <w:color w:val="000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C6C3D"/>
    <w:rPr>
      <w:rFonts w:ascii="Arial" w:hAnsi="Arial"/>
      <w:b/>
      <w:sz w:val="22"/>
    </w:rPr>
  </w:style>
  <w:style w:type="table" w:styleId="Tablaconcuadrcula">
    <w:name w:val="Table Grid"/>
    <w:basedOn w:val="Tablanormal"/>
    <w:rsid w:val="001C6C3D"/>
    <w:pPr>
      <w:widowControl w:val="0"/>
      <w:adjustRightInd w:val="0"/>
      <w:spacing w:line="360" w:lineRule="atLeast"/>
      <w:jc w:val="both"/>
      <w:textAlignment w:val="baseline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1C6C3D"/>
    <w:rPr>
      <w:color w:val="00000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1C6C3D"/>
    <w:rPr>
      <w:rFonts w:ascii="Tahoma" w:hAnsi="Tahoma" w:cs="Tahoma"/>
      <w:color w:val="000000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1C6C3D"/>
    <w:pPr>
      <w:widowControl w:val="0"/>
      <w:adjustRightInd w:val="0"/>
      <w:spacing w:line="360" w:lineRule="atLeast"/>
      <w:ind w:left="720"/>
      <w:jc w:val="both"/>
      <w:textAlignment w:val="baseline"/>
    </w:pPr>
  </w:style>
  <w:style w:type="character" w:customStyle="1" w:styleId="Textoindependiente2Car">
    <w:name w:val="Texto independiente 2 Car"/>
    <w:basedOn w:val="Fuentedeprrafopredeter"/>
    <w:link w:val="Textoindependiente2"/>
    <w:rsid w:val="001C6C3D"/>
  </w:style>
  <w:style w:type="character" w:customStyle="1" w:styleId="Textoindependiente3Car">
    <w:name w:val="Texto independiente 3 Car"/>
    <w:basedOn w:val="Fuentedeprrafopredeter"/>
    <w:link w:val="Textoindependiente3"/>
    <w:rsid w:val="001C6C3D"/>
    <w:rPr>
      <w:sz w:val="16"/>
      <w:szCs w:val="16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C6C3D"/>
    <w:rPr>
      <w:rFonts w:ascii="Arial" w:hAnsi="Arial"/>
      <w:color w:val="000000"/>
      <w:sz w:val="24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C6C3D"/>
    <w:rPr>
      <w:rFonts w:ascii="Arial" w:hAnsi="Arial"/>
      <w:sz w:val="24"/>
    </w:rPr>
  </w:style>
  <w:style w:type="paragraph" w:customStyle="1" w:styleId="PlainText1">
    <w:name w:val="Plain Text1"/>
    <w:basedOn w:val="Normal"/>
    <w:rsid w:val="001C6C3D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  <w:color w:val="auto"/>
      <w:lang w:eastAsia="es-PE"/>
    </w:rPr>
  </w:style>
  <w:style w:type="numbering" w:customStyle="1" w:styleId="Sinlista1">
    <w:name w:val="Sin lista1"/>
    <w:next w:val="Sinlista"/>
    <w:semiHidden/>
    <w:rsid w:val="001C6C3D"/>
  </w:style>
  <w:style w:type="character" w:customStyle="1" w:styleId="AsuntodelcomentarioCar">
    <w:name w:val="Asunto del comentario Car"/>
    <w:basedOn w:val="TextocomentarioCar"/>
    <w:link w:val="Asuntodelcomentario"/>
    <w:semiHidden/>
    <w:rsid w:val="001C6C3D"/>
    <w:rPr>
      <w:b/>
      <w:bCs/>
      <w:color w:val="000000"/>
      <w:lang w:val="es-ES" w:eastAsia="es-ES" w:bidi="ar-SA"/>
    </w:rPr>
  </w:style>
  <w:style w:type="numbering" w:customStyle="1" w:styleId="Sinlista2">
    <w:name w:val="Sin lista2"/>
    <w:next w:val="Sinlista"/>
    <w:semiHidden/>
    <w:rsid w:val="001C6C3D"/>
  </w:style>
  <w:style w:type="numbering" w:customStyle="1" w:styleId="Sinlista11">
    <w:name w:val="Sin lista11"/>
    <w:next w:val="Sinlista"/>
    <w:semiHidden/>
    <w:rsid w:val="001C6C3D"/>
  </w:style>
  <w:style w:type="table" w:customStyle="1" w:styleId="Tablaconcuadrcula1">
    <w:name w:val="Tabla con cuadrícula1"/>
    <w:basedOn w:val="Tablanormal"/>
    <w:next w:val="Tablaconcuadrcula"/>
    <w:rsid w:val="001C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2">
    <w:name w:val="Texto sin formato2"/>
    <w:basedOn w:val="Normal"/>
    <w:rsid w:val="000F010E"/>
    <w:pPr>
      <w:widowControl w:val="0"/>
    </w:pPr>
    <w:rPr>
      <w:rFonts w:ascii="Courier New" w:hAnsi="Courier New"/>
      <w:color w:val="auto"/>
      <w:lang w:val="es-PE" w:eastAsia="es-PE"/>
    </w:rPr>
  </w:style>
  <w:style w:type="paragraph" w:customStyle="1" w:styleId="a">
    <w:basedOn w:val="Ttulo1"/>
    <w:next w:val="Normal"/>
    <w:uiPriority w:val="39"/>
    <w:unhideWhenUsed/>
    <w:qFormat/>
    <w:rsid w:val="000F010E"/>
    <w:pPr>
      <w:outlineLvl w:val="9"/>
    </w:pPr>
    <w:rPr>
      <w:rFonts w:ascii="Cambria" w:hAnsi="Cambria" w:cs="Times New Roman"/>
    </w:rPr>
  </w:style>
  <w:style w:type="character" w:customStyle="1" w:styleId="CarCar0">
    <w:name w:val="Car Car"/>
    <w:rsid w:val="000F010E"/>
    <w:rPr>
      <w:rFonts w:ascii="Arial" w:hAnsi="Arial"/>
      <w:b/>
      <w:sz w:val="24"/>
      <w:lang w:val="es-PE"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0F010E"/>
    <w:rPr>
      <w:color w:val="605E5C"/>
      <w:shd w:val="clear" w:color="auto" w:fill="E1DFDD"/>
    </w:rPr>
  </w:style>
  <w:style w:type="paragraph" w:customStyle="1" w:styleId="Derechi">
    <w:name w:val="Derechi"/>
    <w:basedOn w:val="Normal"/>
    <w:rsid w:val="000F010E"/>
    <w:pPr>
      <w:ind w:left="5954"/>
      <w:jc w:val="both"/>
    </w:pPr>
    <w:rPr>
      <w:rFonts w:ascii="Arial" w:hAnsi="Arial"/>
      <w:snapToGrid w:val="0"/>
      <w:color w:val="auto"/>
      <w:sz w:val="24"/>
      <w:lang w:val="es-ES_tradnl"/>
    </w:rPr>
  </w:style>
  <w:style w:type="character" w:customStyle="1" w:styleId="xdtextbox1">
    <w:name w:val="xdtextbox1"/>
    <w:rsid w:val="000F010E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38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divBdr>
                                          <w:divsChild>
                                            <w:div w:id="28110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8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474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divBdr>
                                          <w:divsChild>
                                            <w:div w:id="472911839">
                                              <w:marLeft w:val="68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16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1.emf"/><Relationship Id="rId39" Type="http://schemas.openxmlformats.org/officeDocument/2006/relationships/image" Target="media/image14.emf"/><Relationship Id="rId21" Type="http://schemas.openxmlformats.org/officeDocument/2006/relationships/image" Target="media/image10.emf"/><Relationship Id="rId34" Type="http://schemas.openxmlformats.org/officeDocument/2006/relationships/header" Target="header8.xml"/><Relationship Id="rId42" Type="http://schemas.openxmlformats.org/officeDocument/2006/relationships/footer" Target="footer9.xml"/><Relationship Id="rId47" Type="http://schemas.openxmlformats.org/officeDocument/2006/relationships/image" Target="media/image17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footer" Target="footer5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32" Type="http://schemas.openxmlformats.org/officeDocument/2006/relationships/image" Target="media/image13.emf"/><Relationship Id="rId37" Type="http://schemas.openxmlformats.org/officeDocument/2006/relationships/header" Target="header10.xml"/><Relationship Id="rId40" Type="http://schemas.openxmlformats.org/officeDocument/2006/relationships/image" Target="media/image15.emf"/><Relationship Id="rId45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36" Type="http://schemas.openxmlformats.org/officeDocument/2006/relationships/header" Target="header9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31" Type="http://schemas.openxmlformats.org/officeDocument/2006/relationships/footer" Target="footer6.xml"/><Relationship Id="rId44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Relationship Id="rId22" Type="http://schemas.openxmlformats.org/officeDocument/2006/relationships/header" Target="header3.xml"/><Relationship Id="rId27" Type="http://schemas.openxmlformats.org/officeDocument/2006/relationships/image" Target="media/image12.emf"/><Relationship Id="rId30" Type="http://schemas.openxmlformats.org/officeDocument/2006/relationships/header" Target="header6.xml"/><Relationship Id="rId35" Type="http://schemas.openxmlformats.org/officeDocument/2006/relationships/footer" Target="footer7.xml"/><Relationship Id="rId43" Type="http://schemas.openxmlformats.org/officeDocument/2006/relationships/image" Target="media/image16.emf"/><Relationship Id="rId48" Type="http://schemas.openxmlformats.org/officeDocument/2006/relationships/header" Target="header14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oter" Target="footer4.xml"/><Relationship Id="rId33" Type="http://schemas.openxmlformats.org/officeDocument/2006/relationships/header" Target="header7.xml"/><Relationship Id="rId38" Type="http://schemas.openxmlformats.org/officeDocument/2006/relationships/footer" Target="footer8.xml"/><Relationship Id="rId46" Type="http://schemas.openxmlformats.org/officeDocument/2006/relationships/footer" Target="footer10.xml"/><Relationship Id="rId20" Type="http://schemas.openxmlformats.org/officeDocument/2006/relationships/footer" Target="footer2.xm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E74A-60D7-4DE7-9810-82E3A810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4565</Words>
  <Characters>25111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- VIGÉSIMO TERCERA REUNIÓN DE EXPERTOS GUBERNAMENTALES EN ESTADÍSTICAS DE TRANSPORTE ACUÁTICO DE LA COMUNIDAD ANDINA</vt:lpstr>
    </vt:vector>
  </TitlesOfParts>
  <Company>Toshiba</Company>
  <LinksUpToDate>false</LinksUpToDate>
  <CharactersWithSpaces>29617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- VIGÉSIMO TERCERA REUNIÓN DE EXPERTOS GUBERNAMENTALES EN ESTADÍSTICAS DE TRANSPORTE ACUÁTICO DE LA COMUNIDAD ANDINA</dc:title>
  <dc:subject>16/5/2013</dc:subject>
  <dc:creator>Shirley Holguin</dc:creator>
  <cp:keywords>Informe</cp:keywords>
  <cp:lastModifiedBy>Maria Avila Moreno</cp:lastModifiedBy>
  <cp:revision>4</cp:revision>
  <cp:lastPrinted>2019-11-08T15:37:00Z</cp:lastPrinted>
  <dcterms:created xsi:type="dcterms:W3CDTF">2024-02-28T13:45:00Z</dcterms:created>
  <dcterms:modified xsi:type="dcterms:W3CDTF">2024-02-28T14:01:00Z</dcterms:modified>
</cp:coreProperties>
</file>