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0F61" w14:textId="15F6BBE6" w:rsidR="004000F1" w:rsidRPr="00DA5DAC" w:rsidRDefault="004000F1">
      <w:pPr>
        <w:pStyle w:val="Ttulo1"/>
        <w:rPr>
          <w:rFonts w:cs="Arial"/>
          <w:sz w:val="22"/>
          <w:szCs w:val="22"/>
        </w:rPr>
      </w:pPr>
      <w:r w:rsidRPr="00DA5DAC">
        <w:rPr>
          <w:rFonts w:cs="Arial"/>
          <w:sz w:val="22"/>
          <w:szCs w:val="22"/>
        </w:rPr>
        <w:t>DECISION</w:t>
      </w:r>
      <w:r w:rsidR="00DC22B5" w:rsidRPr="00DA5DAC">
        <w:rPr>
          <w:rFonts w:cs="Arial"/>
          <w:sz w:val="22"/>
          <w:szCs w:val="22"/>
        </w:rPr>
        <w:t xml:space="preserve"> </w:t>
      </w:r>
      <w:proofErr w:type="spellStart"/>
      <w:r w:rsidR="00DA4A40" w:rsidRPr="00DA5DAC">
        <w:rPr>
          <w:rFonts w:cs="Arial"/>
          <w:sz w:val="22"/>
          <w:szCs w:val="22"/>
        </w:rPr>
        <w:t>N°</w:t>
      </w:r>
      <w:proofErr w:type="spellEnd"/>
      <w:r w:rsidR="00DA4A40" w:rsidRPr="00DA5DAC">
        <w:rPr>
          <w:rFonts w:cs="Arial"/>
          <w:sz w:val="22"/>
          <w:szCs w:val="22"/>
        </w:rPr>
        <w:t xml:space="preserve"> </w:t>
      </w:r>
      <w:r w:rsidR="00B37CB5" w:rsidRPr="00DA5DAC">
        <w:rPr>
          <w:rFonts w:cs="Arial"/>
          <w:sz w:val="22"/>
          <w:szCs w:val="22"/>
        </w:rPr>
        <w:t>91</w:t>
      </w:r>
      <w:r w:rsidR="00A406EC" w:rsidRPr="00DA5DAC">
        <w:rPr>
          <w:rFonts w:cs="Arial"/>
          <w:sz w:val="22"/>
          <w:szCs w:val="22"/>
        </w:rPr>
        <w:t>4</w:t>
      </w:r>
    </w:p>
    <w:p w14:paraId="35932EC9" w14:textId="77777777" w:rsidR="00A406EC" w:rsidRPr="00DA5DAC" w:rsidRDefault="00A406EC" w:rsidP="00A406EC">
      <w:pPr>
        <w:rPr>
          <w:rFonts w:ascii="Arial" w:hAnsi="Arial" w:cs="Arial"/>
          <w:sz w:val="22"/>
          <w:szCs w:val="22"/>
          <w:lang w:val="es-ES_tradnl" w:eastAsia="es-ES"/>
        </w:rPr>
      </w:pPr>
    </w:p>
    <w:p w14:paraId="44C5B628" w14:textId="77777777" w:rsidR="004000F1" w:rsidRPr="00DA5DAC" w:rsidRDefault="004000F1">
      <w:pPr>
        <w:spacing w:line="264" w:lineRule="exact"/>
        <w:ind w:left="5040" w:hanging="2880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</w:p>
    <w:p w14:paraId="6FEA0607" w14:textId="78B3ACAC" w:rsidR="004000F1" w:rsidRPr="00DA5DAC" w:rsidRDefault="00A406EC" w:rsidP="00A406EC">
      <w:pPr>
        <w:pStyle w:val="Ttulo"/>
        <w:ind w:left="4820"/>
        <w:jc w:val="both"/>
        <w:rPr>
          <w:rFonts w:cs="Arial"/>
          <w:b w:val="0"/>
          <w:sz w:val="22"/>
          <w:szCs w:val="22"/>
          <w:lang w:val="es-ES"/>
        </w:rPr>
      </w:pPr>
      <w:r w:rsidRPr="00DA5DAC">
        <w:rPr>
          <w:rFonts w:cs="Arial"/>
          <w:sz w:val="22"/>
          <w:szCs w:val="22"/>
        </w:rPr>
        <w:t xml:space="preserve">            </w:t>
      </w:r>
      <w:r w:rsidR="00FF1328" w:rsidRPr="00DA5DAC">
        <w:rPr>
          <w:rFonts w:cs="Arial"/>
          <w:sz w:val="22"/>
          <w:szCs w:val="22"/>
        </w:rPr>
        <w:t xml:space="preserve"> </w:t>
      </w:r>
      <w:r w:rsidR="00DA5DAC">
        <w:rPr>
          <w:rFonts w:cs="Arial"/>
          <w:sz w:val="22"/>
          <w:szCs w:val="22"/>
        </w:rPr>
        <w:t xml:space="preserve">     </w:t>
      </w:r>
      <w:r w:rsidR="00FF1328" w:rsidRPr="00DA5DAC">
        <w:rPr>
          <w:rFonts w:cs="Arial"/>
          <w:b w:val="0"/>
          <w:sz w:val="22"/>
          <w:szCs w:val="22"/>
          <w:lang w:val="es-ES"/>
        </w:rPr>
        <w:t xml:space="preserve">Modificación </w:t>
      </w:r>
      <w:r w:rsidR="009C6B98" w:rsidRPr="00DA5DAC">
        <w:rPr>
          <w:rFonts w:cs="Arial"/>
          <w:b w:val="0"/>
          <w:sz w:val="22"/>
          <w:szCs w:val="22"/>
          <w:lang w:val="es-ES"/>
        </w:rPr>
        <w:t>de la Decisión 837</w:t>
      </w:r>
      <w:r w:rsidR="004000F1" w:rsidRPr="00DA5DAC">
        <w:rPr>
          <w:rFonts w:cs="Arial"/>
          <w:b w:val="0"/>
          <w:sz w:val="22"/>
          <w:szCs w:val="22"/>
          <w:lang w:val="es-ES"/>
        </w:rPr>
        <w:t xml:space="preserve"> </w:t>
      </w:r>
    </w:p>
    <w:p w14:paraId="7FF63127" w14:textId="77777777" w:rsidR="004000F1" w:rsidRPr="00DA5DAC" w:rsidRDefault="004000F1">
      <w:pPr>
        <w:spacing w:line="264" w:lineRule="exact"/>
        <w:ind w:left="720" w:hanging="2880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22C893B0" w14:textId="77777777" w:rsidR="004000F1" w:rsidRPr="00DA5DAC" w:rsidRDefault="004000F1">
      <w:pPr>
        <w:spacing w:line="264" w:lineRule="exact"/>
        <w:jc w:val="center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03D69DC9" w14:textId="77777777" w:rsidR="004000F1" w:rsidRPr="00DA5DAC" w:rsidRDefault="004000F1">
      <w:pPr>
        <w:spacing w:line="264" w:lineRule="exact"/>
        <w:ind w:firstLine="720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LA COMISION DE</w:t>
      </w:r>
      <w:r w:rsidR="00A66183"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 xml:space="preserve"> </w:t>
      </w: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L</w:t>
      </w:r>
      <w:r w:rsidR="00A66183"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A COMUNIDAD ANDINA</w:t>
      </w: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,</w:t>
      </w:r>
    </w:p>
    <w:p w14:paraId="5B6FC923" w14:textId="02153E3A" w:rsidR="004000F1" w:rsidRPr="00DA5DAC" w:rsidRDefault="00863E19">
      <w:pPr>
        <w:spacing w:line="264" w:lineRule="exact"/>
        <w:ind w:firstLine="720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ab/>
      </w: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ab/>
      </w:r>
    </w:p>
    <w:p w14:paraId="02473377" w14:textId="37E135B3" w:rsidR="00FF1328" w:rsidRPr="00DA5DAC" w:rsidRDefault="00FF1328" w:rsidP="00863E19">
      <w:pPr>
        <w:spacing w:line="264" w:lineRule="exact"/>
        <w:ind w:firstLine="720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bCs/>
          <w:snapToGrid w:val="0"/>
          <w:sz w:val="22"/>
          <w:szCs w:val="22"/>
          <w:lang w:val="es-ES_tradnl" w:eastAsia="es-ES"/>
        </w:rPr>
        <w:t>VISTOS</w:t>
      </w:r>
      <w:r w:rsidR="00863E19" w:rsidRPr="00DA5DAC">
        <w:rPr>
          <w:rFonts w:ascii="Arial" w:hAnsi="Arial" w:cs="Arial"/>
          <w:sz w:val="22"/>
          <w:szCs w:val="22"/>
        </w:rPr>
        <w:t xml:space="preserve"> </w:t>
      </w:r>
      <w:r w:rsidR="00863E1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Las Decisiones 837, 617 y 848</w:t>
      </w:r>
      <w:r w:rsidR="002437A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="00863E1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de la Comisión de la Comunidad Andina, y;</w:t>
      </w:r>
    </w:p>
    <w:p w14:paraId="3443B6BD" w14:textId="77777777" w:rsidR="00863E19" w:rsidRPr="00DA5DAC" w:rsidRDefault="00863E19" w:rsidP="00863E19">
      <w:pPr>
        <w:spacing w:line="264" w:lineRule="exact"/>
        <w:ind w:firstLine="720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387BFB67" w14:textId="77777777" w:rsidR="004000F1" w:rsidRPr="00DA5DAC" w:rsidRDefault="004000F1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CONSIDERANDO:</w:t>
      </w:r>
      <w:r w:rsidR="00E52E4D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bookmarkStart w:id="0" w:name="_Hlk111021161"/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Que</w:t>
      </w:r>
      <w:r w:rsidR="007F04FE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,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el transporte internacional de mercancías por carretera constituye uno de los instrumentos de ayuda eficaz para la consolidación del espacio económico subregional y el logro de los objetivos del Acuerdo de Cartagena;</w:t>
      </w:r>
    </w:p>
    <w:p w14:paraId="07687D0E" w14:textId="77777777" w:rsidR="004000F1" w:rsidRPr="00DA5DAC" w:rsidRDefault="004000F1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6BB06596" w14:textId="04E71D46" w:rsidR="00842594" w:rsidRPr="00DA5DAC" w:rsidRDefault="004000F1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Que</w:t>
      </w:r>
      <w:r w:rsidR="00A66183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,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a partir de la vigencia de la Decisión </w:t>
      </w:r>
      <w:r w:rsidR="0084259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837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, </w:t>
      </w:r>
      <w:r w:rsidR="0084259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se ha hecho necesario unificar los conceptos d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el transporte internacional por carretera </w:t>
      </w:r>
      <w:r w:rsidR="0084259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con los utilizados en el comercio exterior determinando de forma clara y precisa </w:t>
      </w:r>
      <w:r w:rsidR="00A94F3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el contenido </w:t>
      </w:r>
      <w:r w:rsidR="0084259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del </w:t>
      </w:r>
      <w:r w:rsidR="00A94F3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Manifiesto </w:t>
      </w:r>
      <w:r w:rsidR="0084259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de </w:t>
      </w:r>
      <w:r w:rsidR="00A94F3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Carga Internaciona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l, en conformidad con el</w:t>
      </w:r>
      <w:r w:rsidR="009E1F01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principio de especialidad</w:t>
      </w:r>
      <w:r w:rsidR="00C367F7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  <w:r w:rsidR="009E1F01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</w:p>
    <w:p w14:paraId="6BB0450C" w14:textId="77777777" w:rsidR="00A402B9" w:rsidRPr="00DA5DAC" w:rsidRDefault="00A402B9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7677D74B" w14:textId="5F4DE9D5" w:rsidR="00E502D0" w:rsidRPr="00DA5DAC" w:rsidRDefault="00F64EA3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  <w:t>Que</w:t>
      </w:r>
      <w:r w:rsidR="007F04FE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,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en ese sentido,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el Comité Andino de Autoridades de Transporte Terrestre (CAATT) y el Grupo de Expertos de la Comisión en Transporte Internacional de Mercancías por Carretera, 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en reuniones conjuntas concordaron en </w:t>
      </w:r>
      <w:bookmarkStart w:id="1" w:name="_Hlk108618235"/>
      <w:r w:rsidR="00D02C9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que el Manifiesto de Carga Internacional debe estar regulado mediante la norma andina en materia aduanera en lugar de la norma comunitaria que regula la prestación del servicio de transporte</w:t>
      </w:r>
      <w:bookmarkEnd w:id="1"/>
      <w:r w:rsidR="00FA48B5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y </w:t>
      </w:r>
      <w:r w:rsidR="00A239B3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en</w:t>
      </w:r>
      <w:r w:rsidR="00E502D0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establecer la regulación de la continuación de la mercancía desde el control aduanero  hasta el lugar de su entrega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  <w:r w:rsidR="008823CD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proceso 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que 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culminó en la </w:t>
      </w:r>
      <w:r w:rsidR="0091302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L</w:t>
      </w:r>
      <w:r w:rsidR="004747C9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XX</w:t>
      </w:r>
      <w:r w:rsidR="0091302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IV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Reunión Extraordinaria del CAATT</w:t>
      </w:r>
      <w:r w:rsidR="002303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del 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="0091302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24 de octubre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de 20</w:t>
      </w:r>
      <w:r w:rsidR="00DA6E73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2</w:t>
      </w:r>
      <w:r w:rsidR="00FF1328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2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, con la aprobación del proyecto </w:t>
      </w:r>
      <w:r w:rsidR="0082317A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de modificación de la Decisión 837</w:t>
      </w:r>
      <w:r w:rsidR="00991FF4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</w:p>
    <w:p w14:paraId="15EAB246" w14:textId="2253B6FD" w:rsidR="00FA48B5" w:rsidRPr="00DA5DAC" w:rsidRDefault="008823CD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</w:r>
      <w:r w:rsidR="00F64EA3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</w:p>
    <w:p w14:paraId="2C5D689A" w14:textId="1CF04E7A" w:rsidR="00FA48B5" w:rsidRPr="00DA5DAC" w:rsidRDefault="00FA48B5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  <w:t xml:space="preserve">Que, en la </w:t>
      </w:r>
      <w:r w:rsidR="0091302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LXXIV 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Reunión del CAATT los delegados comunicaron que los organismos nacionales competentes de sus respectivos países sufrieron cambios en su denominación y funciones, razón por la cual se hace necesario su actualización en la decisión que regula el transporte internacional de mercancías por carreteras</w:t>
      </w:r>
      <w:r w:rsidR="008C1B15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</w:p>
    <w:p w14:paraId="206188FF" w14:textId="77777777" w:rsidR="00F64EA3" w:rsidRPr="00DA5DAC" w:rsidRDefault="00F64EA3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58D15B54" w14:textId="49FF70E4" w:rsidR="00F62336" w:rsidRPr="00DA5DAC" w:rsidRDefault="00F62336" w:rsidP="00DA4A40">
      <w:pPr>
        <w:ind w:firstLine="709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Que</w:t>
      </w:r>
      <w:r w:rsidR="007F04FE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,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la Secretaría General de la Comunidad Andina en uso de la atribución prevista en el artículo 27 del Acuerdo de Cartagena, presentó a consideración de la Comisión de la Comunidad Andina, la Propuesta No. </w:t>
      </w:r>
      <w:r w:rsidR="0091302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4</w:t>
      </w:r>
      <w:r w:rsidR="008C1B15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11</w:t>
      </w:r>
      <w:r w:rsidR="007F04FE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/20</w:t>
      </w:r>
      <w:r w:rsidR="00DA6E73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2</w:t>
      </w:r>
      <w:r w:rsidR="008C1B15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3</w:t>
      </w:r>
      <w:r w:rsidR="007F04FE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  <w:r w:rsidR="0082317A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que contiene el proyecto de modificación de la Decisión 837</w:t>
      </w:r>
      <w:r w:rsidR="008C1B15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;</w:t>
      </w:r>
    </w:p>
    <w:p w14:paraId="2DA6E5E0" w14:textId="77777777" w:rsidR="00904807" w:rsidRPr="00DA5DAC" w:rsidRDefault="00904807" w:rsidP="00F62336">
      <w:pPr>
        <w:spacing w:line="264" w:lineRule="exact"/>
        <w:ind w:firstLine="720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14A97DD7" w14:textId="77777777" w:rsidR="00DC76D4" w:rsidRPr="00DA5DAC" w:rsidRDefault="00F64EA3">
      <w:pPr>
        <w:spacing w:line="264" w:lineRule="exact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</w:r>
      <w:bookmarkEnd w:id="0"/>
    </w:p>
    <w:p w14:paraId="454D4B37" w14:textId="77777777" w:rsidR="004000F1" w:rsidRPr="00DA5DAC" w:rsidRDefault="004000F1">
      <w:pPr>
        <w:spacing w:line="264" w:lineRule="exact"/>
        <w:jc w:val="center"/>
        <w:rPr>
          <w:rFonts w:ascii="Arial" w:hAnsi="Arial" w:cs="Arial"/>
          <w:b/>
          <w:snapToGrid w:val="0"/>
          <w:sz w:val="22"/>
          <w:szCs w:val="22"/>
          <w:u w:val="single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u w:val="single"/>
          <w:lang w:val="es-ES_tradnl" w:eastAsia="es-ES"/>
        </w:rPr>
        <w:t>DECIDE</w:t>
      </w: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>:</w:t>
      </w:r>
    </w:p>
    <w:p w14:paraId="6A152638" w14:textId="77777777" w:rsidR="004000F1" w:rsidRPr="00DA5DAC" w:rsidRDefault="004000F1">
      <w:pPr>
        <w:spacing w:line="264" w:lineRule="exact"/>
        <w:jc w:val="center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</w:p>
    <w:p w14:paraId="7C345F57" w14:textId="05D7135B" w:rsidR="00A5305C" w:rsidRPr="00DA5DAC" w:rsidRDefault="008D176F" w:rsidP="00A5305C">
      <w:pPr>
        <w:spacing w:line="264" w:lineRule="exact"/>
        <w:jc w:val="both"/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</w:pPr>
      <w:r w:rsidRPr="00DA5DAC">
        <w:rPr>
          <w:rFonts w:ascii="Arial" w:hAnsi="Arial" w:cs="Arial"/>
          <w:b/>
          <w:bCs/>
          <w:snapToGrid w:val="0"/>
          <w:sz w:val="22"/>
          <w:szCs w:val="22"/>
          <w:lang w:val="es-ES_tradnl" w:eastAsia="es-ES"/>
        </w:rPr>
        <w:t>Artículo 1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.- </w:t>
      </w:r>
      <w:r w:rsidR="00A5305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Modificar </w:t>
      </w:r>
      <w:r w:rsidR="00682A0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dentro </w:t>
      </w:r>
      <w:r w:rsidR="00121B20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del</w:t>
      </w:r>
      <w:r w:rsidR="00682A0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 </w:t>
      </w:r>
      <w:r w:rsidR="00121B20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A</w:t>
      </w:r>
      <w:r w:rsidR="00682A0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rtículo 1 de </w:t>
      </w:r>
      <w:r w:rsidR="00A5305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la Decisión 837 </w:t>
      </w:r>
      <w:r w:rsidR="00E576FD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la</w:t>
      </w:r>
      <w:r w:rsidR="00522332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s</w:t>
      </w:r>
      <w:r w:rsidR="00A5305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 </w:t>
      </w:r>
      <w:r w:rsidR="00D42C06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definiciones de</w:t>
      </w:r>
      <w:r w:rsidR="002E5198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 Manifiesto de Carga Internacional y </w:t>
      </w:r>
      <w:r w:rsidR="000147E6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de </w:t>
      </w:r>
      <w:r w:rsidR="002E5198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Organismos Nacionales Competentes,</w:t>
      </w:r>
      <w:r w:rsidR="00522332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 </w:t>
      </w:r>
      <w:r w:rsidR="005C355B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en materia de transporte </w:t>
      </w:r>
      <w:r w:rsidR="00F10F1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por carretera</w:t>
      </w:r>
      <w:r w:rsidR="005C355B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 xml:space="preserve">, </w:t>
      </w:r>
      <w:r w:rsidR="00522332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por el siguiente texto</w:t>
      </w:r>
      <w:r w:rsidR="00A5305C"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:</w:t>
      </w:r>
    </w:p>
    <w:p w14:paraId="7BE8666B" w14:textId="77777777" w:rsidR="00A5305C" w:rsidRPr="00DA5DAC" w:rsidRDefault="00A5305C" w:rsidP="00A5305C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u w:val="single"/>
          <w:lang w:val="es-ES_tradnl" w:eastAsia="es-ES"/>
        </w:rPr>
      </w:pPr>
    </w:p>
    <w:p w14:paraId="0C0AED68" w14:textId="73C6073F" w:rsidR="0082317A" w:rsidRPr="00DA5DAC" w:rsidRDefault="0082317A" w:rsidP="00A5305C">
      <w:pPr>
        <w:spacing w:line="264" w:lineRule="exact"/>
        <w:jc w:val="both"/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</w:pPr>
      <w:r w:rsidRPr="00DA5DAC">
        <w:rPr>
          <w:rFonts w:ascii="Arial" w:eastAsiaTheme="minorHAnsi" w:hAnsi="Arial" w:cs="Arial"/>
          <w:kern w:val="2"/>
          <w:sz w:val="22"/>
          <w:szCs w:val="22"/>
          <w:lang w:val="es-PE" w:eastAsia="en-US"/>
          <w14:ligatures w14:val="standardContextual"/>
        </w:rPr>
        <w:t>“Artículo 1.- Para la aplicación de la presente Decisión y de las demás normas comunitarias que regulan el transporte internacional de mercancías por carretera entre Países Miembros de la Comunidad Andina, se entiende por:</w:t>
      </w:r>
    </w:p>
    <w:p w14:paraId="1829260A" w14:textId="77777777" w:rsidR="0082317A" w:rsidRPr="00DA5DAC" w:rsidRDefault="0082317A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p w14:paraId="0F2CB38D" w14:textId="35012187" w:rsidR="004000F1" w:rsidRPr="00DA5DAC" w:rsidRDefault="00C05A9D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(…)</w:t>
      </w:r>
    </w:p>
    <w:p w14:paraId="40F0F3AD" w14:textId="77777777" w:rsidR="004000F1" w:rsidRPr="00DA5DAC" w:rsidRDefault="004000F1" w:rsidP="000C046C">
      <w:pPr>
        <w:spacing w:line="264" w:lineRule="exact"/>
        <w:ind w:left="709" w:firstLine="720"/>
        <w:jc w:val="both"/>
        <w:rPr>
          <w:rFonts w:ascii="Arial" w:hAnsi="Arial" w:cs="Arial"/>
          <w:b/>
          <w:i/>
          <w:iCs/>
          <w:snapToGrid w:val="0"/>
          <w:sz w:val="22"/>
          <w:szCs w:val="22"/>
          <w:lang w:val="es-ES_tradnl" w:eastAsia="es-ES"/>
        </w:rPr>
      </w:pPr>
    </w:p>
    <w:p w14:paraId="57741495" w14:textId="1A58E808" w:rsidR="00320DD5" w:rsidRPr="00DA5DAC" w:rsidRDefault="004000F1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i/>
          <w:iCs/>
          <w:snapToGrid w:val="0"/>
          <w:sz w:val="22"/>
          <w:szCs w:val="22"/>
          <w:lang w:val="es-ES_tradnl" w:eastAsia="es-ES"/>
        </w:rPr>
        <w:t>Manifiesto de Carga Internacional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</w:t>
      </w:r>
      <w:r w:rsidRPr="00DA5DAC">
        <w:rPr>
          <w:rFonts w:ascii="Arial" w:hAnsi="Arial" w:cs="Arial"/>
          <w:b/>
          <w:i/>
          <w:iCs/>
          <w:snapToGrid w:val="0"/>
          <w:sz w:val="22"/>
          <w:szCs w:val="22"/>
          <w:lang w:val="es-ES_tradnl" w:eastAsia="es-ES"/>
        </w:rPr>
        <w:t>(MCI)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, </w:t>
      </w:r>
      <w:bookmarkStart w:id="2" w:name="_Hlk111021294"/>
      <w:r w:rsidR="00B60493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Documento que contiene información respecto del medio de transporte, número de bultos, peso e identificación genérica de la mercancía que comprende la carga, incluida la mercancía a granel, que debe presentar todo transportista internacional a la aduana de un País Miembro.</w:t>
      </w:r>
    </w:p>
    <w:p w14:paraId="3A7BE8DF" w14:textId="1C46242D" w:rsidR="003318D5" w:rsidRPr="00DA5DAC" w:rsidRDefault="003318D5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p w14:paraId="5DC3D420" w14:textId="3B360D5F" w:rsidR="00522332" w:rsidRPr="00DA5DAC" w:rsidRDefault="00C05A9D" w:rsidP="00522332">
      <w:pPr>
        <w:spacing w:line="264" w:lineRule="exact"/>
        <w:ind w:left="709" w:firstLine="11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lastRenderedPageBreak/>
        <w:t>(…)</w:t>
      </w:r>
    </w:p>
    <w:p w14:paraId="23ABC5FD" w14:textId="77777777" w:rsidR="00C05A9D" w:rsidRPr="00DA5DAC" w:rsidRDefault="00C05A9D" w:rsidP="00522332">
      <w:pPr>
        <w:spacing w:line="264" w:lineRule="exact"/>
        <w:ind w:left="709" w:firstLine="11"/>
        <w:jc w:val="both"/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</w:pPr>
    </w:p>
    <w:p w14:paraId="222B44DB" w14:textId="5FCA44C9" w:rsidR="00522332" w:rsidRPr="00DA5DAC" w:rsidRDefault="00522332" w:rsidP="00522332">
      <w:pPr>
        <w:spacing w:line="264" w:lineRule="exact"/>
        <w:ind w:left="709" w:firstLine="11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val="es-ES_tradnl" w:eastAsia="es-ES"/>
        </w:rPr>
        <w:t xml:space="preserve">Organismos Nacionales Competentes, 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los organismos responsables de la aplicación integral de la presente Decisión y sus normas complementarias. </w:t>
      </w:r>
    </w:p>
    <w:p w14:paraId="70FD458C" w14:textId="77777777" w:rsidR="00522332" w:rsidRPr="00DA5DAC" w:rsidRDefault="00522332" w:rsidP="00522332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3F620159" w14:textId="77777777" w:rsidR="00522332" w:rsidRPr="00DA5DAC" w:rsidRDefault="00522332" w:rsidP="00522332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En materia de transporte por carretera son:</w:t>
      </w:r>
    </w:p>
    <w:p w14:paraId="06132AEC" w14:textId="77777777" w:rsidR="00522332" w:rsidRPr="00DA5DAC" w:rsidRDefault="00522332" w:rsidP="00522332">
      <w:pPr>
        <w:spacing w:line="264" w:lineRule="exact"/>
        <w:ind w:left="2835" w:hanging="1984"/>
        <w:jc w:val="both"/>
        <w:rPr>
          <w:rFonts w:ascii="Arial" w:hAnsi="Arial" w:cs="Arial"/>
          <w:i/>
          <w:sz w:val="22"/>
          <w:szCs w:val="22"/>
        </w:rPr>
      </w:pPr>
    </w:p>
    <w:p w14:paraId="286249FF" w14:textId="77777777" w:rsidR="00522332" w:rsidRPr="00DA5DAC" w:rsidRDefault="00522332" w:rsidP="00522332">
      <w:pPr>
        <w:spacing w:line="264" w:lineRule="exact"/>
        <w:ind w:left="2835" w:hanging="1984"/>
        <w:jc w:val="both"/>
        <w:rPr>
          <w:rFonts w:ascii="Arial" w:hAnsi="Arial" w:cs="Arial"/>
          <w:i/>
          <w:iCs/>
          <w:sz w:val="22"/>
          <w:szCs w:val="22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Bolivia: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Dirección General de Transporte Terrestre, Fluvial y Lacustre del      Viceministerio de Transportes </w:t>
      </w:r>
      <w:r w:rsidRPr="00DA5DAC">
        <w:rPr>
          <w:rFonts w:ascii="Arial" w:hAnsi="Arial" w:cs="Arial"/>
          <w:i/>
          <w:sz w:val="22"/>
          <w:szCs w:val="22"/>
        </w:rPr>
        <w:t>en la materia de los aspectos vinculados a las autorizaciones, habilitaciones vehiculares, sus modificaciones, renovaciones y registros, y a través de la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Autoridad de Regulación y Fiscalización de Telecomunicaciones y Transporte para la aplicación de sanciones e infracciones a los operadores de transporte terrestre internacional de carga.</w:t>
      </w:r>
    </w:p>
    <w:p w14:paraId="5DBD8032" w14:textId="77777777" w:rsidR="00522332" w:rsidRPr="00DA5DAC" w:rsidRDefault="00522332" w:rsidP="00522332">
      <w:pPr>
        <w:spacing w:line="264" w:lineRule="exact"/>
        <w:ind w:left="2835" w:hanging="1984"/>
        <w:jc w:val="both"/>
        <w:rPr>
          <w:rFonts w:ascii="Arial" w:hAnsi="Arial" w:cs="Arial"/>
          <w:i/>
          <w:sz w:val="22"/>
          <w:szCs w:val="22"/>
        </w:rPr>
      </w:pPr>
    </w:p>
    <w:p w14:paraId="0A8D7D67" w14:textId="77777777" w:rsidR="00522332" w:rsidRPr="00DA5DAC" w:rsidRDefault="00522332" w:rsidP="00522332">
      <w:pPr>
        <w:spacing w:line="264" w:lineRule="exact"/>
        <w:ind w:left="2835" w:hanging="1984"/>
        <w:jc w:val="both"/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sz w:val="22"/>
          <w:szCs w:val="22"/>
        </w:rPr>
        <w:t>Colombia:</w:t>
      </w:r>
      <w:r w:rsidRPr="00DA5DAC">
        <w:rPr>
          <w:rFonts w:ascii="Arial" w:hAnsi="Arial" w:cs="Arial"/>
          <w:i/>
          <w:sz w:val="22"/>
          <w:szCs w:val="22"/>
        </w:rPr>
        <w:tab/>
      </w:r>
      <w:r w:rsidRPr="00DA5DAC">
        <w:rPr>
          <w:rFonts w:ascii="Arial" w:hAnsi="Arial" w:cs="Arial"/>
          <w:i/>
          <w:sz w:val="22"/>
          <w:szCs w:val="22"/>
        </w:rPr>
        <w:tab/>
        <w:t>Dirección de Transporte y Tránsito del Ministerio de Transporte en la materia de los aspectos vinculados a las autorizaciones, habilitaciones vehiculares, sus modificaciones, renovaciones y registros, y a través de la Superintendencia de Transporte para la aplicación de sanciones e infracciones a los transportistas Internacionales de transporte de mercancías por carretera.</w:t>
      </w:r>
    </w:p>
    <w:p w14:paraId="71108080" w14:textId="77777777" w:rsidR="00522332" w:rsidRPr="00DA5DAC" w:rsidRDefault="00522332" w:rsidP="00522332">
      <w:pPr>
        <w:spacing w:line="264" w:lineRule="exact"/>
        <w:ind w:left="2835" w:hanging="1842"/>
        <w:jc w:val="both"/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</w:pPr>
    </w:p>
    <w:p w14:paraId="211EB586" w14:textId="2451E04D" w:rsidR="00522332" w:rsidRPr="00DA5DAC" w:rsidRDefault="00522332" w:rsidP="00DA5DAC">
      <w:pPr>
        <w:tabs>
          <w:tab w:val="left" w:pos="1872"/>
          <w:tab w:val="left" w:pos="2448"/>
        </w:tabs>
        <w:spacing w:line="264" w:lineRule="exact"/>
        <w:ind w:left="2835" w:hanging="1984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>Ecuador:</w:t>
      </w:r>
      <w:r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ab/>
      </w:r>
      <w:r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ab/>
      </w:r>
      <w:r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ab/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ab/>
      </w:r>
      <w:r w:rsidR="00904807" w:rsidRPr="00DA5DAC">
        <w:rPr>
          <w:rStyle w:val="nfasis"/>
          <w:rFonts w:ascii="Arial" w:hAnsi="Arial" w:cs="Arial"/>
          <w:color w:val="000000"/>
          <w:sz w:val="22"/>
          <w:szCs w:val="22"/>
        </w:rPr>
        <w:t>Ministerio de Transporte y Obras Públicas como ente Rector, la Agencia Nacional de Regulación y Control del Transporte Terrestre, Tránsito y Seguridad Vial en materia de regulación, planificación y sanciones y la Comisión de Tránsito del Ecuador y Policía Nacional del Ecuador como ente de control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.</w:t>
      </w:r>
    </w:p>
    <w:p w14:paraId="6B4C9B59" w14:textId="77777777" w:rsidR="00522332" w:rsidRPr="00DA5DAC" w:rsidRDefault="00522332" w:rsidP="00522332">
      <w:pPr>
        <w:spacing w:line="264" w:lineRule="exact"/>
        <w:ind w:left="2835" w:hanging="1842"/>
        <w:jc w:val="both"/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</w:pPr>
    </w:p>
    <w:p w14:paraId="49E680CE" w14:textId="72DAE850" w:rsidR="003318D5" w:rsidRPr="00DA5DAC" w:rsidRDefault="00DA4A40" w:rsidP="00894467">
      <w:pPr>
        <w:spacing w:line="264" w:lineRule="exact"/>
        <w:ind w:left="2835" w:hanging="2126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 xml:space="preserve"> </w:t>
      </w:r>
      <w:r w:rsid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 xml:space="preserve"> </w:t>
      </w:r>
      <w:r w:rsidR="00522332"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>Perú:</w:t>
      </w:r>
      <w:r w:rsidR="00522332"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ab/>
      </w:r>
      <w:r w:rsidR="00522332"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ab/>
        <w:t xml:space="preserve">Ministerio de Transportes y Comunicaciones a través de la </w:t>
      </w:r>
      <w:bookmarkStart w:id="3" w:name="_Hlk108617855"/>
      <w:r w:rsidR="00522332" w:rsidRPr="00DA5DAC">
        <w:rPr>
          <w:rFonts w:ascii="Arial" w:hAnsi="Arial" w:cs="Arial"/>
          <w:bCs/>
          <w:i/>
          <w:snapToGrid w:val="0"/>
          <w:sz w:val="22"/>
          <w:szCs w:val="22"/>
          <w:lang w:val="es-ES_tradnl" w:eastAsia="es-ES"/>
        </w:rPr>
        <w:t>Dirección General de Políticas y Regulación en Transporte Multimodal en los aspectos técnico normativos del transporte terrestre</w:t>
      </w:r>
      <w:bookmarkEnd w:id="3"/>
      <w:r w:rsidR="00522332" w:rsidRPr="00DA5DAC">
        <w:rPr>
          <w:rFonts w:ascii="Arial" w:hAnsi="Arial" w:cs="Arial"/>
          <w:bCs/>
          <w:i/>
          <w:snapToGrid w:val="0"/>
          <w:sz w:val="22"/>
          <w:szCs w:val="22"/>
          <w:lang w:val="es-ES_tradnl" w:eastAsia="es-ES"/>
        </w:rPr>
        <w:t>,</w:t>
      </w:r>
      <w:r w:rsidR="00522332" w:rsidRPr="00DA5DAC">
        <w:rPr>
          <w:rFonts w:ascii="Arial" w:hAnsi="Arial" w:cs="Arial"/>
          <w:i/>
          <w:snapToGrid w:val="0"/>
          <w:sz w:val="22"/>
          <w:szCs w:val="22"/>
          <w:lang w:val="es-ES_tradnl" w:eastAsia="es-ES"/>
        </w:rPr>
        <w:t xml:space="preserve"> Dirección General de Autorizaciones en Transportes, en materia de los aspectos vinculados a las autorizaciones, habilitaciones vehiculares, sus modificaciones y renovaciones y registros y, a través de la Superintendencia de Transporte Terrestre de Personas, Carga y Mercancías, en los aspectos vinculados a la fiscalización del transporte por carretera</w:t>
      </w:r>
    </w:p>
    <w:p w14:paraId="6527173C" w14:textId="77777777" w:rsidR="003318D5" w:rsidRPr="00DA5DAC" w:rsidRDefault="003318D5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bookmarkEnd w:id="2"/>
    <w:p w14:paraId="2DE19B11" w14:textId="530F3408" w:rsidR="00D105A1" w:rsidRPr="00DA5DAC" w:rsidRDefault="00DA5DAC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</w:pPr>
      <w:r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  <w:t xml:space="preserve"> </w:t>
      </w:r>
      <w:r w:rsidR="00C05A9D" w:rsidRPr="00DA5DAC"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  <w:t>(…)</w:t>
      </w:r>
      <w:r w:rsidR="0082317A" w:rsidRPr="00DA5DAC"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  <w:t>”</w:t>
      </w:r>
    </w:p>
    <w:p w14:paraId="10F12823" w14:textId="0E9D739A" w:rsidR="00894467" w:rsidRPr="00DA5DAC" w:rsidRDefault="00894467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</w:pPr>
    </w:p>
    <w:p w14:paraId="03F02DB7" w14:textId="30167151" w:rsidR="00A406EC" w:rsidRPr="00DA5DAC" w:rsidRDefault="00A406EC" w:rsidP="00E576FD">
      <w:pPr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color w:val="1F497D" w:themeColor="text2"/>
          <w:sz w:val="22"/>
          <w:szCs w:val="22"/>
          <w:lang w:val="es-ES_tradnl" w:eastAsia="es-ES"/>
        </w:rPr>
      </w:pPr>
    </w:p>
    <w:p w14:paraId="059BFD9A" w14:textId="00E9D035" w:rsidR="00A94FE8" w:rsidRPr="00DA5DAC" w:rsidRDefault="00121B20" w:rsidP="00121B20">
      <w:pPr>
        <w:tabs>
          <w:tab w:val="left" w:pos="720"/>
          <w:tab w:val="left" w:pos="1440"/>
          <w:tab w:val="left" w:pos="2160"/>
        </w:tabs>
        <w:spacing w:line="264" w:lineRule="exact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bCs/>
          <w:snapToGrid w:val="0"/>
          <w:sz w:val="22"/>
          <w:szCs w:val="22"/>
          <w:lang w:val="es-ES_tradnl" w:eastAsia="es-ES"/>
        </w:rPr>
        <w:t>Artículo 2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.- </w:t>
      </w:r>
      <w:r w:rsidR="00710EA7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Modificar el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="00C604CC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a</w:t>
      </w:r>
      <w:r w:rsidR="00870DD2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rtículo </w:t>
      </w:r>
      <w:r w:rsidR="00DD5B20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153</w:t>
      </w:r>
      <w:r w:rsidR="00A031FB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="00C604CC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de la Decisión 837 </w:t>
      </w:r>
      <w:r w:rsidR="00A94FE8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por el siguiente texto:</w:t>
      </w:r>
      <w:r w:rsidR="00A94FE8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</w:t>
      </w:r>
    </w:p>
    <w:p w14:paraId="18484F2C" w14:textId="77777777" w:rsidR="00A94FE8" w:rsidRPr="00DA5DAC" w:rsidRDefault="00A94FE8" w:rsidP="00121B20">
      <w:pPr>
        <w:tabs>
          <w:tab w:val="left" w:pos="720"/>
          <w:tab w:val="left" w:pos="1440"/>
          <w:tab w:val="left" w:pos="2160"/>
        </w:tabs>
        <w:spacing w:line="264" w:lineRule="exact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p w14:paraId="1B466EC0" w14:textId="7ACEFCAC" w:rsidR="00870DD2" w:rsidRPr="00DA5DAC" w:rsidRDefault="00A94FE8" w:rsidP="00710EA7">
      <w:pPr>
        <w:tabs>
          <w:tab w:val="left" w:pos="720"/>
          <w:tab w:val="left" w:pos="1440"/>
          <w:tab w:val="left" w:pos="2160"/>
        </w:tabs>
        <w:spacing w:line="264" w:lineRule="exact"/>
        <w:ind w:left="709" w:hanging="709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ab/>
      </w:r>
      <w:bookmarkStart w:id="4" w:name="_Hlk111021386"/>
      <w:r w:rsidR="0082317A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“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Artículo 153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.</w:t>
      </w:r>
      <w:r w:rsidR="0082317A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-</w:t>
      </w:r>
      <w:r w:rsidR="00941C7B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Los</w:t>
      </w:r>
      <w:r w:rsidR="00A5305C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contenidos del MCI serán regulados en la Decisión 617 o sus modificatorias</w:t>
      </w:r>
      <w:r w:rsidR="00941C7B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”</w:t>
      </w:r>
      <w:r w:rsidR="00A5305C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.</w:t>
      </w:r>
      <w:bookmarkEnd w:id="4"/>
    </w:p>
    <w:p w14:paraId="05994197" w14:textId="09B6FADA" w:rsidR="00354CFD" w:rsidRPr="00DA5DAC" w:rsidRDefault="00682A0C" w:rsidP="00682A0C">
      <w:pPr>
        <w:tabs>
          <w:tab w:val="left" w:pos="0"/>
        </w:tabs>
        <w:spacing w:before="200" w:line="264" w:lineRule="exact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b/>
          <w:bCs/>
          <w:snapToGrid w:val="0"/>
          <w:sz w:val="22"/>
          <w:szCs w:val="22"/>
          <w:lang w:val="es-ES_tradnl" w:eastAsia="es-ES"/>
        </w:rPr>
        <w:t xml:space="preserve">Artículo </w:t>
      </w:r>
      <w:r w:rsidR="00A94FE8" w:rsidRPr="00DA5DAC">
        <w:rPr>
          <w:rFonts w:ascii="Arial" w:hAnsi="Arial" w:cs="Arial"/>
          <w:b/>
          <w:bCs/>
          <w:snapToGrid w:val="0"/>
          <w:sz w:val="22"/>
          <w:szCs w:val="22"/>
          <w:lang w:val="es-ES_tradnl" w:eastAsia="es-ES"/>
        </w:rPr>
        <w:t>3</w:t>
      </w: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.- Incorporar </w:t>
      </w:r>
      <w:r w:rsidR="00865AAC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dentro el Capítulo XVII Disposiciones Generales, </w:t>
      </w:r>
      <w:r w:rsidR="00354CFD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a continuación del artículo </w:t>
      </w:r>
      <w:r w:rsidR="00710EA7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183 de</w:t>
      </w:r>
      <w:r w:rsidR="00354CFD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r w:rsidR="00B769B6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la Decisión 837 </w:t>
      </w:r>
      <w:r w:rsidR="00354CFD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el siguiente artículo:</w:t>
      </w:r>
    </w:p>
    <w:p w14:paraId="4AB8AB85" w14:textId="77777777" w:rsidR="00941C7B" w:rsidRPr="00DA5DAC" w:rsidRDefault="00941C7B" w:rsidP="00941C7B">
      <w:pPr>
        <w:tabs>
          <w:tab w:val="left" w:pos="720"/>
          <w:tab w:val="left" w:pos="1440"/>
          <w:tab w:val="left" w:pos="2160"/>
        </w:tabs>
        <w:spacing w:line="264" w:lineRule="exact"/>
        <w:ind w:firstLine="720"/>
        <w:jc w:val="both"/>
        <w:rPr>
          <w:rFonts w:ascii="Arial" w:hAnsi="Arial" w:cs="Arial"/>
          <w:snapToGrid w:val="0"/>
          <w:sz w:val="22"/>
          <w:szCs w:val="22"/>
          <w:u w:val="single"/>
          <w:lang w:val="es-ES_tradnl" w:eastAsia="es-ES"/>
        </w:rPr>
      </w:pPr>
    </w:p>
    <w:p w14:paraId="0A992BB3" w14:textId="48D79346" w:rsidR="00FB2030" w:rsidRPr="00DA5DAC" w:rsidRDefault="00941C7B" w:rsidP="00A406EC">
      <w:pPr>
        <w:tabs>
          <w:tab w:val="left" w:pos="1440"/>
          <w:tab w:val="left" w:pos="2160"/>
        </w:tabs>
        <w:spacing w:line="264" w:lineRule="exact"/>
        <w:ind w:left="709"/>
        <w:jc w:val="both"/>
        <w:rPr>
          <w:rFonts w:ascii="Arial" w:hAnsi="Arial" w:cs="Arial"/>
          <w:i/>
          <w:iCs/>
          <w:snapToGrid w:val="0"/>
          <w:color w:val="FF0000"/>
          <w:sz w:val="22"/>
          <w:szCs w:val="22"/>
          <w:lang w:val="es-ES_tradnl" w:eastAsia="es-ES"/>
        </w:rPr>
      </w:pPr>
      <w:bookmarkStart w:id="5" w:name="_Hlk111021515"/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 xml:space="preserve">Artículo </w:t>
      </w:r>
      <w:r w:rsidR="00E576FD"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184</w:t>
      </w:r>
      <w:r w:rsidR="00B769B6"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 xml:space="preserve">.- </w:t>
      </w:r>
      <w:r w:rsidR="00E576FD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>Despachadas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las mercancías y pagados los derechos aduaneros, tasas y demás gravámenes a la importación, cuando los hubiere, el vehículo habilitado y la unidad de carga, así como el contenedor y tanque, continuarán con las mercancías hasta el lugar de entrega”.</w:t>
      </w:r>
      <w:bookmarkEnd w:id="5"/>
    </w:p>
    <w:p w14:paraId="1139D02E" w14:textId="77777777" w:rsidR="008823CD" w:rsidRPr="00DA5DAC" w:rsidRDefault="008823CD" w:rsidP="008823CD">
      <w:pPr>
        <w:tabs>
          <w:tab w:val="left" w:pos="720"/>
          <w:tab w:val="left" w:pos="1440"/>
          <w:tab w:val="left" w:pos="2160"/>
        </w:tabs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color w:val="FF0000"/>
          <w:sz w:val="22"/>
          <w:szCs w:val="22"/>
          <w:lang w:val="es-ES_tradnl" w:eastAsia="es-ES"/>
        </w:rPr>
      </w:pPr>
    </w:p>
    <w:p w14:paraId="39774A13" w14:textId="5A006173" w:rsidR="00B961FB" w:rsidRPr="00DA5DAC" w:rsidRDefault="00AF220F" w:rsidP="00563CD7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lang w:eastAsia="es-ES"/>
        </w:rPr>
      </w:pPr>
      <w:r w:rsidRPr="00DA5DAC">
        <w:rPr>
          <w:rFonts w:ascii="Arial" w:hAnsi="Arial" w:cs="Arial"/>
          <w:b/>
          <w:snapToGrid w:val="0"/>
          <w:sz w:val="22"/>
          <w:szCs w:val="22"/>
          <w:lang w:eastAsia="es-ES"/>
        </w:rPr>
        <w:lastRenderedPageBreak/>
        <w:t xml:space="preserve">Articulo </w:t>
      </w:r>
      <w:r w:rsidR="00522332" w:rsidRPr="00DA5DAC">
        <w:rPr>
          <w:rFonts w:ascii="Arial" w:hAnsi="Arial" w:cs="Arial"/>
          <w:b/>
          <w:snapToGrid w:val="0"/>
          <w:sz w:val="22"/>
          <w:szCs w:val="22"/>
          <w:lang w:eastAsia="es-ES"/>
        </w:rPr>
        <w:t>4</w:t>
      </w:r>
      <w:r w:rsidRPr="00DA5DAC">
        <w:rPr>
          <w:rFonts w:ascii="Arial" w:hAnsi="Arial" w:cs="Arial"/>
          <w:b/>
          <w:snapToGrid w:val="0"/>
          <w:sz w:val="22"/>
          <w:szCs w:val="22"/>
          <w:lang w:eastAsia="es-ES"/>
        </w:rPr>
        <w:t>.-</w:t>
      </w:r>
      <w:r w:rsidR="00486CBE" w:rsidRPr="00DA5DAC">
        <w:rPr>
          <w:rFonts w:ascii="Arial" w:hAnsi="Arial" w:cs="Arial"/>
          <w:snapToGrid w:val="0"/>
          <w:sz w:val="22"/>
          <w:szCs w:val="22"/>
          <w:lang w:eastAsia="es-ES"/>
        </w:rPr>
        <w:t xml:space="preserve">. </w:t>
      </w:r>
      <w:r w:rsidR="00B961FB" w:rsidRPr="00DA5DAC">
        <w:rPr>
          <w:rFonts w:ascii="Arial" w:hAnsi="Arial" w:cs="Arial"/>
          <w:snapToGrid w:val="0"/>
          <w:sz w:val="22"/>
          <w:szCs w:val="22"/>
          <w:lang w:eastAsia="es-ES"/>
        </w:rPr>
        <w:t xml:space="preserve">Modificar la numeración de los </w:t>
      </w:r>
      <w:r w:rsidR="00880EE8" w:rsidRPr="00DA5DAC">
        <w:rPr>
          <w:rFonts w:ascii="Arial" w:hAnsi="Arial" w:cs="Arial"/>
          <w:snapToGrid w:val="0"/>
          <w:sz w:val="22"/>
          <w:szCs w:val="22"/>
          <w:lang w:eastAsia="es-ES"/>
        </w:rPr>
        <w:t xml:space="preserve">artículos </w:t>
      </w:r>
      <w:r w:rsidR="004413ED" w:rsidRPr="00DA5DAC">
        <w:rPr>
          <w:rFonts w:ascii="Arial" w:hAnsi="Arial" w:cs="Arial"/>
          <w:snapToGrid w:val="0"/>
          <w:sz w:val="22"/>
          <w:szCs w:val="22"/>
          <w:lang w:eastAsia="es-ES"/>
        </w:rPr>
        <w:t>184 al 186 de la Decisión 837 como sigue:</w:t>
      </w:r>
    </w:p>
    <w:p w14:paraId="5C909022" w14:textId="77777777" w:rsidR="00B961FB" w:rsidRPr="00DA5DAC" w:rsidRDefault="00B961FB" w:rsidP="00B961FB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u w:val="single"/>
          <w:lang w:val="es-ES_tradnl" w:eastAsia="es-ES"/>
        </w:rPr>
      </w:pPr>
    </w:p>
    <w:p w14:paraId="3B53A62E" w14:textId="4E598D5A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CAPITULO XVIII</w:t>
      </w:r>
    </w:p>
    <w:p w14:paraId="131B1698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DISPOSICIONES COMPLEMENTARIAS</w:t>
      </w:r>
    </w:p>
    <w:p w14:paraId="113E7D91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</w:pPr>
    </w:p>
    <w:p w14:paraId="2563EDEF" w14:textId="1D753BE3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Artículo 185</w:t>
      </w:r>
      <w:r w:rsidRPr="00DA5DAC">
        <w:rPr>
          <w:rFonts w:ascii="Arial" w:hAnsi="Arial" w:cs="Arial"/>
          <w:b/>
          <w:bCs/>
          <w:i/>
          <w:iCs/>
          <w:snapToGrid w:val="0"/>
          <w:sz w:val="22"/>
          <w:szCs w:val="22"/>
          <w:lang w:val="es-ES_tradnl" w:eastAsia="es-ES"/>
        </w:rPr>
        <w:t>.-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La Secretaría General, previa opinión favorable del CAATT, aprobará mediante Resolución los reglamentos y formatos a los que hubiere lugar.</w:t>
      </w:r>
    </w:p>
    <w:p w14:paraId="05AB9D87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p w14:paraId="23C70442" w14:textId="200439A9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Artículo 186</w:t>
      </w:r>
      <w:r w:rsidRPr="00DA5DAC">
        <w:rPr>
          <w:rFonts w:ascii="Arial" w:hAnsi="Arial" w:cs="Arial"/>
          <w:b/>
          <w:bCs/>
          <w:i/>
          <w:iCs/>
          <w:snapToGrid w:val="0"/>
          <w:sz w:val="22"/>
          <w:szCs w:val="22"/>
          <w:lang w:val="es-ES_tradnl" w:eastAsia="es-ES"/>
        </w:rPr>
        <w:t>.-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A los efectos de la presente Decisión y en particular, en lo relativo a la habilitación, registro, autorización, responsabilidad y garantías, las cooperativas serán consideradas como una unidad empresarial, independientemente del estatus legal que corresponda a cada uno de sus miembros individualmente considerados y de la propiedad de sus vehículos.</w:t>
      </w:r>
    </w:p>
    <w:p w14:paraId="24FB2501" w14:textId="77777777" w:rsidR="00B961FB" w:rsidRPr="00DA5DAC" w:rsidRDefault="00B961FB" w:rsidP="00B961FB">
      <w:pPr>
        <w:spacing w:line="264" w:lineRule="exact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</w:p>
    <w:p w14:paraId="69BC3BAA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CAPITULO XIX</w:t>
      </w:r>
    </w:p>
    <w:p w14:paraId="7549EA02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DISPOSICIONES FINALES</w:t>
      </w:r>
    </w:p>
    <w:p w14:paraId="2FA3353B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bookmarkStart w:id="6" w:name="_GoBack"/>
      <w:bookmarkEnd w:id="6"/>
    </w:p>
    <w:p w14:paraId="178D5B3F" w14:textId="02AF837B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i/>
          <w:iCs/>
          <w:snapToGrid w:val="0"/>
          <w:sz w:val="22"/>
          <w:szCs w:val="22"/>
          <w:u w:val="single"/>
          <w:lang w:val="es-ES_tradnl" w:eastAsia="es-ES"/>
        </w:rPr>
        <w:t>Artículo 187</w:t>
      </w:r>
      <w:r w:rsidRPr="00DA5DAC">
        <w:rPr>
          <w:rFonts w:ascii="Arial" w:hAnsi="Arial" w:cs="Arial"/>
          <w:b/>
          <w:bCs/>
          <w:i/>
          <w:iCs/>
          <w:snapToGrid w:val="0"/>
          <w:sz w:val="22"/>
          <w:szCs w:val="22"/>
          <w:lang w:val="es-ES_tradnl" w:eastAsia="es-ES"/>
        </w:rPr>
        <w:t>.-</w:t>
      </w:r>
      <w:r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La presente Decisión sustituye a la Decisión 399 de la Comisión de la Comunidad Andina y entrará en vigencia 90 días después de su publicación en la Gaceta Oficial del Acuerdo de Cartagena.</w:t>
      </w:r>
      <w:r w:rsidR="00315D33" w:rsidRPr="00DA5DAC">
        <w:rPr>
          <w:rFonts w:ascii="Arial" w:hAnsi="Arial" w:cs="Arial"/>
          <w:i/>
          <w:iCs/>
          <w:snapToGrid w:val="0"/>
          <w:sz w:val="22"/>
          <w:szCs w:val="22"/>
          <w:lang w:val="es-ES_tradnl" w:eastAsia="es-ES"/>
        </w:rPr>
        <w:t xml:space="preserve"> </w:t>
      </w:r>
    </w:p>
    <w:p w14:paraId="267D7228" w14:textId="77777777" w:rsidR="00B961FB" w:rsidRPr="00DA5DAC" w:rsidRDefault="00B961FB" w:rsidP="00B961FB">
      <w:pPr>
        <w:spacing w:line="264" w:lineRule="exact"/>
        <w:ind w:left="851"/>
        <w:jc w:val="both"/>
        <w:rPr>
          <w:rFonts w:ascii="Arial" w:hAnsi="Arial" w:cs="Arial"/>
          <w:snapToGrid w:val="0"/>
          <w:sz w:val="22"/>
          <w:szCs w:val="22"/>
          <w:lang w:eastAsia="es-ES"/>
        </w:rPr>
      </w:pPr>
    </w:p>
    <w:p w14:paraId="11EBC535" w14:textId="6674CFF6" w:rsidR="00563CD7" w:rsidRPr="00DA5DAC" w:rsidRDefault="00B961FB" w:rsidP="00563CD7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lang w:eastAsia="es-ES"/>
        </w:rPr>
      </w:pPr>
      <w:r w:rsidRPr="00DA5DAC">
        <w:rPr>
          <w:rFonts w:ascii="Arial" w:hAnsi="Arial" w:cs="Arial"/>
          <w:b/>
          <w:bCs/>
          <w:snapToGrid w:val="0"/>
          <w:sz w:val="22"/>
          <w:szCs w:val="22"/>
          <w:lang w:eastAsia="es-ES"/>
        </w:rPr>
        <w:t>Artículo 5.-</w:t>
      </w:r>
      <w:r w:rsidRPr="00DA5DAC">
        <w:rPr>
          <w:rFonts w:ascii="Arial" w:hAnsi="Arial" w:cs="Arial"/>
          <w:snapToGrid w:val="0"/>
          <w:sz w:val="22"/>
          <w:szCs w:val="22"/>
          <w:lang w:eastAsia="es-ES"/>
        </w:rPr>
        <w:t xml:space="preserve"> </w:t>
      </w:r>
      <w:r w:rsidR="00563CD7" w:rsidRPr="00DA5DAC">
        <w:rPr>
          <w:rFonts w:ascii="Arial" w:hAnsi="Arial" w:cs="Arial"/>
          <w:snapToGrid w:val="0"/>
          <w:sz w:val="22"/>
          <w:szCs w:val="22"/>
          <w:lang w:eastAsia="es-ES"/>
        </w:rPr>
        <w:t>La presente Decisión entrará en vigencia a partir de la fecha de su publicación en la Gaceta Oficial del Acuerdo de Cartagena.</w:t>
      </w:r>
    </w:p>
    <w:p w14:paraId="4775A1F6" w14:textId="77777777" w:rsidR="000C046C" w:rsidRPr="00DA5DAC" w:rsidRDefault="000C046C">
      <w:pPr>
        <w:spacing w:line="264" w:lineRule="exact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</w:p>
    <w:p w14:paraId="4C7A29E6" w14:textId="6C708FFF" w:rsidR="009A353A" w:rsidRPr="00DA5DAC" w:rsidRDefault="004000F1" w:rsidP="00A406EC">
      <w:pPr>
        <w:ind w:firstLine="708"/>
        <w:jc w:val="both"/>
        <w:rPr>
          <w:rFonts w:ascii="Arial" w:hAnsi="Arial" w:cs="Arial"/>
          <w:snapToGrid w:val="0"/>
          <w:sz w:val="22"/>
          <w:szCs w:val="22"/>
          <w:lang w:val="es-ES_tradnl" w:eastAsia="es-ES"/>
        </w:rPr>
      </w:pPr>
      <w:r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ab/>
      </w:r>
      <w:r w:rsidR="009A353A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Dada en la ciudad de Lima, Perú, a los </w:t>
      </w:r>
      <w:r w:rsidR="00A406EC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tres </w:t>
      </w:r>
      <w:r w:rsidR="009A353A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días del mes de </w:t>
      </w:r>
      <w:r w:rsidR="005A7A8F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mayo</w:t>
      </w:r>
      <w:r w:rsidR="009A353A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del año dos mil</w:t>
      </w:r>
      <w:r w:rsidR="00EB3A90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 </w:t>
      </w:r>
      <w:proofErr w:type="spellStart"/>
      <w:r w:rsidR="00CC128C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>veintitres</w:t>
      </w:r>
      <w:proofErr w:type="spellEnd"/>
      <w:r w:rsidR="00EB3A90" w:rsidRPr="00DA5DAC">
        <w:rPr>
          <w:rFonts w:ascii="Arial" w:hAnsi="Arial" w:cs="Arial"/>
          <w:snapToGrid w:val="0"/>
          <w:sz w:val="22"/>
          <w:szCs w:val="22"/>
          <w:lang w:val="es-ES_tradnl" w:eastAsia="es-ES"/>
        </w:rPr>
        <w:t xml:space="preserve">. </w:t>
      </w:r>
    </w:p>
    <w:p w14:paraId="05A63A25" w14:textId="77777777" w:rsidR="004000F1" w:rsidRPr="00DA5DAC" w:rsidRDefault="004000F1" w:rsidP="00076DC2">
      <w:pPr>
        <w:pStyle w:val="Textoindependiente"/>
        <w:rPr>
          <w:rFonts w:cs="Arial"/>
          <w:sz w:val="22"/>
          <w:szCs w:val="22"/>
        </w:rPr>
      </w:pPr>
    </w:p>
    <w:p w14:paraId="55114BE5" w14:textId="664D9AE2" w:rsidR="00291A15" w:rsidRPr="00DA5DAC" w:rsidRDefault="00291A15" w:rsidP="00076DC2">
      <w:pPr>
        <w:pStyle w:val="Textoindependiente"/>
        <w:rPr>
          <w:rFonts w:cs="Arial"/>
          <w:sz w:val="22"/>
          <w:szCs w:val="22"/>
        </w:rPr>
      </w:pPr>
    </w:p>
    <w:p w14:paraId="4A3BCB95" w14:textId="72FDFA27" w:rsidR="00F16B59" w:rsidRPr="00DA5DAC" w:rsidRDefault="00F16B59" w:rsidP="00076DC2">
      <w:pPr>
        <w:pStyle w:val="Textoindependiente"/>
        <w:rPr>
          <w:rFonts w:cs="Arial"/>
          <w:sz w:val="22"/>
          <w:szCs w:val="22"/>
        </w:rPr>
      </w:pPr>
    </w:p>
    <w:p w14:paraId="1472A102" w14:textId="0C978081" w:rsidR="00F16B59" w:rsidRPr="00DA5DAC" w:rsidRDefault="00F16B59" w:rsidP="00076DC2">
      <w:pPr>
        <w:pStyle w:val="Textoindependiente"/>
        <w:rPr>
          <w:rFonts w:cs="Arial"/>
          <w:sz w:val="22"/>
          <w:szCs w:val="22"/>
        </w:rPr>
      </w:pPr>
    </w:p>
    <w:p w14:paraId="2B297FE0" w14:textId="721B71E3" w:rsidR="00F16B59" w:rsidRPr="00DA5DAC" w:rsidRDefault="00F16B59" w:rsidP="00076DC2">
      <w:pPr>
        <w:pStyle w:val="Textoindependiente"/>
        <w:rPr>
          <w:rFonts w:cs="Arial"/>
          <w:sz w:val="22"/>
          <w:szCs w:val="22"/>
        </w:rPr>
      </w:pPr>
    </w:p>
    <w:p w14:paraId="1F867664" w14:textId="297B643B" w:rsidR="00F16B59" w:rsidRPr="00DA5DAC" w:rsidRDefault="00F16B59" w:rsidP="00F16B59">
      <w:pPr>
        <w:jc w:val="center"/>
        <w:rPr>
          <w:rFonts w:ascii="Arial" w:hAnsi="Arial" w:cs="Arial"/>
          <w:sz w:val="22"/>
          <w:szCs w:val="22"/>
        </w:rPr>
      </w:pPr>
    </w:p>
    <w:p w14:paraId="7DC1062B" w14:textId="71169E8C" w:rsidR="006117EB" w:rsidRPr="00DA5DAC" w:rsidRDefault="006117EB" w:rsidP="00F16B59">
      <w:pPr>
        <w:jc w:val="center"/>
        <w:rPr>
          <w:rFonts w:ascii="Arial" w:hAnsi="Arial" w:cs="Arial"/>
          <w:sz w:val="22"/>
          <w:szCs w:val="22"/>
        </w:rPr>
      </w:pPr>
    </w:p>
    <w:p w14:paraId="0BCD55AD" w14:textId="77777777" w:rsidR="006117EB" w:rsidRPr="00DA5DAC" w:rsidRDefault="006117EB" w:rsidP="00F16B59">
      <w:pPr>
        <w:jc w:val="center"/>
        <w:rPr>
          <w:rFonts w:ascii="Arial" w:hAnsi="Arial" w:cs="Arial"/>
          <w:sz w:val="22"/>
          <w:szCs w:val="22"/>
        </w:rPr>
      </w:pPr>
    </w:p>
    <w:p w14:paraId="04788E08" w14:textId="77777777" w:rsidR="00F16B59" w:rsidRPr="00DA5DAC" w:rsidRDefault="00F16B59" w:rsidP="00F16B59">
      <w:pPr>
        <w:jc w:val="center"/>
        <w:rPr>
          <w:rFonts w:ascii="Arial" w:hAnsi="Arial" w:cs="Arial"/>
          <w:sz w:val="22"/>
          <w:szCs w:val="22"/>
        </w:rPr>
      </w:pPr>
    </w:p>
    <w:p w14:paraId="1FED891F" w14:textId="77777777" w:rsidR="00F16B59" w:rsidRPr="00DA5DAC" w:rsidRDefault="00F16B59" w:rsidP="00F16B59">
      <w:pPr>
        <w:jc w:val="center"/>
        <w:rPr>
          <w:rFonts w:ascii="Arial" w:hAnsi="Arial" w:cs="Arial"/>
          <w:sz w:val="22"/>
          <w:szCs w:val="22"/>
        </w:rPr>
      </w:pPr>
    </w:p>
    <w:p w14:paraId="6814FB07" w14:textId="77777777" w:rsidR="007104BB" w:rsidRPr="00DA5DAC" w:rsidRDefault="007104BB" w:rsidP="00F16B59">
      <w:pPr>
        <w:pStyle w:val="Ttulo1"/>
        <w:rPr>
          <w:rFonts w:cs="Arial"/>
          <w:sz w:val="22"/>
          <w:szCs w:val="22"/>
        </w:rPr>
      </w:pPr>
    </w:p>
    <w:p w14:paraId="7DD15734" w14:textId="77777777" w:rsidR="007104BB" w:rsidRPr="00DA5DAC" w:rsidRDefault="007104BB" w:rsidP="00F16B59">
      <w:pPr>
        <w:pStyle w:val="Ttulo1"/>
        <w:rPr>
          <w:rFonts w:cs="Arial"/>
          <w:sz w:val="22"/>
          <w:szCs w:val="22"/>
        </w:rPr>
      </w:pPr>
    </w:p>
    <w:p w14:paraId="48978A2F" w14:textId="77777777" w:rsidR="007104BB" w:rsidRPr="00DA5DAC" w:rsidRDefault="007104BB" w:rsidP="00F16B59">
      <w:pPr>
        <w:pStyle w:val="Ttulo1"/>
        <w:rPr>
          <w:rFonts w:cs="Arial"/>
          <w:sz w:val="22"/>
          <w:szCs w:val="22"/>
        </w:rPr>
      </w:pPr>
    </w:p>
    <w:p w14:paraId="21ED168A" w14:textId="77777777" w:rsidR="00F16B59" w:rsidRPr="00DA5DAC" w:rsidRDefault="00F16B59" w:rsidP="00076DC2">
      <w:pPr>
        <w:pStyle w:val="Textoindependiente"/>
        <w:rPr>
          <w:rFonts w:cs="Arial"/>
          <w:sz w:val="22"/>
          <w:szCs w:val="22"/>
        </w:rPr>
      </w:pPr>
    </w:p>
    <w:sectPr w:rsidR="00F16B59" w:rsidRPr="00DA5DAC" w:rsidSect="00DA5DAC">
      <w:headerReference w:type="even" r:id="rId8"/>
      <w:headerReference w:type="default" r:id="rId9"/>
      <w:footnotePr>
        <w:numRestart w:val="eachSect"/>
      </w:footnotePr>
      <w:pgSz w:w="11907" w:h="16840" w:code="9"/>
      <w:pgMar w:top="1134" w:right="1701" w:bottom="1135" w:left="124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4000" w14:textId="77777777" w:rsidR="005510AD" w:rsidRDefault="005510AD" w:rsidP="0092540E">
      <w:r>
        <w:separator/>
      </w:r>
    </w:p>
  </w:endnote>
  <w:endnote w:type="continuationSeparator" w:id="0">
    <w:p w14:paraId="1AE7DB3F" w14:textId="77777777" w:rsidR="005510AD" w:rsidRDefault="005510AD" w:rsidP="0092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3BD2" w14:textId="77777777" w:rsidR="005510AD" w:rsidRDefault="005510AD" w:rsidP="0092540E">
      <w:r>
        <w:separator/>
      </w:r>
    </w:p>
  </w:footnote>
  <w:footnote w:type="continuationSeparator" w:id="0">
    <w:p w14:paraId="3F82B77C" w14:textId="77777777" w:rsidR="005510AD" w:rsidRDefault="005510AD" w:rsidP="0092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9AD7A" w14:textId="77777777" w:rsidR="00875885" w:rsidRDefault="00875885">
    <w:pPr>
      <w:spacing w:line="264" w:lineRule="exact"/>
      <w:jc w:val="center"/>
      <w:rPr>
        <w:rFonts w:ascii="Helv" w:hAnsi="Helv"/>
        <w:snapToGrid w:val="0"/>
        <w:sz w:val="24"/>
        <w:lang w:val="en-US" w:eastAsia="es-ES"/>
      </w:rPr>
    </w:pPr>
    <w:r>
      <w:rPr>
        <w:rFonts w:ascii="Helv" w:hAnsi="Helv"/>
        <w:snapToGrid w:val="0"/>
        <w:sz w:val="24"/>
        <w:lang w:val="en-US" w:eastAsia="es-ES"/>
      </w:rPr>
      <w:t xml:space="preserve">- </w:t>
    </w:r>
    <w:r>
      <w:rPr>
        <w:rFonts w:ascii="Helv" w:hAnsi="Helv"/>
        <w:snapToGrid w:val="0"/>
        <w:sz w:val="24"/>
        <w:lang w:val="en-US" w:eastAsia="es-ES"/>
      </w:rPr>
      <w:pgNum/>
    </w:r>
    <w:r>
      <w:rPr>
        <w:rFonts w:ascii="Helv" w:hAnsi="Helv"/>
        <w:snapToGrid w:val="0"/>
        <w:sz w:val="24"/>
        <w:lang w:val="en-US" w:eastAsia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2065" w14:textId="77777777" w:rsidR="00875885" w:rsidRDefault="00875885">
    <w:pPr>
      <w:spacing w:line="264" w:lineRule="exact"/>
      <w:jc w:val="center"/>
      <w:rPr>
        <w:rFonts w:ascii="Arial" w:hAnsi="Arial"/>
        <w:snapToGrid w:val="0"/>
        <w:sz w:val="24"/>
        <w:lang w:val="en-US" w:eastAsia="es-ES"/>
      </w:rPr>
    </w:pPr>
    <w:r>
      <w:rPr>
        <w:rFonts w:ascii="Arial" w:hAnsi="Arial"/>
        <w:snapToGrid w:val="0"/>
        <w:sz w:val="24"/>
        <w:lang w:val="en-US" w:eastAsia="es-ES"/>
      </w:rPr>
      <w:t xml:space="preserve">- </w:t>
    </w:r>
    <w:r>
      <w:rPr>
        <w:rFonts w:ascii="Arial" w:hAnsi="Arial"/>
        <w:snapToGrid w:val="0"/>
        <w:sz w:val="24"/>
        <w:lang w:val="en-US" w:eastAsia="es-ES"/>
      </w:rPr>
      <w:pgNum/>
    </w:r>
    <w:r>
      <w:rPr>
        <w:rFonts w:ascii="Arial" w:hAnsi="Arial"/>
        <w:snapToGrid w:val="0"/>
        <w:sz w:val="24"/>
        <w:lang w:val="en-US" w:eastAsia="es-ES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927"/>
    <w:multiLevelType w:val="hybridMultilevel"/>
    <w:tmpl w:val="027C9FB2"/>
    <w:lvl w:ilvl="0" w:tplc="7DD265B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988"/>
    <w:multiLevelType w:val="hybridMultilevel"/>
    <w:tmpl w:val="365024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5C6"/>
    <w:multiLevelType w:val="hybridMultilevel"/>
    <w:tmpl w:val="0A4A2A3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55DA5"/>
    <w:multiLevelType w:val="hybridMultilevel"/>
    <w:tmpl w:val="6B983052"/>
    <w:lvl w:ilvl="0" w:tplc="9AE00C3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6397E75"/>
    <w:multiLevelType w:val="hybridMultilevel"/>
    <w:tmpl w:val="475AB74C"/>
    <w:lvl w:ilvl="0" w:tplc="432A2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476"/>
    <w:multiLevelType w:val="hybridMultilevel"/>
    <w:tmpl w:val="9DECEC2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1194B"/>
    <w:multiLevelType w:val="hybridMultilevel"/>
    <w:tmpl w:val="F5AAFEF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07FF"/>
    <w:multiLevelType w:val="hybridMultilevel"/>
    <w:tmpl w:val="DDB06A8A"/>
    <w:lvl w:ilvl="0" w:tplc="1BC6B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2587"/>
    <w:multiLevelType w:val="hybridMultilevel"/>
    <w:tmpl w:val="2BFCCA26"/>
    <w:lvl w:ilvl="0" w:tplc="5E6EF7F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F1"/>
    <w:rsid w:val="00000C86"/>
    <w:rsid w:val="000056ED"/>
    <w:rsid w:val="00005891"/>
    <w:rsid w:val="000060F7"/>
    <w:rsid w:val="000110D8"/>
    <w:rsid w:val="000110F0"/>
    <w:rsid w:val="00011BDE"/>
    <w:rsid w:val="00012DDD"/>
    <w:rsid w:val="000143D4"/>
    <w:rsid w:val="000147E6"/>
    <w:rsid w:val="000161F7"/>
    <w:rsid w:val="00017F0E"/>
    <w:rsid w:val="00017FE3"/>
    <w:rsid w:val="00020F55"/>
    <w:rsid w:val="00021845"/>
    <w:rsid w:val="00021E68"/>
    <w:rsid w:val="000236DB"/>
    <w:rsid w:val="00023B07"/>
    <w:rsid w:val="00025A3E"/>
    <w:rsid w:val="00025C0D"/>
    <w:rsid w:val="00026341"/>
    <w:rsid w:val="000308FC"/>
    <w:rsid w:val="00031024"/>
    <w:rsid w:val="0003134E"/>
    <w:rsid w:val="00031550"/>
    <w:rsid w:val="00031EC4"/>
    <w:rsid w:val="00032F01"/>
    <w:rsid w:val="0004294F"/>
    <w:rsid w:val="00042BFD"/>
    <w:rsid w:val="000464DF"/>
    <w:rsid w:val="00046F84"/>
    <w:rsid w:val="000470EF"/>
    <w:rsid w:val="00050F35"/>
    <w:rsid w:val="00051141"/>
    <w:rsid w:val="000513CC"/>
    <w:rsid w:val="000530EE"/>
    <w:rsid w:val="00054BDD"/>
    <w:rsid w:val="00054FC6"/>
    <w:rsid w:val="000578A3"/>
    <w:rsid w:val="000616EA"/>
    <w:rsid w:val="00065F6B"/>
    <w:rsid w:val="000660EE"/>
    <w:rsid w:val="00066D3D"/>
    <w:rsid w:val="00067831"/>
    <w:rsid w:val="00073686"/>
    <w:rsid w:val="00076DC2"/>
    <w:rsid w:val="000845EC"/>
    <w:rsid w:val="0008484A"/>
    <w:rsid w:val="00090E24"/>
    <w:rsid w:val="000936A2"/>
    <w:rsid w:val="00096229"/>
    <w:rsid w:val="000A1145"/>
    <w:rsid w:val="000A1723"/>
    <w:rsid w:val="000B09FB"/>
    <w:rsid w:val="000B6C2B"/>
    <w:rsid w:val="000C046C"/>
    <w:rsid w:val="000C0674"/>
    <w:rsid w:val="000C2527"/>
    <w:rsid w:val="000C2AE4"/>
    <w:rsid w:val="000C48BF"/>
    <w:rsid w:val="000C5F33"/>
    <w:rsid w:val="000C7E77"/>
    <w:rsid w:val="000D20A7"/>
    <w:rsid w:val="000D2765"/>
    <w:rsid w:val="000D2C21"/>
    <w:rsid w:val="000D30FA"/>
    <w:rsid w:val="000D35A8"/>
    <w:rsid w:val="000D40C9"/>
    <w:rsid w:val="000E24D0"/>
    <w:rsid w:val="000E3B3E"/>
    <w:rsid w:val="000E459F"/>
    <w:rsid w:val="000E4E38"/>
    <w:rsid w:val="000E571C"/>
    <w:rsid w:val="000E64AF"/>
    <w:rsid w:val="000E6851"/>
    <w:rsid w:val="000E721F"/>
    <w:rsid w:val="000E755C"/>
    <w:rsid w:val="000E79F8"/>
    <w:rsid w:val="000F3DD3"/>
    <w:rsid w:val="000F4C69"/>
    <w:rsid w:val="000F6E45"/>
    <w:rsid w:val="00103AAA"/>
    <w:rsid w:val="00105B8D"/>
    <w:rsid w:val="00105F74"/>
    <w:rsid w:val="001134AA"/>
    <w:rsid w:val="00113AC2"/>
    <w:rsid w:val="001164B1"/>
    <w:rsid w:val="00120980"/>
    <w:rsid w:val="00120EE5"/>
    <w:rsid w:val="00121B20"/>
    <w:rsid w:val="00121E8D"/>
    <w:rsid w:val="001250D1"/>
    <w:rsid w:val="00127525"/>
    <w:rsid w:val="00131952"/>
    <w:rsid w:val="0013371D"/>
    <w:rsid w:val="0013402A"/>
    <w:rsid w:val="001360B2"/>
    <w:rsid w:val="00137952"/>
    <w:rsid w:val="00142D39"/>
    <w:rsid w:val="00146982"/>
    <w:rsid w:val="00147DB7"/>
    <w:rsid w:val="00151A95"/>
    <w:rsid w:val="0015361E"/>
    <w:rsid w:val="001547AD"/>
    <w:rsid w:val="001552FF"/>
    <w:rsid w:val="00157071"/>
    <w:rsid w:val="0016200B"/>
    <w:rsid w:val="001621DC"/>
    <w:rsid w:val="00164501"/>
    <w:rsid w:val="00164C47"/>
    <w:rsid w:val="00166374"/>
    <w:rsid w:val="001676EC"/>
    <w:rsid w:val="001713D8"/>
    <w:rsid w:val="0017302F"/>
    <w:rsid w:val="0017346D"/>
    <w:rsid w:val="001760E5"/>
    <w:rsid w:val="00182DEA"/>
    <w:rsid w:val="00183CFF"/>
    <w:rsid w:val="0018440A"/>
    <w:rsid w:val="00185B2F"/>
    <w:rsid w:val="00185F19"/>
    <w:rsid w:val="00187A3F"/>
    <w:rsid w:val="00195406"/>
    <w:rsid w:val="00195755"/>
    <w:rsid w:val="001A055C"/>
    <w:rsid w:val="001A13F4"/>
    <w:rsid w:val="001A2216"/>
    <w:rsid w:val="001A414F"/>
    <w:rsid w:val="001A4B06"/>
    <w:rsid w:val="001A4EAE"/>
    <w:rsid w:val="001A5F80"/>
    <w:rsid w:val="001B02E7"/>
    <w:rsid w:val="001B18A8"/>
    <w:rsid w:val="001B4B41"/>
    <w:rsid w:val="001B4BE3"/>
    <w:rsid w:val="001B5857"/>
    <w:rsid w:val="001B7D8C"/>
    <w:rsid w:val="001C0271"/>
    <w:rsid w:val="001C0333"/>
    <w:rsid w:val="001C14A3"/>
    <w:rsid w:val="001C1B50"/>
    <w:rsid w:val="001C1E37"/>
    <w:rsid w:val="001C35AC"/>
    <w:rsid w:val="001C507E"/>
    <w:rsid w:val="001C6EFD"/>
    <w:rsid w:val="001D308A"/>
    <w:rsid w:val="001D3BB3"/>
    <w:rsid w:val="001D5025"/>
    <w:rsid w:val="001D5DB9"/>
    <w:rsid w:val="001E0471"/>
    <w:rsid w:val="001E17F2"/>
    <w:rsid w:val="001E419D"/>
    <w:rsid w:val="001F1CC4"/>
    <w:rsid w:val="001F29B9"/>
    <w:rsid w:val="001F35F6"/>
    <w:rsid w:val="001F5625"/>
    <w:rsid w:val="001F58D5"/>
    <w:rsid w:val="002031A2"/>
    <w:rsid w:val="00205F75"/>
    <w:rsid w:val="00206C36"/>
    <w:rsid w:val="0021073C"/>
    <w:rsid w:val="002115ED"/>
    <w:rsid w:val="002129EB"/>
    <w:rsid w:val="00213B1B"/>
    <w:rsid w:val="00216C33"/>
    <w:rsid w:val="00216E6F"/>
    <w:rsid w:val="00216EEE"/>
    <w:rsid w:val="00217690"/>
    <w:rsid w:val="00217B4C"/>
    <w:rsid w:val="002215F9"/>
    <w:rsid w:val="00221709"/>
    <w:rsid w:val="0022319C"/>
    <w:rsid w:val="0022625C"/>
    <w:rsid w:val="002273F0"/>
    <w:rsid w:val="00230169"/>
    <w:rsid w:val="002303B6"/>
    <w:rsid w:val="002318AE"/>
    <w:rsid w:val="00231AF9"/>
    <w:rsid w:val="00233CCC"/>
    <w:rsid w:val="00235CD1"/>
    <w:rsid w:val="002378D9"/>
    <w:rsid w:val="002437A4"/>
    <w:rsid w:val="00245B36"/>
    <w:rsid w:val="00246291"/>
    <w:rsid w:val="002479FE"/>
    <w:rsid w:val="00250A60"/>
    <w:rsid w:val="00250C96"/>
    <w:rsid w:val="002514FE"/>
    <w:rsid w:val="00252476"/>
    <w:rsid w:val="00257E62"/>
    <w:rsid w:val="002619AE"/>
    <w:rsid w:val="00263869"/>
    <w:rsid w:val="00265A91"/>
    <w:rsid w:val="002703A2"/>
    <w:rsid w:val="00270D11"/>
    <w:rsid w:val="00270E99"/>
    <w:rsid w:val="002729CD"/>
    <w:rsid w:val="002758A2"/>
    <w:rsid w:val="0027637B"/>
    <w:rsid w:val="0028042F"/>
    <w:rsid w:val="002812B2"/>
    <w:rsid w:val="002849A1"/>
    <w:rsid w:val="00285146"/>
    <w:rsid w:val="00285343"/>
    <w:rsid w:val="002866DE"/>
    <w:rsid w:val="002909D1"/>
    <w:rsid w:val="00291675"/>
    <w:rsid w:val="00291A15"/>
    <w:rsid w:val="002951F2"/>
    <w:rsid w:val="00296F7E"/>
    <w:rsid w:val="00297FE4"/>
    <w:rsid w:val="002A1248"/>
    <w:rsid w:val="002A79DF"/>
    <w:rsid w:val="002B31FE"/>
    <w:rsid w:val="002B3563"/>
    <w:rsid w:val="002B5ED4"/>
    <w:rsid w:val="002B74D3"/>
    <w:rsid w:val="002C06FD"/>
    <w:rsid w:val="002C0A62"/>
    <w:rsid w:val="002C127B"/>
    <w:rsid w:val="002C1965"/>
    <w:rsid w:val="002C43A5"/>
    <w:rsid w:val="002C6451"/>
    <w:rsid w:val="002C6D7F"/>
    <w:rsid w:val="002D0C36"/>
    <w:rsid w:val="002D0E26"/>
    <w:rsid w:val="002D13DC"/>
    <w:rsid w:val="002D28BD"/>
    <w:rsid w:val="002D2CF7"/>
    <w:rsid w:val="002D3A6C"/>
    <w:rsid w:val="002D6E04"/>
    <w:rsid w:val="002E0692"/>
    <w:rsid w:val="002E1939"/>
    <w:rsid w:val="002E19AB"/>
    <w:rsid w:val="002E3CC0"/>
    <w:rsid w:val="002E42A2"/>
    <w:rsid w:val="002E5198"/>
    <w:rsid w:val="002E577D"/>
    <w:rsid w:val="002E58C2"/>
    <w:rsid w:val="002E6C66"/>
    <w:rsid w:val="002E7030"/>
    <w:rsid w:val="002F0377"/>
    <w:rsid w:val="002F0FDA"/>
    <w:rsid w:val="002F6D49"/>
    <w:rsid w:val="00300597"/>
    <w:rsid w:val="00300C0A"/>
    <w:rsid w:val="00301767"/>
    <w:rsid w:val="003017F5"/>
    <w:rsid w:val="00303274"/>
    <w:rsid w:val="00304093"/>
    <w:rsid w:val="00315313"/>
    <w:rsid w:val="003155E9"/>
    <w:rsid w:val="00315D33"/>
    <w:rsid w:val="00320DD5"/>
    <w:rsid w:val="00321034"/>
    <w:rsid w:val="00321049"/>
    <w:rsid w:val="003214FB"/>
    <w:rsid w:val="00324415"/>
    <w:rsid w:val="00330145"/>
    <w:rsid w:val="00330AD8"/>
    <w:rsid w:val="00330CC8"/>
    <w:rsid w:val="003318D5"/>
    <w:rsid w:val="0034015D"/>
    <w:rsid w:val="00341185"/>
    <w:rsid w:val="00345BC8"/>
    <w:rsid w:val="00346BFA"/>
    <w:rsid w:val="003506B8"/>
    <w:rsid w:val="00351D6E"/>
    <w:rsid w:val="0035235D"/>
    <w:rsid w:val="003534F4"/>
    <w:rsid w:val="00354CFD"/>
    <w:rsid w:val="00355FC3"/>
    <w:rsid w:val="0035699A"/>
    <w:rsid w:val="00357835"/>
    <w:rsid w:val="00361235"/>
    <w:rsid w:val="00361426"/>
    <w:rsid w:val="003628F8"/>
    <w:rsid w:val="00363046"/>
    <w:rsid w:val="00364B96"/>
    <w:rsid w:val="0036714F"/>
    <w:rsid w:val="00367604"/>
    <w:rsid w:val="0037180B"/>
    <w:rsid w:val="0037214C"/>
    <w:rsid w:val="003740A1"/>
    <w:rsid w:val="00374243"/>
    <w:rsid w:val="00374423"/>
    <w:rsid w:val="00375628"/>
    <w:rsid w:val="00375C29"/>
    <w:rsid w:val="00380F4D"/>
    <w:rsid w:val="00382B2E"/>
    <w:rsid w:val="003853C2"/>
    <w:rsid w:val="00386862"/>
    <w:rsid w:val="003871DD"/>
    <w:rsid w:val="003874EA"/>
    <w:rsid w:val="003874F3"/>
    <w:rsid w:val="00387950"/>
    <w:rsid w:val="003904CE"/>
    <w:rsid w:val="003948A8"/>
    <w:rsid w:val="00395296"/>
    <w:rsid w:val="00396332"/>
    <w:rsid w:val="003A0820"/>
    <w:rsid w:val="003A1082"/>
    <w:rsid w:val="003A1466"/>
    <w:rsid w:val="003A22AA"/>
    <w:rsid w:val="003A3141"/>
    <w:rsid w:val="003A3BF5"/>
    <w:rsid w:val="003A54B8"/>
    <w:rsid w:val="003A5F66"/>
    <w:rsid w:val="003A732D"/>
    <w:rsid w:val="003B002D"/>
    <w:rsid w:val="003B23F4"/>
    <w:rsid w:val="003B3049"/>
    <w:rsid w:val="003B427B"/>
    <w:rsid w:val="003B517C"/>
    <w:rsid w:val="003B52AE"/>
    <w:rsid w:val="003B59F6"/>
    <w:rsid w:val="003B7169"/>
    <w:rsid w:val="003B74C5"/>
    <w:rsid w:val="003C01A6"/>
    <w:rsid w:val="003C0E76"/>
    <w:rsid w:val="003C18CE"/>
    <w:rsid w:val="003C3E66"/>
    <w:rsid w:val="003C5D92"/>
    <w:rsid w:val="003C7898"/>
    <w:rsid w:val="003C7CCB"/>
    <w:rsid w:val="003D0596"/>
    <w:rsid w:val="003D0E7E"/>
    <w:rsid w:val="003D19EF"/>
    <w:rsid w:val="003D5079"/>
    <w:rsid w:val="003D5C06"/>
    <w:rsid w:val="003D6E57"/>
    <w:rsid w:val="003E100A"/>
    <w:rsid w:val="003E2895"/>
    <w:rsid w:val="003E33CA"/>
    <w:rsid w:val="003E5395"/>
    <w:rsid w:val="003E5D97"/>
    <w:rsid w:val="003F1ECE"/>
    <w:rsid w:val="003F24DC"/>
    <w:rsid w:val="003F26AB"/>
    <w:rsid w:val="003F4E79"/>
    <w:rsid w:val="003F6822"/>
    <w:rsid w:val="003F6860"/>
    <w:rsid w:val="004000F1"/>
    <w:rsid w:val="00401471"/>
    <w:rsid w:val="004044BF"/>
    <w:rsid w:val="00404720"/>
    <w:rsid w:val="0040537C"/>
    <w:rsid w:val="0040760F"/>
    <w:rsid w:val="00411126"/>
    <w:rsid w:val="00411F70"/>
    <w:rsid w:val="00416F11"/>
    <w:rsid w:val="004173F7"/>
    <w:rsid w:val="00420CBD"/>
    <w:rsid w:val="00421631"/>
    <w:rsid w:val="00430B5F"/>
    <w:rsid w:val="00432BA0"/>
    <w:rsid w:val="00432D8C"/>
    <w:rsid w:val="00432DDC"/>
    <w:rsid w:val="00433287"/>
    <w:rsid w:val="004338BA"/>
    <w:rsid w:val="00433E14"/>
    <w:rsid w:val="004340F3"/>
    <w:rsid w:val="00436DEF"/>
    <w:rsid w:val="004405D2"/>
    <w:rsid w:val="004413ED"/>
    <w:rsid w:val="004419CD"/>
    <w:rsid w:val="004445DD"/>
    <w:rsid w:val="004458FD"/>
    <w:rsid w:val="0044659B"/>
    <w:rsid w:val="004472FB"/>
    <w:rsid w:val="00452ABF"/>
    <w:rsid w:val="00453B04"/>
    <w:rsid w:val="00454E52"/>
    <w:rsid w:val="00455B76"/>
    <w:rsid w:val="00455CF5"/>
    <w:rsid w:val="00457736"/>
    <w:rsid w:val="00460968"/>
    <w:rsid w:val="00460F33"/>
    <w:rsid w:val="00461C43"/>
    <w:rsid w:val="00461DC8"/>
    <w:rsid w:val="0046347F"/>
    <w:rsid w:val="00464051"/>
    <w:rsid w:val="00466651"/>
    <w:rsid w:val="0047401B"/>
    <w:rsid w:val="004747C9"/>
    <w:rsid w:val="00474ABF"/>
    <w:rsid w:val="0047506A"/>
    <w:rsid w:val="00475750"/>
    <w:rsid w:val="004819A4"/>
    <w:rsid w:val="0048523B"/>
    <w:rsid w:val="004869E5"/>
    <w:rsid w:val="00486AC0"/>
    <w:rsid w:val="00486CBE"/>
    <w:rsid w:val="004901E5"/>
    <w:rsid w:val="00490219"/>
    <w:rsid w:val="00490D0A"/>
    <w:rsid w:val="0049254D"/>
    <w:rsid w:val="0049392B"/>
    <w:rsid w:val="004942AF"/>
    <w:rsid w:val="0049524B"/>
    <w:rsid w:val="00497533"/>
    <w:rsid w:val="00497D18"/>
    <w:rsid w:val="004A0FA3"/>
    <w:rsid w:val="004A3B3D"/>
    <w:rsid w:val="004A4AEE"/>
    <w:rsid w:val="004A58AD"/>
    <w:rsid w:val="004B2851"/>
    <w:rsid w:val="004B38FD"/>
    <w:rsid w:val="004B6098"/>
    <w:rsid w:val="004C1510"/>
    <w:rsid w:val="004C3F03"/>
    <w:rsid w:val="004C550A"/>
    <w:rsid w:val="004C630E"/>
    <w:rsid w:val="004C7A8A"/>
    <w:rsid w:val="004D04C6"/>
    <w:rsid w:val="004D5752"/>
    <w:rsid w:val="004D628D"/>
    <w:rsid w:val="004D791A"/>
    <w:rsid w:val="004E0CA2"/>
    <w:rsid w:val="004E2496"/>
    <w:rsid w:val="004E5C44"/>
    <w:rsid w:val="004F0807"/>
    <w:rsid w:val="004F1AE4"/>
    <w:rsid w:val="004F20AF"/>
    <w:rsid w:val="004F4079"/>
    <w:rsid w:val="004F4E14"/>
    <w:rsid w:val="004F6A7C"/>
    <w:rsid w:val="004F7E8B"/>
    <w:rsid w:val="00501411"/>
    <w:rsid w:val="00501E74"/>
    <w:rsid w:val="00501EE0"/>
    <w:rsid w:val="00503B97"/>
    <w:rsid w:val="005051E1"/>
    <w:rsid w:val="00507920"/>
    <w:rsid w:val="00510342"/>
    <w:rsid w:val="005112E4"/>
    <w:rsid w:val="00511DF4"/>
    <w:rsid w:val="00512FBA"/>
    <w:rsid w:val="00517FF4"/>
    <w:rsid w:val="00520D93"/>
    <w:rsid w:val="005216DC"/>
    <w:rsid w:val="00522332"/>
    <w:rsid w:val="0052487E"/>
    <w:rsid w:val="00524ACB"/>
    <w:rsid w:val="00530A4F"/>
    <w:rsid w:val="0053101B"/>
    <w:rsid w:val="005319F7"/>
    <w:rsid w:val="005329A7"/>
    <w:rsid w:val="005333DD"/>
    <w:rsid w:val="0053397D"/>
    <w:rsid w:val="005356D0"/>
    <w:rsid w:val="00535CF7"/>
    <w:rsid w:val="00543E38"/>
    <w:rsid w:val="00544EE5"/>
    <w:rsid w:val="0054621F"/>
    <w:rsid w:val="005510AD"/>
    <w:rsid w:val="00552173"/>
    <w:rsid w:val="00553976"/>
    <w:rsid w:val="00554797"/>
    <w:rsid w:val="00554E08"/>
    <w:rsid w:val="0055547C"/>
    <w:rsid w:val="00557335"/>
    <w:rsid w:val="0055737A"/>
    <w:rsid w:val="00560EBD"/>
    <w:rsid w:val="00561BCB"/>
    <w:rsid w:val="00562950"/>
    <w:rsid w:val="00562BA3"/>
    <w:rsid w:val="0056373C"/>
    <w:rsid w:val="00563CD7"/>
    <w:rsid w:val="00564480"/>
    <w:rsid w:val="00564B14"/>
    <w:rsid w:val="00564C40"/>
    <w:rsid w:val="005673AA"/>
    <w:rsid w:val="0057015F"/>
    <w:rsid w:val="005726E4"/>
    <w:rsid w:val="005758E0"/>
    <w:rsid w:val="00576C6D"/>
    <w:rsid w:val="0058164F"/>
    <w:rsid w:val="005836BC"/>
    <w:rsid w:val="00583D93"/>
    <w:rsid w:val="00586A56"/>
    <w:rsid w:val="0058707F"/>
    <w:rsid w:val="00587DD5"/>
    <w:rsid w:val="0059284E"/>
    <w:rsid w:val="005952CA"/>
    <w:rsid w:val="005A0E0D"/>
    <w:rsid w:val="005A1B30"/>
    <w:rsid w:val="005A2BC1"/>
    <w:rsid w:val="005A565B"/>
    <w:rsid w:val="005A5B6F"/>
    <w:rsid w:val="005A6FC5"/>
    <w:rsid w:val="005A7A8F"/>
    <w:rsid w:val="005B31EF"/>
    <w:rsid w:val="005C2353"/>
    <w:rsid w:val="005C2599"/>
    <w:rsid w:val="005C355B"/>
    <w:rsid w:val="005D0A31"/>
    <w:rsid w:val="005D15BD"/>
    <w:rsid w:val="005D29AF"/>
    <w:rsid w:val="005D366A"/>
    <w:rsid w:val="005D4B36"/>
    <w:rsid w:val="005D4C3E"/>
    <w:rsid w:val="005D5B40"/>
    <w:rsid w:val="005D7B88"/>
    <w:rsid w:val="005E1F99"/>
    <w:rsid w:val="005E2928"/>
    <w:rsid w:val="005E4156"/>
    <w:rsid w:val="005E502B"/>
    <w:rsid w:val="005E61B5"/>
    <w:rsid w:val="005E6EFD"/>
    <w:rsid w:val="005F14DF"/>
    <w:rsid w:val="005F1E50"/>
    <w:rsid w:val="0060064A"/>
    <w:rsid w:val="006025D2"/>
    <w:rsid w:val="00603AE7"/>
    <w:rsid w:val="00603B85"/>
    <w:rsid w:val="006103A2"/>
    <w:rsid w:val="0061133F"/>
    <w:rsid w:val="006117EB"/>
    <w:rsid w:val="0061199C"/>
    <w:rsid w:val="00612A99"/>
    <w:rsid w:val="00615573"/>
    <w:rsid w:val="00616A3B"/>
    <w:rsid w:val="006230D4"/>
    <w:rsid w:val="00627D27"/>
    <w:rsid w:val="00635110"/>
    <w:rsid w:val="0063716C"/>
    <w:rsid w:val="00637DE2"/>
    <w:rsid w:val="00641D66"/>
    <w:rsid w:val="00642D32"/>
    <w:rsid w:val="00644120"/>
    <w:rsid w:val="00644336"/>
    <w:rsid w:val="00645BEC"/>
    <w:rsid w:val="0064701A"/>
    <w:rsid w:val="00651C7A"/>
    <w:rsid w:val="006543B8"/>
    <w:rsid w:val="00656DDE"/>
    <w:rsid w:val="006608C8"/>
    <w:rsid w:val="00660AEE"/>
    <w:rsid w:val="006612C3"/>
    <w:rsid w:val="0066252C"/>
    <w:rsid w:val="00663F58"/>
    <w:rsid w:val="00664354"/>
    <w:rsid w:val="00665635"/>
    <w:rsid w:val="00666381"/>
    <w:rsid w:val="00666D8F"/>
    <w:rsid w:val="00670A26"/>
    <w:rsid w:val="00671710"/>
    <w:rsid w:val="00671C26"/>
    <w:rsid w:val="00671EAC"/>
    <w:rsid w:val="006723CF"/>
    <w:rsid w:val="006726FE"/>
    <w:rsid w:val="00675040"/>
    <w:rsid w:val="0067539D"/>
    <w:rsid w:val="00676F6D"/>
    <w:rsid w:val="00682A0C"/>
    <w:rsid w:val="0068435E"/>
    <w:rsid w:val="00684DF7"/>
    <w:rsid w:val="00685523"/>
    <w:rsid w:val="00686097"/>
    <w:rsid w:val="0068655E"/>
    <w:rsid w:val="00686729"/>
    <w:rsid w:val="006871F1"/>
    <w:rsid w:val="006908B5"/>
    <w:rsid w:val="00691A1D"/>
    <w:rsid w:val="00693452"/>
    <w:rsid w:val="006938C4"/>
    <w:rsid w:val="00694C2D"/>
    <w:rsid w:val="006956B1"/>
    <w:rsid w:val="00695D9F"/>
    <w:rsid w:val="00696EB7"/>
    <w:rsid w:val="006A0241"/>
    <w:rsid w:val="006A0722"/>
    <w:rsid w:val="006A3E77"/>
    <w:rsid w:val="006A443C"/>
    <w:rsid w:val="006A4AE2"/>
    <w:rsid w:val="006A4FBC"/>
    <w:rsid w:val="006A6517"/>
    <w:rsid w:val="006A697F"/>
    <w:rsid w:val="006B06F0"/>
    <w:rsid w:val="006B081F"/>
    <w:rsid w:val="006B0DD4"/>
    <w:rsid w:val="006B1835"/>
    <w:rsid w:val="006B243A"/>
    <w:rsid w:val="006B2B0E"/>
    <w:rsid w:val="006B694A"/>
    <w:rsid w:val="006C212F"/>
    <w:rsid w:val="006C322A"/>
    <w:rsid w:val="006C3F21"/>
    <w:rsid w:val="006C5E45"/>
    <w:rsid w:val="006C7740"/>
    <w:rsid w:val="006D0864"/>
    <w:rsid w:val="006D11B8"/>
    <w:rsid w:val="006D17F8"/>
    <w:rsid w:val="006D36B8"/>
    <w:rsid w:val="006D413A"/>
    <w:rsid w:val="006D42E0"/>
    <w:rsid w:val="006D4525"/>
    <w:rsid w:val="006D4B06"/>
    <w:rsid w:val="006D66EE"/>
    <w:rsid w:val="006D691F"/>
    <w:rsid w:val="006E107A"/>
    <w:rsid w:val="006E4CED"/>
    <w:rsid w:val="006E542E"/>
    <w:rsid w:val="006E5ECD"/>
    <w:rsid w:val="006E5F70"/>
    <w:rsid w:val="006E6F37"/>
    <w:rsid w:val="006F08F2"/>
    <w:rsid w:val="006F13CE"/>
    <w:rsid w:val="006F714C"/>
    <w:rsid w:val="006F7154"/>
    <w:rsid w:val="00700990"/>
    <w:rsid w:val="00700DB5"/>
    <w:rsid w:val="0070126B"/>
    <w:rsid w:val="0070289A"/>
    <w:rsid w:val="007048E3"/>
    <w:rsid w:val="007057D5"/>
    <w:rsid w:val="00705E33"/>
    <w:rsid w:val="00707344"/>
    <w:rsid w:val="007104BB"/>
    <w:rsid w:val="00710EA7"/>
    <w:rsid w:val="0071303A"/>
    <w:rsid w:val="00713B04"/>
    <w:rsid w:val="00713C4B"/>
    <w:rsid w:val="00714B4E"/>
    <w:rsid w:val="00714CAC"/>
    <w:rsid w:val="0071514C"/>
    <w:rsid w:val="00721606"/>
    <w:rsid w:val="00722E01"/>
    <w:rsid w:val="007262A6"/>
    <w:rsid w:val="00726CE6"/>
    <w:rsid w:val="0073118E"/>
    <w:rsid w:val="00731CF4"/>
    <w:rsid w:val="0074040E"/>
    <w:rsid w:val="00741E5E"/>
    <w:rsid w:val="00741EC1"/>
    <w:rsid w:val="00744CAA"/>
    <w:rsid w:val="007455F3"/>
    <w:rsid w:val="007458F3"/>
    <w:rsid w:val="0074794F"/>
    <w:rsid w:val="00753FEF"/>
    <w:rsid w:val="007649EA"/>
    <w:rsid w:val="00764DE2"/>
    <w:rsid w:val="00764DF4"/>
    <w:rsid w:val="00766C84"/>
    <w:rsid w:val="0077077B"/>
    <w:rsid w:val="00771B2A"/>
    <w:rsid w:val="007724EE"/>
    <w:rsid w:val="00772D07"/>
    <w:rsid w:val="00774655"/>
    <w:rsid w:val="007801DE"/>
    <w:rsid w:val="00780BA1"/>
    <w:rsid w:val="00783644"/>
    <w:rsid w:val="00786CD0"/>
    <w:rsid w:val="007908E3"/>
    <w:rsid w:val="007938E1"/>
    <w:rsid w:val="00794C32"/>
    <w:rsid w:val="007955BE"/>
    <w:rsid w:val="00795EE1"/>
    <w:rsid w:val="00796F72"/>
    <w:rsid w:val="0079778B"/>
    <w:rsid w:val="007A3D9B"/>
    <w:rsid w:val="007A5350"/>
    <w:rsid w:val="007A700C"/>
    <w:rsid w:val="007B2C0D"/>
    <w:rsid w:val="007B4A9C"/>
    <w:rsid w:val="007C1D63"/>
    <w:rsid w:val="007D2D55"/>
    <w:rsid w:val="007D3FD7"/>
    <w:rsid w:val="007E0CA9"/>
    <w:rsid w:val="007E5E0D"/>
    <w:rsid w:val="007F04FE"/>
    <w:rsid w:val="007F1349"/>
    <w:rsid w:val="007F3B21"/>
    <w:rsid w:val="007F49AC"/>
    <w:rsid w:val="007F4D2C"/>
    <w:rsid w:val="007F4E77"/>
    <w:rsid w:val="007F6BDA"/>
    <w:rsid w:val="007F7483"/>
    <w:rsid w:val="0080293F"/>
    <w:rsid w:val="00803E72"/>
    <w:rsid w:val="00806A85"/>
    <w:rsid w:val="00807203"/>
    <w:rsid w:val="00811249"/>
    <w:rsid w:val="008167ED"/>
    <w:rsid w:val="00817D06"/>
    <w:rsid w:val="0082119D"/>
    <w:rsid w:val="0082317A"/>
    <w:rsid w:val="00823960"/>
    <w:rsid w:val="0082654F"/>
    <w:rsid w:val="00827925"/>
    <w:rsid w:val="00830663"/>
    <w:rsid w:val="00831927"/>
    <w:rsid w:val="0083323D"/>
    <w:rsid w:val="00835638"/>
    <w:rsid w:val="00836824"/>
    <w:rsid w:val="00837E51"/>
    <w:rsid w:val="008401AA"/>
    <w:rsid w:val="0084244A"/>
    <w:rsid w:val="00842594"/>
    <w:rsid w:val="008425FC"/>
    <w:rsid w:val="008431D5"/>
    <w:rsid w:val="008511A0"/>
    <w:rsid w:val="0085214B"/>
    <w:rsid w:val="00852BD7"/>
    <w:rsid w:val="00852D0E"/>
    <w:rsid w:val="00853860"/>
    <w:rsid w:val="00854CF2"/>
    <w:rsid w:val="00856526"/>
    <w:rsid w:val="00863E19"/>
    <w:rsid w:val="00863E4E"/>
    <w:rsid w:val="008652F1"/>
    <w:rsid w:val="00865AAC"/>
    <w:rsid w:val="0086713F"/>
    <w:rsid w:val="00870DD2"/>
    <w:rsid w:val="00871F22"/>
    <w:rsid w:val="008755C6"/>
    <w:rsid w:val="00875885"/>
    <w:rsid w:val="00880EE8"/>
    <w:rsid w:val="00881231"/>
    <w:rsid w:val="0088204F"/>
    <w:rsid w:val="008823CD"/>
    <w:rsid w:val="0088265F"/>
    <w:rsid w:val="00883395"/>
    <w:rsid w:val="00884F96"/>
    <w:rsid w:val="008918F2"/>
    <w:rsid w:val="00891BD8"/>
    <w:rsid w:val="00892A57"/>
    <w:rsid w:val="00893400"/>
    <w:rsid w:val="00893821"/>
    <w:rsid w:val="00893ECA"/>
    <w:rsid w:val="00894467"/>
    <w:rsid w:val="00894525"/>
    <w:rsid w:val="0089560C"/>
    <w:rsid w:val="008A2C35"/>
    <w:rsid w:val="008A344A"/>
    <w:rsid w:val="008A6B54"/>
    <w:rsid w:val="008A70F4"/>
    <w:rsid w:val="008B05F2"/>
    <w:rsid w:val="008B0896"/>
    <w:rsid w:val="008B0E7C"/>
    <w:rsid w:val="008B1F67"/>
    <w:rsid w:val="008B4818"/>
    <w:rsid w:val="008B4925"/>
    <w:rsid w:val="008B550E"/>
    <w:rsid w:val="008C0548"/>
    <w:rsid w:val="008C1B15"/>
    <w:rsid w:val="008C3741"/>
    <w:rsid w:val="008C55B1"/>
    <w:rsid w:val="008C7504"/>
    <w:rsid w:val="008D0409"/>
    <w:rsid w:val="008D176F"/>
    <w:rsid w:val="008D2916"/>
    <w:rsid w:val="008D2EC5"/>
    <w:rsid w:val="008D42D6"/>
    <w:rsid w:val="008D6689"/>
    <w:rsid w:val="008E0BE9"/>
    <w:rsid w:val="008E245F"/>
    <w:rsid w:val="008E3D13"/>
    <w:rsid w:val="008E4484"/>
    <w:rsid w:val="008E5282"/>
    <w:rsid w:val="008E6C13"/>
    <w:rsid w:val="008F0274"/>
    <w:rsid w:val="008F4659"/>
    <w:rsid w:val="008F4B7C"/>
    <w:rsid w:val="008F4C7A"/>
    <w:rsid w:val="008F5A8F"/>
    <w:rsid w:val="008F6816"/>
    <w:rsid w:val="008F74AE"/>
    <w:rsid w:val="00900068"/>
    <w:rsid w:val="0090116C"/>
    <w:rsid w:val="00904807"/>
    <w:rsid w:val="00904F9B"/>
    <w:rsid w:val="009068CE"/>
    <w:rsid w:val="0090762E"/>
    <w:rsid w:val="0091302F"/>
    <w:rsid w:val="00913A14"/>
    <w:rsid w:val="009206E9"/>
    <w:rsid w:val="009210A3"/>
    <w:rsid w:val="009226C5"/>
    <w:rsid w:val="00925200"/>
    <w:rsid w:val="0092540E"/>
    <w:rsid w:val="009304A9"/>
    <w:rsid w:val="00931102"/>
    <w:rsid w:val="009318DE"/>
    <w:rsid w:val="0093330B"/>
    <w:rsid w:val="009416CE"/>
    <w:rsid w:val="00941C7B"/>
    <w:rsid w:val="00942803"/>
    <w:rsid w:val="00943210"/>
    <w:rsid w:val="00944693"/>
    <w:rsid w:val="00946C7B"/>
    <w:rsid w:val="00947AE0"/>
    <w:rsid w:val="0095022E"/>
    <w:rsid w:val="00951202"/>
    <w:rsid w:val="00954C6B"/>
    <w:rsid w:val="00956102"/>
    <w:rsid w:val="00960DEA"/>
    <w:rsid w:val="0096268F"/>
    <w:rsid w:val="00966544"/>
    <w:rsid w:val="009668D1"/>
    <w:rsid w:val="0097376A"/>
    <w:rsid w:val="009741E5"/>
    <w:rsid w:val="009822A1"/>
    <w:rsid w:val="009832F8"/>
    <w:rsid w:val="009843CC"/>
    <w:rsid w:val="009843E2"/>
    <w:rsid w:val="00984679"/>
    <w:rsid w:val="00984ECA"/>
    <w:rsid w:val="009877E9"/>
    <w:rsid w:val="00991FF4"/>
    <w:rsid w:val="00992CFA"/>
    <w:rsid w:val="0099441C"/>
    <w:rsid w:val="00997574"/>
    <w:rsid w:val="009975B2"/>
    <w:rsid w:val="009A1984"/>
    <w:rsid w:val="009A26EB"/>
    <w:rsid w:val="009A353A"/>
    <w:rsid w:val="009A5FBA"/>
    <w:rsid w:val="009A718B"/>
    <w:rsid w:val="009B01BB"/>
    <w:rsid w:val="009B0779"/>
    <w:rsid w:val="009B1C27"/>
    <w:rsid w:val="009B33B5"/>
    <w:rsid w:val="009B35FA"/>
    <w:rsid w:val="009B599A"/>
    <w:rsid w:val="009B7C74"/>
    <w:rsid w:val="009C088E"/>
    <w:rsid w:val="009C26ED"/>
    <w:rsid w:val="009C6B98"/>
    <w:rsid w:val="009C744C"/>
    <w:rsid w:val="009D0830"/>
    <w:rsid w:val="009D0AF8"/>
    <w:rsid w:val="009D0EA6"/>
    <w:rsid w:val="009D1DC3"/>
    <w:rsid w:val="009D1FCE"/>
    <w:rsid w:val="009D62F5"/>
    <w:rsid w:val="009D6BC4"/>
    <w:rsid w:val="009D70D6"/>
    <w:rsid w:val="009D7AAA"/>
    <w:rsid w:val="009E1E99"/>
    <w:rsid w:val="009E1F01"/>
    <w:rsid w:val="009E3C45"/>
    <w:rsid w:val="009E4C2F"/>
    <w:rsid w:val="009E646C"/>
    <w:rsid w:val="009E6C06"/>
    <w:rsid w:val="009F3469"/>
    <w:rsid w:val="009F54E0"/>
    <w:rsid w:val="009F68F2"/>
    <w:rsid w:val="009F6CAB"/>
    <w:rsid w:val="00A02C2F"/>
    <w:rsid w:val="00A02E6C"/>
    <w:rsid w:val="00A02F89"/>
    <w:rsid w:val="00A031FB"/>
    <w:rsid w:val="00A07FDE"/>
    <w:rsid w:val="00A11562"/>
    <w:rsid w:val="00A13D7F"/>
    <w:rsid w:val="00A15CF5"/>
    <w:rsid w:val="00A17E01"/>
    <w:rsid w:val="00A2095B"/>
    <w:rsid w:val="00A21EB4"/>
    <w:rsid w:val="00A23827"/>
    <w:rsid w:val="00A239B3"/>
    <w:rsid w:val="00A23CF2"/>
    <w:rsid w:val="00A23EA1"/>
    <w:rsid w:val="00A253E3"/>
    <w:rsid w:val="00A34C12"/>
    <w:rsid w:val="00A372BC"/>
    <w:rsid w:val="00A4013C"/>
    <w:rsid w:val="00A402B9"/>
    <w:rsid w:val="00A406EC"/>
    <w:rsid w:val="00A41120"/>
    <w:rsid w:val="00A42DF3"/>
    <w:rsid w:val="00A433DC"/>
    <w:rsid w:val="00A44DEB"/>
    <w:rsid w:val="00A454D0"/>
    <w:rsid w:val="00A45ED0"/>
    <w:rsid w:val="00A51237"/>
    <w:rsid w:val="00A51465"/>
    <w:rsid w:val="00A519D8"/>
    <w:rsid w:val="00A5305C"/>
    <w:rsid w:val="00A5366F"/>
    <w:rsid w:val="00A5370C"/>
    <w:rsid w:val="00A56C12"/>
    <w:rsid w:val="00A5714D"/>
    <w:rsid w:val="00A61DCD"/>
    <w:rsid w:val="00A63B4A"/>
    <w:rsid w:val="00A64628"/>
    <w:rsid w:val="00A64B72"/>
    <w:rsid w:val="00A66183"/>
    <w:rsid w:val="00A678D9"/>
    <w:rsid w:val="00A71EEE"/>
    <w:rsid w:val="00A72BA2"/>
    <w:rsid w:val="00A74C70"/>
    <w:rsid w:val="00A76689"/>
    <w:rsid w:val="00A7743D"/>
    <w:rsid w:val="00A77F20"/>
    <w:rsid w:val="00A815C4"/>
    <w:rsid w:val="00A81D92"/>
    <w:rsid w:val="00A83DC9"/>
    <w:rsid w:val="00A84D4F"/>
    <w:rsid w:val="00A86538"/>
    <w:rsid w:val="00A90850"/>
    <w:rsid w:val="00A917F4"/>
    <w:rsid w:val="00A93182"/>
    <w:rsid w:val="00A94F39"/>
    <w:rsid w:val="00A94FE8"/>
    <w:rsid w:val="00A952C7"/>
    <w:rsid w:val="00A96E86"/>
    <w:rsid w:val="00AA0D92"/>
    <w:rsid w:val="00AA1CCF"/>
    <w:rsid w:val="00AB0732"/>
    <w:rsid w:val="00AB1A4B"/>
    <w:rsid w:val="00AB2C6E"/>
    <w:rsid w:val="00AB36EC"/>
    <w:rsid w:val="00AB7879"/>
    <w:rsid w:val="00AC0A83"/>
    <w:rsid w:val="00AC1004"/>
    <w:rsid w:val="00AC4310"/>
    <w:rsid w:val="00AC7F18"/>
    <w:rsid w:val="00AD2350"/>
    <w:rsid w:val="00AD2B37"/>
    <w:rsid w:val="00AD4A4A"/>
    <w:rsid w:val="00AE00C7"/>
    <w:rsid w:val="00AE2004"/>
    <w:rsid w:val="00AE28FC"/>
    <w:rsid w:val="00AE41C4"/>
    <w:rsid w:val="00AE5356"/>
    <w:rsid w:val="00AE6AC8"/>
    <w:rsid w:val="00AE76E2"/>
    <w:rsid w:val="00AF065E"/>
    <w:rsid w:val="00AF0B5A"/>
    <w:rsid w:val="00AF17B4"/>
    <w:rsid w:val="00AF220F"/>
    <w:rsid w:val="00AF3050"/>
    <w:rsid w:val="00AF6124"/>
    <w:rsid w:val="00AF6570"/>
    <w:rsid w:val="00B033EF"/>
    <w:rsid w:val="00B0469F"/>
    <w:rsid w:val="00B05BE4"/>
    <w:rsid w:val="00B076D5"/>
    <w:rsid w:val="00B10ADA"/>
    <w:rsid w:val="00B10C9C"/>
    <w:rsid w:val="00B1234F"/>
    <w:rsid w:val="00B16C22"/>
    <w:rsid w:val="00B17F64"/>
    <w:rsid w:val="00B2013C"/>
    <w:rsid w:val="00B212A2"/>
    <w:rsid w:val="00B226AC"/>
    <w:rsid w:val="00B24D3F"/>
    <w:rsid w:val="00B26FE9"/>
    <w:rsid w:val="00B2753F"/>
    <w:rsid w:val="00B308E8"/>
    <w:rsid w:val="00B31668"/>
    <w:rsid w:val="00B34A79"/>
    <w:rsid w:val="00B37737"/>
    <w:rsid w:val="00B37CB5"/>
    <w:rsid w:val="00B40DF5"/>
    <w:rsid w:val="00B41904"/>
    <w:rsid w:val="00B46190"/>
    <w:rsid w:val="00B46CCE"/>
    <w:rsid w:val="00B472F5"/>
    <w:rsid w:val="00B47509"/>
    <w:rsid w:val="00B50441"/>
    <w:rsid w:val="00B50AEF"/>
    <w:rsid w:val="00B50BB2"/>
    <w:rsid w:val="00B51B70"/>
    <w:rsid w:val="00B51D50"/>
    <w:rsid w:val="00B54AA4"/>
    <w:rsid w:val="00B558C3"/>
    <w:rsid w:val="00B56462"/>
    <w:rsid w:val="00B56980"/>
    <w:rsid w:val="00B56D0F"/>
    <w:rsid w:val="00B57DB1"/>
    <w:rsid w:val="00B60384"/>
    <w:rsid w:val="00B60493"/>
    <w:rsid w:val="00B6196E"/>
    <w:rsid w:val="00B62DFB"/>
    <w:rsid w:val="00B62EAB"/>
    <w:rsid w:val="00B63031"/>
    <w:rsid w:val="00B652AE"/>
    <w:rsid w:val="00B65A22"/>
    <w:rsid w:val="00B66145"/>
    <w:rsid w:val="00B6709D"/>
    <w:rsid w:val="00B704BC"/>
    <w:rsid w:val="00B72274"/>
    <w:rsid w:val="00B72A03"/>
    <w:rsid w:val="00B72D8A"/>
    <w:rsid w:val="00B769B6"/>
    <w:rsid w:val="00B800B3"/>
    <w:rsid w:val="00B81204"/>
    <w:rsid w:val="00B81DF1"/>
    <w:rsid w:val="00B81F19"/>
    <w:rsid w:val="00B82CB6"/>
    <w:rsid w:val="00B84636"/>
    <w:rsid w:val="00B85998"/>
    <w:rsid w:val="00B8684E"/>
    <w:rsid w:val="00B874C5"/>
    <w:rsid w:val="00B87809"/>
    <w:rsid w:val="00B9242D"/>
    <w:rsid w:val="00B961FB"/>
    <w:rsid w:val="00B97D07"/>
    <w:rsid w:val="00BA0DF4"/>
    <w:rsid w:val="00BA4A2B"/>
    <w:rsid w:val="00BA6732"/>
    <w:rsid w:val="00BA68C2"/>
    <w:rsid w:val="00BA70AF"/>
    <w:rsid w:val="00BB10B0"/>
    <w:rsid w:val="00BB2128"/>
    <w:rsid w:val="00BB2DB5"/>
    <w:rsid w:val="00BB3301"/>
    <w:rsid w:val="00BB3559"/>
    <w:rsid w:val="00BB3B8C"/>
    <w:rsid w:val="00BB6266"/>
    <w:rsid w:val="00BB65DB"/>
    <w:rsid w:val="00BB6E24"/>
    <w:rsid w:val="00BB7343"/>
    <w:rsid w:val="00BB77B4"/>
    <w:rsid w:val="00BC026A"/>
    <w:rsid w:val="00BC338E"/>
    <w:rsid w:val="00BC61DB"/>
    <w:rsid w:val="00BC7E9E"/>
    <w:rsid w:val="00BD20A6"/>
    <w:rsid w:val="00BD33DA"/>
    <w:rsid w:val="00BD37BE"/>
    <w:rsid w:val="00BD4FD6"/>
    <w:rsid w:val="00BE41A2"/>
    <w:rsid w:val="00BE5B21"/>
    <w:rsid w:val="00BE650C"/>
    <w:rsid w:val="00BE6759"/>
    <w:rsid w:val="00BF06E4"/>
    <w:rsid w:val="00BF1261"/>
    <w:rsid w:val="00BF6319"/>
    <w:rsid w:val="00C00A5C"/>
    <w:rsid w:val="00C02924"/>
    <w:rsid w:val="00C035E6"/>
    <w:rsid w:val="00C04661"/>
    <w:rsid w:val="00C04B0C"/>
    <w:rsid w:val="00C05A9D"/>
    <w:rsid w:val="00C0662A"/>
    <w:rsid w:val="00C1135F"/>
    <w:rsid w:val="00C12191"/>
    <w:rsid w:val="00C149FD"/>
    <w:rsid w:val="00C15132"/>
    <w:rsid w:val="00C23ABE"/>
    <w:rsid w:val="00C26C75"/>
    <w:rsid w:val="00C30ACC"/>
    <w:rsid w:val="00C3439E"/>
    <w:rsid w:val="00C3471B"/>
    <w:rsid w:val="00C35219"/>
    <w:rsid w:val="00C367F7"/>
    <w:rsid w:val="00C37AFC"/>
    <w:rsid w:val="00C37E1C"/>
    <w:rsid w:val="00C40203"/>
    <w:rsid w:val="00C44A57"/>
    <w:rsid w:val="00C47791"/>
    <w:rsid w:val="00C477A9"/>
    <w:rsid w:val="00C47C79"/>
    <w:rsid w:val="00C500D4"/>
    <w:rsid w:val="00C502E3"/>
    <w:rsid w:val="00C50ED0"/>
    <w:rsid w:val="00C5286E"/>
    <w:rsid w:val="00C54395"/>
    <w:rsid w:val="00C544CD"/>
    <w:rsid w:val="00C549FC"/>
    <w:rsid w:val="00C565DC"/>
    <w:rsid w:val="00C604CC"/>
    <w:rsid w:val="00C636D5"/>
    <w:rsid w:val="00C6395A"/>
    <w:rsid w:val="00C642F0"/>
    <w:rsid w:val="00C6643D"/>
    <w:rsid w:val="00C67373"/>
    <w:rsid w:val="00C7022E"/>
    <w:rsid w:val="00C7094C"/>
    <w:rsid w:val="00C70998"/>
    <w:rsid w:val="00C724B3"/>
    <w:rsid w:val="00C75AEC"/>
    <w:rsid w:val="00C75B29"/>
    <w:rsid w:val="00C8368E"/>
    <w:rsid w:val="00C83881"/>
    <w:rsid w:val="00C8476E"/>
    <w:rsid w:val="00C93011"/>
    <w:rsid w:val="00C935C9"/>
    <w:rsid w:val="00C96C11"/>
    <w:rsid w:val="00C96FF1"/>
    <w:rsid w:val="00CA068E"/>
    <w:rsid w:val="00CA0BB1"/>
    <w:rsid w:val="00CA2274"/>
    <w:rsid w:val="00CA3EE6"/>
    <w:rsid w:val="00CA598A"/>
    <w:rsid w:val="00CA6B24"/>
    <w:rsid w:val="00CA74E3"/>
    <w:rsid w:val="00CB37C1"/>
    <w:rsid w:val="00CC128C"/>
    <w:rsid w:val="00CC25B4"/>
    <w:rsid w:val="00CC2D49"/>
    <w:rsid w:val="00CC2DC6"/>
    <w:rsid w:val="00CC4F1E"/>
    <w:rsid w:val="00CC56D7"/>
    <w:rsid w:val="00CC5C38"/>
    <w:rsid w:val="00CC631D"/>
    <w:rsid w:val="00CC76DC"/>
    <w:rsid w:val="00CD00A5"/>
    <w:rsid w:val="00CD1249"/>
    <w:rsid w:val="00CD508B"/>
    <w:rsid w:val="00CD52D1"/>
    <w:rsid w:val="00CD53A5"/>
    <w:rsid w:val="00CD7F68"/>
    <w:rsid w:val="00CE4A1F"/>
    <w:rsid w:val="00CE5313"/>
    <w:rsid w:val="00CE70C7"/>
    <w:rsid w:val="00CE7CCB"/>
    <w:rsid w:val="00CF1B02"/>
    <w:rsid w:val="00CF2A3A"/>
    <w:rsid w:val="00CF2BC4"/>
    <w:rsid w:val="00CF5510"/>
    <w:rsid w:val="00CF6BBA"/>
    <w:rsid w:val="00CF7E4A"/>
    <w:rsid w:val="00D02C96"/>
    <w:rsid w:val="00D105A1"/>
    <w:rsid w:val="00D10DE5"/>
    <w:rsid w:val="00D11E3A"/>
    <w:rsid w:val="00D12899"/>
    <w:rsid w:val="00D144FE"/>
    <w:rsid w:val="00D158EF"/>
    <w:rsid w:val="00D166F3"/>
    <w:rsid w:val="00D1697B"/>
    <w:rsid w:val="00D17D5C"/>
    <w:rsid w:val="00D23A2C"/>
    <w:rsid w:val="00D23ED5"/>
    <w:rsid w:val="00D24E90"/>
    <w:rsid w:val="00D26D55"/>
    <w:rsid w:val="00D30F20"/>
    <w:rsid w:val="00D3201B"/>
    <w:rsid w:val="00D32630"/>
    <w:rsid w:val="00D34CC6"/>
    <w:rsid w:val="00D361A4"/>
    <w:rsid w:val="00D36523"/>
    <w:rsid w:val="00D4085B"/>
    <w:rsid w:val="00D4194D"/>
    <w:rsid w:val="00D422BC"/>
    <w:rsid w:val="00D42C06"/>
    <w:rsid w:val="00D43353"/>
    <w:rsid w:val="00D442F0"/>
    <w:rsid w:val="00D44903"/>
    <w:rsid w:val="00D44C71"/>
    <w:rsid w:val="00D4681F"/>
    <w:rsid w:val="00D476DC"/>
    <w:rsid w:val="00D52282"/>
    <w:rsid w:val="00D53234"/>
    <w:rsid w:val="00D558C6"/>
    <w:rsid w:val="00D60919"/>
    <w:rsid w:val="00D63B83"/>
    <w:rsid w:val="00D6513A"/>
    <w:rsid w:val="00D66B89"/>
    <w:rsid w:val="00D71AB5"/>
    <w:rsid w:val="00D71E70"/>
    <w:rsid w:val="00D75011"/>
    <w:rsid w:val="00D76984"/>
    <w:rsid w:val="00D81045"/>
    <w:rsid w:val="00D81B37"/>
    <w:rsid w:val="00D8332F"/>
    <w:rsid w:val="00D850BF"/>
    <w:rsid w:val="00D91A01"/>
    <w:rsid w:val="00D91BEF"/>
    <w:rsid w:val="00D91C04"/>
    <w:rsid w:val="00D93DF1"/>
    <w:rsid w:val="00D954C8"/>
    <w:rsid w:val="00D959A7"/>
    <w:rsid w:val="00DA0342"/>
    <w:rsid w:val="00DA283C"/>
    <w:rsid w:val="00DA398C"/>
    <w:rsid w:val="00DA4A40"/>
    <w:rsid w:val="00DA5DAC"/>
    <w:rsid w:val="00DA6E73"/>
    <w:rsid w:val="00DA74A1"/>
    <w:rsid w:val="00DB0201"/>
    <w:rsid w:val="00DB03C9"/>
    <w:rsid w:val="00DB25F4"/>
    <w:rsid w:val="00DB3098"/>
    <w:rsid w:val="00DB38E1"/>
    <w:rsid w:val="00DB3A1F"/>
    <w:rsid w:val="00DB6D48"/>
    <w:rsid w:val="00DC0C27"/>
    <w:rsid w:val="00DC1BC8"/>
    <w:rsid w:val="00DC22B5"/>
    <w:rsid w:val="00DC30CB"/>
    <w:rsid w:val="00DC36AA"/>
    <w:rsid w:val="00DC51BC"/>
    <w:rsid w:val="00DC5D30"/>
    <w:rsid w:val="00DC6FCA"/>
    <w:rsid w:val="00DC7477"/>
    <w:rsid w:val="00DC76D4"/>
    <w:rsid w:val="00DD18EE"/>
    <w:rsid w:val="00DD31F3"/>
    <w:rsid w:val="00DD44F0"/>
    <w:rsid w:val="00DD5B20"/>
    <w:rsid w:val="00DD650F"/>
    <w:rsid w:val="00DE0DFF"/>
    <w:rsid w:val="00DE195A"/>
    <w:rsid w:val="00DE1F42"/>
    <w:rsid w:val="00DE2FB1"/>
    <w:rsid w:val="00DE43B6"/>
    <w:rsid w:val="00DE536B"/>
    <w:rsid w:val="00DE6FF4"/>
    <w:rsid w:val="00DE7341"/>
    <w:rsid w:val="00DF03E6"/>
    <w:rsid w:val="00DF1CB8"/>
    <w:rsid w:val="00DF218D"/>
    <w:rsid w:val="00DF728C"/>
    <w:rsid w:val="00DF74C6"/>
    <w:rsid w:val="00E01617"/>
    <w:rsid w:val="00E020BE"/>
    <w:rsid w:val="00E02B24"/>
    <w:rsid w:val="00E06F80"/>
    <w:rsid w:val="00E07436"/>
    <w:rsid w:val="00E10ECC"/>
    <w:rsid w:val="00E11276"/>
    <w:rsid w:val="00E12160"/>
    <w:rsid w:val="00E124CF"/>
    <w:rsid w:val="00E12AEE"/>
    <w:rsid w:val="00E13213"/>
    <w:rsid w:val="00E21EC6"/>
    <w:rsid w:val="00E22402"/>
    <w:rsid w:val="00E2264F"/>
    <w:rsid w:val="00E25801"/>
    <w:rsid w:val="00E27371"/>
    <w:rsid w:val="00E3065B"/>
    <w:rsid w:val="00E31948"/>
    <w:rsid w:val="00E319E4"/>
    <w:rsid w:val="00E3634F"/>
    <w:rsid w:val="00E36810"/>
    <w:rsid w:val="00E40922"/>
    <w:rsid w:val="00E42FA4"/>
    <w:rsid w:val="00E45735"/>
    <w:rsid w:val="00E45786"/>
    <w:rsid w:val="00E462E2"/>
    <w:rsid w:val="00E465DB"/>
    <w:rsid w:val="00E46C94"/>
    <w:rsid w:val="00E502D0"/>
    <w:rsid w:val="00E50574"/>
    <w:rsid w:val="00E52E4D"/>
    <w:rsid w:val="00E54A5C"/>
    <w:rsid w:val="00E553AC"/>
    <w:rsid w:val="00E576FD"/>
    <w:rsid w:val="00E612F7"/>
    <w:rsid w:val="00E639D1"/>
    <w:rsid w:val="00E662F6"/>
    <w:rsid w:val="00E66A14"/>
    <w:rsid w:val="00E72596"/>
    <w:rsid w:val="00E74712"/>
    <w:rsid w:val="00E80F01"/>
    <w:rsid w:val="00E83BED"/>
    <w:rsid w:val="00E847AF"/>
    <w:rsid w:val="00E84AA7"/>
    <w:rsid w:val="00E84C6B"/>
    <w:rsid w:val="00E870E1"/>
    <w:rsid w:val="00E900B4"/>
    <w:rsid w:val="00E902C6"/>
    <w:rsid w:val="00E929B9"/>
    <w:rsid w:val="00E95E25"/>
    <w:rsid w:val="00EA0554"/>
    <w:rsid w:val="00EA6D0E"/>
    <w:rsid w:val="00EA7C5D"/>
    <w:rsid w:val="00EA7CA8"/>
    <w:rsid w:val="00EB0FB2"/>
    <w:rsid w:val="00EB3035"/>
    <w:rsid w:val="00EB3A90"/>
    <w:rsid w:val="00EB43CE"/>
    <w:rsid w:val="00EB4D65"/>
    <w:rsid w:val="00EC0E22"/>
    <w:rsid w:val="00EC334C"/>
    <w:rsid w:val="00EC5344"/>
    <w:rsid w:val="00EC7C37"/>
    <w:rsid w:val="00ED5E4D"/>
    <w:rsid w:val="00ED5E5E"/>
    <w:rsid w:val="00ED61AF"/>
    <w:rsid w:val="00EE5975"/>
    <w:rsid w:val="00EE6485"/>
    <w:rsid w:val="00EF251C"/>
    <w:rsid w:val="00EF4AFB"/>
    <w:rsid w:val="00EF5557"/>
    <w:rsid w:val="00EF6878"/>
    <w:rsid w:val="00F02910"/>
    <w:rsid w:val="00F031AE"/>
    <w:rsid w:val="00F075A8"/>
    <w:rsid w:val="00F10F1C"/>
    <w:rsid w:val="00F13BE4"/>
    <w:rsid w:val="00F13E6D"/>
    <w:rsid w:val="00F1424A"/>
    <w:rsid w:val="00F15A3A"/>
    <w:rsid w:val="00F1680B"/>
    <w:rsid w:val="00F16B59"/>
    <w:rsid w:val="00F171C1"/>
    <w:rsid w:val="00F17F34"/>
    <w:rsid w:val="00F21D4B"/>
    <w:rsid w:val="00F2355E"/>
    <w:rsid w:val="00F24054"/>
    <w:rsid w:val="00F24868"/>
    <w:rsid w:val="00F26415"/>
    <w:rsid w:val="00F26959"/>
    <w:rsid w:val="00F26C9F"/>
    <w:rsid w:val="00F26FF8"/>
    <w:rsid w:val="00F271F5"/>
    <w:rsid w:val="00F274CC"/>
    <w:rsid w:val="00F33219"/>
    <w:rsid w:val="00F3508B"/>
    <w:rsid w:val="00F35AD3"/>
    <w:rsid w:val="00F366BA"/>
    <w:rsid w:val="00F369A1"/>
    <w:rsid w:val="00F377B1"/>
    <w:rsid w:val="00F40EF2"/>
    <w:rsid w:val="00F418F5"/>
    <w:rsid w:val="00F42845"/>
    <w:rsid w:val="00F44070"/>
    <w:rsid w:val="00F4618F"/>
    <w:rsid w:val="00F47FBC"/>
    <w:rsid w:val="00F532C7"/>
    <w:rsid w:val="00F53BD4"/>
    <w:rsid w:val="00F548A9"/>
    <w:rsid w:val="00F54CB3"/>
    <w:rsid w:val="00F54EF1"/>
    <w:rsid w:val="00F57847"/>
    <w:rsid w:val="00F57BF6"/>
    <w:rsid w:val="00F57F57"/>
    <w:rsid w:val="00F6055B"/>
    <w:rsid w:val="00F62336"/>
    <w:rsid w:val="00F64EA3"/>
    <w:rsid w:val="00F6617F"/>
    <w:rsid w:val="00F675AF"/>
    <w:rsid w:val="00F70E9D"/>
    <w:rsid w:val="00F72490"/>
    <w:rsid w:val="00F7268E"/>
    <w:rsid w:val="00F726BF"/>
    <w:rsid w:val="00F7326E"/>
    <w:rsid w:val="00F73291"/>
    <w:rsid w:val="00F739D4"/>
    <w:rsid w:val="00F73C24"/>
    <w:rsid w:val="00F76CA4"/>
    <w:rsid w:val="00F77173"/>
    <w:rsid w:val="00F80EF0"/>
    <w:rsid w:val="00F80FD1"/>
    <w:rsid w:val="00F81190"/>
    <w:rsid w:val="00F8237A"/>
    <w:rsid w:val="00F82D67"/>
    <w:rsid w:val="00F82FEB"/>
    <w:rsid w:val="00F84A10"/>
    <w:rsid w:val="00F855D1"/>
    <w:rsid w:val="00F86960"/>
    <w:rsid w:val="00F9320F"/>
    <w:rsid w:val="00F93E5E"/>
    <w:rsid w:val="00F96672"/>
    <w:rsid w:val="00F9699F"/>
    <w:rsid w:val="00F97793"/>
    <w:rsid w:val="00FA305C"/>
    <w:rsid w:val="00FA48B5"/>
    <w:rsid w:val="00FA5242"/>
    <w:rsid w:val="00FA5548"/>
    <w:rsid w:val="00FA76F2"/>
    <w:rsid w:val="00FA7C44"/>
    <w:rsid w:val="00FB0E78"/>
    <w:rsid w:val="00FB2030"/>
    <w:rsid w:val="00FB2A09"/>
    <w:rsid w:val="00FB7A52"/>
    <w:rsid w:val="00FB7F5A"/>
    <w:rsid w:val="00FC0279"/>
    <w:rsid w:val="00FC1044"/>
    <w:rsid w:val="00FC209E"/>
    <w:rsid w:val="00FC2A89"/>
    <w:rsid w:val="00FC3F24"/>
    <w:rsid w:val="00FC4F93"/>
    <w:rsid w:val="00FC68AF"/>
    <w:rsid w:val="00FC7569"/>
    <w:rsid w:val="00FD0E35"/>
    <w:rsid w:val="00FD0FFD"/>
    <w:rsid w:val="00FD142D"/>
    <w:rsid w:val="00FD32A8"/>
    <w:rsid w:val="00FD3398"/>
    <w:rsid w:val="00FD3FD9"/>
    <w:rsid w:val="00FE048E"/>
    <w:rsid w:val="00FE209E"/>
    <w:rsid w:val="00FE4304"/>
    <w:rsid w:val="00FF1328"/>
    <w:rsid w:val="00FF212C"/>
    <w:rsid w:val="00FF3722"/>
    <w:rsid w:val="00FF411B"/>
    <w:rsid w:val="00FF4678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A4F0A4B"/>
  <w15:docId w15:val="{FCD789CB-5E50-4723-80F4-9CCE9BC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46C"/>
    <w:rPr>
      <w:lang w:val="es-ES"/>
    </w:rPr>
  </w:style>
  <w:style w:type="paragraph" w:styleId="Ttulo1">
    <w:name w:val="heading 1"/>
    <w:basedOn w:val="Normal"/>
    <w:next w:val="Normal"/>
    <w:qFormat/>
    <w:rsid w:val="009E646C"/>
    <w:pPr>
      <w:keepNext/>
      <w:spacing w:line="264" w:lineRule="exact"/>
      <w:ind w:left="2880" w:hanging="2880"/>
      <w:jc w:val="center"/>
      <w:outlineLvl w:val="0"/>
    </w:pPr>
    <w:rPr>
      <w:rFonts w:ascii="Arial" w:hAnsi="Arial"/>
      <w:b/>
      <w:snapToGrid w:val="0"/>
      <w:sz w:val="24"/>
      <w:u w:val="single"/>
      <w:lang w:val="es-ES_tradnl" w:eastAsia="es-ES"/>
    </w:rPr>
  </w:style>
  <w:style w:type="paragraph" w:styleId="Ttulo2">
    <w:name w:val="heading 2"/>
    <w:basedOn w:val="Normal"/>
    <w:next w:val="Normal"/>
    <w:qFormat/>
    <w:rsid w:val="009E646C"/>
    <w:pPr>
      <w:keepNext/>
      <w:tabs>
        <w:tab w:val="left" w:pos="1872"/>
        <w:tab w:val="left" w:pos="2448"/>
      </w:tabs>
      <w:spacing w:line="264" w:lineRule="exact"/>
      <w:outlineLvl w:val="1"/>
    </w:pPr>
    <w:rPr>
      <w:rFonts w:ascii="Arial" w:hAnsi="Arial"/>
      <w:snapToGrid w:val="0"/>
      <w:sz w:val="24"/>
      <w:lang w:val="es-ES_tradnl" w:eastAsia="es-ES"/>
    </w:rPr>
  </w:style>
  <w:style w:type="paragraph" w:styleId="Ttulo3">
    <w:name w:val="heading 3"/>
    <w:basedOn w:val="Normal"/>
    <w:next w:val="Normal"/>
    <w:qFormat/>
    <w:rsid w:val="009E646C"/>
    <w:pPr>
      <w:keepNext/>
      <w:spacing w:line="264" w:lineRule="exact"/>
      <w:jc w:val="center"/>
      <w:outlineLvl w:val="2"/>
    </w:pPr>
    <w:rPr>
      <w:rFonts w:ascii="Arial" w:hAnsi="Arial"/>
      <w:b/>
      <w:snapToGrid w:val="0"/>
      <w:sz w:val="24"/>
      <w:lang w:val="es-ES_tradnl" w:eastAsia="es-ES"/>
    </w:rPr>
  </w:style>
  <w:style w:type="paragraph" w:styleId="Ttulo4">
    <w:name w:val="heading 4"/>
    <w:basedOn w:val="Normal"/>
    <w:next w:val="Normal"/>
    <w:qFormat/>
    <w:rsid w:val="009E646C"/>
    <w:pPr>
      <w:keepNext/>
      <w:spacing w:line="264" w:lineRule="exact"/>
      <w:jc w:val="center"/>
      <w:outlineLvl w:val="3"/>
    </w:pPr>
    <w:rPr>
      <w:rFonts w:ascii="Arial" w:hAnsi="Arial"/>
      <w:snapToGrid w:val="0"/>
      <w:sz w:val="24"/>
      <w:u w:val="single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0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E646C"/>
    <w:pPr>
      <w:spacing w:line="264" w:lineRule="exact"/>
      <w:ind w:left="5954"/>
      <w:jc w:val="both"/>
    </w:pPr>
    <w:rPr>
      <w:rFonts w:ascii="Arial" w:hAnsi="Arial"/>
      <w:snapToGrid w:val="0"/>
      <w:sz w:val="24"/>
      <w:lang w:val="es-ES_tradnl" w:eastAsia="es-ES"/>
    </w:rPr>
  </w:style>
  <w:style w:type="paragraph" w:styleId="Sangra2detindependiente">
    <w:name w:val="Body Text Indent 2"/>
    <w:basedOn w:val="Normal"/>
    <w:rsid w:val="009E646C"/>
    <w:pPr>
      <w:spacing w:line="264" w:lineRule="exact"/>
      <w:ind w:firstLine="720"/>
      <w:jc w:val="both"/>
    </w:pPr>
    <w:rPr>
      <w:rFonts w:ascii="Arial" w:hAnsi="Arial"/>
      <w:snapToGrid w:val="0"/>
      <w:sz w:val="24"/>
      <w:lang w:val="es-ES_tradnl" w:eastAsia="es-ES"/>
    </w:rPr>
  </w:style>
  <w:style w:type="paragraph" w:styleId="Sangra3detindependiente">
    <w:name w:val="Body Text Indent 3"/>
    <w:basedOn w:val="Normal"/>
    <w:rsid w:val="009E646C"/>
    <w:pPr>
      <w:spacing w:line="264" w:lineRule="exact"/>
      <w:ind w:left="720" w:hanging="720"/>
      <w:jc w:val="both"/>
    </w:pPr>
    <w:rPr>
      <w:rFonts w:ascii="Arial" w:hAnsi="Arial"/>
      <w:snapToGrid w:val="0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9E646C"/>
    <w:pPr>
      <w:jc w:val="both"/>
    </w:pPr>
    <w:rPr>
      <w:rFonts w:ascii="Arial" w:hAnsi="Arial"/>
      <w:snapToGrid w:val="0"/>
      <w:sz w:val="24"/>
      <w:lang w:val="es-ES_tradnl" w:eastAsia="es-ES"/>
    </w:rPr>
  </w:style>
  <w:style w:type="paragraph" w:styleId="Piedepgina">
    <w:name w:val="footer"/>
    <w:basedOn w:val="Normal"/>
    <w:rsid w:val="009E646C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9E646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43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54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rsid w:val="00340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4015D"/>
    <w:pPr>
      <w:jc w:val="both"/>
    </w:pPr>
    <w:rPr>
      <w:rFonts w:ascii="Arial" w:hAnsi="Arial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015D"/>
    <w:rPr>
      <w:rFonts w:ascii="Arial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073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73C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1073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18DE"/>
    <w:pPr>
      <w:jc w:val="left"/>
    </w:pPr>
    <w:rPr>
      <w:rFonts w:ascii="Times New Roman" w:hAnsi="Times New Roman"/>
      <w:b/>
      <w:bCs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18DE"/>
    <w:rPr>
      <w:rFonts w:ascii="Arial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A51237"/>
    <w:rPr>
      <w:lang w:val="es-ES"/>
    </w:rPr>
  </w:style>
  <w:style w:type="paragraph" w:styleId="Prrafodelista">
    <w:name w:val="List Paragraph"/>
    <w:basedOn w:val="Normal"/>
    <w:uiPriority w:val="34"/>
    <w:qFormat/>
    <w:rsid w:val="00F64EA3"/>
    <w:pPr>
      <w:ind w:left="720"/>
      <w:contextualSpacing/>
    </w:pPr>
  </w:style>
  <w:style w:type="paragraph" w:styleId="Lista">
    <w:name w:val="List"/>
    <w:basedOn w:val="Normal"/>
    <w:uiPriority w:val="99"/>
    <w:unhideWhenUsed/>
    <w:rsid w:val="001F35F6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F35F6"/>
    <w:pPr>
      <w:ind w:left="566" w:hanging="283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F35F6"/>
    <w:pPr>
      <w:ind w:firstLine="360"/>
      <w:jc w:val="left"/>
    </w:pPr>
    <w:rPr>
      <w:rFonts w:ascii="Times New Roman" w:hAnsi="Times New Roman"/>
      <w:snapToGrid/>
      <w:sz w:val="20"/>
      <w:lang w:val="es-ES"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1F35F6"/>
    <w:rPr>
      <w:rFonts w:ascii="Arial" w:hAnsi="Arial"/>
      <w:snapToGrid w:val="0"/>
      <w:sz w:val="24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F35F6"/>
    <w:rPr>
      <w:rFonts w:ascii="Arial" w:hAnsi="Arial"/>
      <w:snapToGrid w:val="0"/>
      <w:sz w:val="24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F35F6"/>
    <w:pPr>
      <w:spacing w:line="240" w:lineRule="auto"/>
      <w:ind w:left="360" w:firstLine="360"/>
      <w:jc w:val="left"/>
    </w:pPr>
    <w:rPr>
      <w:rFonts w:ascii="Times New Roman" w:hAnsi="Times New Roman"/>
      <w:snapToGrid/>
      <w:sz w:val="20"/>
      <w:lang w:val="es-ES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1F35F6"/>
    <w:rPr>
      <w:rFonts w:ascii="Arial" w:hAnsi="Arial"/>
      <w:snapToGrid w:val="0"/>
      <w:sz w:val="24"/>
      <w:lang w:val="es-ES_tradnl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F35F6"/>
    <w:rPr>
      <w:rFonts w:ascii="Arial" w:hAnsi="Arial"/>
      <w:snapToGrid w:val="0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10B0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10B0"/>
    <w:rPr>
      <w:lang w:val="es-ES"/>
    </w:rPr>
  </w:style>
  <w:style w:type="paragraph" w:customStyle="1" w:styleId="xmsonormal">
    <w:name w:val="x_msonormal"/>
    <w:basedOn w:val="Normal"/>
    <w:rsid w:val="008F4B7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nfasis">
    <w:name w:val="Emphasis"/>
    <w:basedOn w:val="Fuentedeprrafopredeter"/>
    <w:uiPriority w:val="20"/>
    <w:qFormat/>
    <w:rsid w:val="00904807"/>
    <w:rPr>
      <w:i/>
      <w:iCs/>
    </w:rPr>
  </w:style>
  <w:style w:type="paragraph" w:customStyle="1" w:styleId="Estilo2">
    <w:name w:val="Estilo2"/>
    <w:basedOn w:val="Normal"/>
    <w:rsid w:val="00F16B59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link w:val="TtuloCar"/>
    <w:qFormat/>
    <w:rsid w:val="00466651"/>
    <w:pPr>
      <w:ind w:left="142"/>
      <w:jc w:val="center"/>
    </w:pPr>
    <w:rPr>
      <w:rFonts w:ascii="Arial" w:hAnsi="Arial"/>
      <w:b/>
      <w:sz w:val="21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66651"/>
    <w:rPr>
      <w:rFonts w:ascii="Arial" w:hAnsi="Arial"/>
      <w:b/>
      <w:sz w:val="21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997E-87F9-4077-BC92-A00C382B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TRANSPORTE INTERNACIONAL DE MERCANCÍAS POR CARRETERA, SUSTITUTORIA DE LA DECISIÓN 257</vt:lpstr>
    </vt:vector>
  </TitlesOfParts>
  <Company>Comisión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TRANSPORTE INTERNACIONAL DE MERCANCÍAS POR CARRETERA, SUSTITUTORIA DE LA DECISIÓN 257</dc:title>
  <dc:subject>27/01/1997</dc:subject>
  <dc:creator>Angela Guerra</dc:creator>
  <cp:keywords>DECISION 399</cp:keywords>
  <cp:lastModifiedBy>admindell</cp:lastModifiedBy>
  <cp:revision>35</cp:revision>
  <cp:lastPrinted>2017-08-24T13:14:00Z</cp:lastPrinted>
  <dcterms:created xsi:type="dcterms:W3CDTF">2023-05-15T16:32:00Z</dcterms:created>
  <dcterms:modified xsi:type="dcterms:W3CDTF">2023-05-15T23:52:00Z</dcterms:modified>
  <cp:category>Decisiones</cp:category>
</cp:coreProperties>
</file>