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7D" w:rsidRPr="00624FD1" w:rsidRDefault="00754BFB" w:rsidP="0078367D">
      <w:pPr>
        <w:keepNext/>
        <w:keepLines/>
        <w:ind w:right="4397"/>
        <w:jc w:val="both"/>
        <w:outlineLvl w:val="4"/>
        <w:rPr>
          <w:rFonts w:ascii="Arial" w:eastAsiaTheme="majorEastAsia" w:hAnsi="Arial" w:cs="Arial"/>
          <w:sz w:val="16"/>
          <w:szCs w:val="16"/>
        </w:rPr>
      </w:pPr>
      <w:r>
        <w:rPr>
          <w:rFonts w:ascii="Arial" w:eastAsiaTheme="majorEastAsia" w:hAnsi="Arial" w:cs="Arial"/>
          <w:sz w:val="16"/>
          <w:szCs w:val="16"/>
        </w:rPr>
        <w:t>LI</w:t>
      </w:r>
      <w:r w:rsidR="0078367D" w:rsidRPr="00624FD1">
        <w:rPr>
          <w:rFonts w:ascii="Arial" w:eastAsiaTheme="majorEastAsia" w:hAnsi="Arial" w:cs="Arial"/>
          <w:sz w:val="16"/>
          <w:szCs w:val="16"/>
        </w:rPr>
        <w:t xml:space="preserve"> REUNIÓN DEL CONSEJO ANDINO DE MINISTROS DE RELACIONES EXTERIORES REUNIDO EN FORMA AMPLIADA CON LOS REPRESENTANTES TITULARES ANTE LA COMISIÓN DE LA COMUNIDAD ANDINA. </w:t>
      </w:r>
    </w:p>
    <w:p w:rsidR="00E4737D" w:rsidRPr="0078367D" w:rsidRDefault="00754BFB" w:rsidP="0078367D">
      <w:pPr>
        <w:keepNext/>
        <w:keepLines/>
        <w:ind w:right="5584"/>
        <w:jc w:val="both"/>
        <w:outlineLvl w:val="4"/>
        <w:rPr>
          <w:rFonts w:ascii="Arial" w:eastAsiaTheme="majorEastAsia" w:hAnsi="Arial" w:cs="Arial"/>
          <w:sz w:val="16"/>
          <w:szCs w:val="16"/>
        </w:rPr>
      </w:pPr>
      <w:r>
        <w:rPr>
          <w:rFonts w:ascii="Arial" w:eastAsiaTheme="majorEastAsia" w:hAnsi="Arial" w:cs="Arial"/>
          <w:sz w:val="16"/>
          <w:szCs w:val="16"/>
        </w:rPr>
        <w:t>29 DE AGOSTO DE 2022</w:t>
      </w:r>
    </w:p>
    <w:p w:rsidR="00E4737D" w:rsidRPr="0078367D" w:rsidRDefault="00754BFB" w:rsidP="0078367D">
      <w:pPr>
        <w:keepNext/>
        <w:keepLines/>
        <w:ind w:right="5584"/>
        <w:jc w:val="both"/>
        <w:outlineLvl w:val="4"/>
        <w:rPr>
          <w:rFonts w:ascii="Arial" w:eastAsiaTheme="majorEastAsia" w:hAnsi="Arial" w:cs="Arial"/>
          <w:sz w:val="16"/>
          <w:szCs w:val="16"/>
        </w:rPr>
      </w:pPr>
      <w:r>
        <w:rPr>
          <w:rFonts w:ascii="Arial" w:eastAsiaTheme="majorEastAsia" w:hAnsi="Arial" w:cs="Arial"/>
          <w:sz w:val="16"/>
          <w:szCs w:val="16"/>
        </w:rPr>
        <w:t>Lima - Perú</w:t>
      </w:r>
    </w:p>
    <w:p w:rsidR="000D6D29" w:rsidRPr="008C65B4" w:rsidRDefault="000D6D29" w:rsidP="000D6D29">
      <w:pPr>
        <w:tabs>
          <w:tab w:val="left" w:pos="426"/>
        </w:tabs>
        <w:jc w:val="both"/>
        <w:outlineLvl w:val="0"/>
        <w:rPr>
          <w:rFonts w:ascii="Arial" w:hAnsi="Arial" w:cs="Arial"/>
          <w:lang w:val="es-ES_tradnl"/>
        </w:rPr>
      </w:pPr>
    </w:p>
    <w:p w:rsidR="000D6D29" w:rsidRPr="008C65B4" w:rsidRDefault="009406AE" w:rsidP="000D6D29">
      <w:pPr>
        <w:tabs>
          <w:tab w:val="left" w:pos="426"/>
        </w:tabs>
        <w:jc w:val="center"/>
        <w:outlineLvl w:val="0"/>
        <w:rPr>
          <w:rFonts w:ascii="Arial" w:hAnsi="Arial" w:cs="Arial"/>
          <w:b/>
          <w:u w:val="single"/>
          <w:lang w:val="es-ES_tradnl"/>
        </w:rPr>
      </w:pPr>
      <w:bookmarkStart w:id="0" w:name="OLE_LINK35"/>
      <w:bookmarkStart w:id="1" w:name="OLE_LINK36"/>
      <w:bookmarkStart w:id="2" w:name="OLE_LINK37"/>
      <w:bookmarkStart w:id="3" w:name="OLE_LINK38"/>
      <w:bookmarkStart w:id="4" w:name="OLE_LINK39"/>
      <w:bookmarkStart w:id="5" w:name="OLE_LINK40"/>
      <w:r>
        <w:rPr>
          <w:rFonts w:ascii="Arial" w:hAnsi="Arial" w:cs="Arial"/>
          <w:b/>
          <w:u w:val="single"/>
          <w:lang w:val="es-ES_tradnl"/>
        </w:rPr>
        <w:t>DECISIÓN 902</w:t>
      </w:r>
    </w:p>
    <w:bookmarkEnd w:id="0"/>
    <w:bookmarkEnd w:id="1"/>
    <w:bookmarkEnd w:id="2"/>
    <w:bookmarkEnd w:id="3"/>
    <w:bookmarkEnd w:id="4"/>
    <w:bookmarkEnd w:id="5"/>
    <w:p w:rsidR="00831602" w:rsidRPr="008C65B4" w:rsidRDefault="00831602" w:rsidP="007E205E">
      <w:pPr>
        <w:jc w:val="both"/>
        <w:rPr>
          <w:rFonts w:ascii="Arial" w:hAnsi="Arial" w:cs="Arial"/>
        </w:rPr>
      </w:pPr>
    </w:p>
    <w:p w:rsidR="00831602" w:rsidRPr="008C65B4" w:rsidRDefault="00977DD8" w:rsidP="007E205E">
      <w:pPr>
        <w:ind w:left="4956"/>
        <w:jc w:val="both"/>
        <w:rPr>
          <w:rFonts w:ascii="Arial" w:hAnsi="Arial" w:cs="Arial"/>
        </w:rPr>
      </w:pPr>
      <w:r w:rsidRPr="008C65B4">
        <w:rPr>
          <w:rFonts w:ascii="Arial" w:hAnsi="Arial" w:cs="Arial"/>
        </w:rPr>
        <w:t xml:space="preserve">Otorgamiento de </w:t>
      </w:r>
      <w:r w:rsidR="00C43838" w:rsidRPr="008C65B4">
        <w:rPr>
          <w:rFonts w:ascii="Arial" w:hAnsi="Arial" w:cs="Arial"/>
        </w:rPr>
        <w:t xml:space="preserve">estatus </w:t>
      </w:r>
      <w:r w:rsidRPr="008C65B4">
        <w:rPr>
          <w:rFonts w:ascii="Arial" w:hAnsi="Arial" w:cs="Arial"/>
        </w:rPr>
        <w:t xml:space="preserve">de Observador de la Comunidad Andina </w:t>
      </w:r>
      <w:r w:rsidR="00754BFB">
        <w:rPr>
          <w:rFonts w:ascii="Arial" w:hAnsi="Arial" w:cs="Arial"/>
        </w:rPr>
        <w:t xml:space="preserve">a la República de </w:t>
      </w:r>
      <w:r w:rsidR="00754BFB">
        <w:rPr>
          <w:rFonts w:ascii="Arial" w:hAnsi="Arial" w:cs="Arial"/>
          <w:color w:val="000000"/>
        </w:rPr>
        <w:t>Türkiye</w:t>
      </w:r>
    </w:p>
    <w:p w:rsidR="000C639A" w:rsidRPr="008C65B4" w:rsidRDefault="000C639A" w:rsidP="007E205E">
      <w:pPr>
        <w:jc w:val="both"/>
        <w:rPr>
          <w:rFonts w:ascii="Arial" w:hAnsi="Arial" w:cs="Arial"/>
        </w:rPr>
      </w:pPr>
    </w:p>
    <w:p w:rsidR="00A617D2" w:rsidRPr="006C0064" w:rsidRDefault="002711AF" w:rsidP="00A617D2">
      <w:pPr>
        <w:pStyle w:val="Style2"/>
        <w:tabs>
          <w:tab w:val="left" w:pos="425"/>
        </w:tabs>
        <w:ind w:firstLine="0"/>
        <w:rPr>
          <w:rFonts w:ascii="Arial" w:hAnsi="Arial" w:cs="Arial"/>
          <w:bCs/>
          <w:lang w:val="es-ES_tradnl"/>
        </w:rPr>
      </w:pPr>
      <w:r w:rsidRPr="008C65B4">
        <w:rPr>
          <w:rFonts w:ascii="Arial" w:hAnsi="Arial" w:cs="Arial"/>
          <w:lang w:val="es-ES_tradnl"/>
        </w:rPr>
        <w:tab/>
      </w:r>
      <w:r w:rsidR="00A617D2" w:rsidRPr="00047A39">
        <w:rPr>
          <w:rFonts w:ascii="Arial" w:hAnsi="Arial" w:cs="Arial"/>
          <w:bCs/>
          <w:lang w:val="es-ES_tradnl"/>
        </w:rPr>
        <w:t>EL CONSEJO ANDINO DE MINI</w:t>
      </w:r>
      <w:r w:rsidR="008452DD">
        <w:rPr>
          <w:rFonts w:ascii="Arial" w:hAnsi="Arial" w:cs="Arial"/>
          <w:bCs/>
          <w:lang w:val="es-ES_tradnl"/>
        </w:rPr>
        <w:t xml:space="preserve">STROS DE RELACIONES EXTERIORES </w:t>
      </w:r>
      <w:r w:rsidR="00A617D2" w:rsidRPr="006C0064">
        <w:rPr>
          <w:rFonts w:ascii="Arial" w:hAnsi="Arial" w:cs="Arial"/>
          <w:bCs/>
          <w:lang w:val="es-ES_tradnl"/>
        </w:rPr>
        <w:t>DE LA COMUNIDAD ANDINA</w:t>
      </w:r>
      <w:r w:rsidR="0078367D">
        <w:rPr>
          <w:rFonts w:ascii="Arial" w:hAnsi="Arial" w:cs="Arial"/>
          <w:bCs/>
          <w:lang w:val="es-ES_tradnl"/>
        </w:rPr>
        <w:t xml:space="preserve"> REUNIDO DE FORMA AMPLIADA CON LOS </w:t>
      </w:r>
      <w:r w:rsidR="0078367D" w:rsidRPr="0078367D">
        <w:rPr>
          <w:rFonts w:ascii="Arial" w:hAnsi="Arial" w:cs="Arial"/>
          <w:lang w:val="es-PE"/>
        </w:rPr>
        <w:t>REPRESENTANTES TITULARES ANTE LA COMISIÓN DE LA COMUNIDAD ANDINA</w:t>
      </w:r>
      <w:r w:rsidR="00A617D2" w:rsidRPr="006C0064">
        <w:rPr>
          <w:rFonts w:ascii="Arial" w:hAnsi="Arial" w:cs="Arial"/>
          <w:bCs/>
          <w:lang w:val="es-ES_tradnl"/>
        </w:rPr>
        <w:t>,</w:t>
      </w:r>
    </w:p>
    <w:p w:rsidR="002711AF" w:rsidRPr="008C65B4" w:rsidRDefault="002711AF" w:rsidP="007E205E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bookmarkStart w:id="6" w:name="_GoBack"/>
    </w:p>
    <w:p w:rsidR="007E205E" w:rsidRPr="008C65B4" w:rsidRDefault="007E205E" w:rsidP="00BD0DE1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 w:rsidRPr="008C65B4">
        <w:rPr>
          <w:rFonts w:ascii="Arial" w:hAnsi="Arial" w:cs="Arial"/>
          <w:lang w:val="es-ES_tradnl"/>
        </w:rPr>
        <w:tab/>
        <w:t xml:space="preserve">VISTOS: Los artículos </w:t>
      </w:r>
      <w:r w:rsidRPr="008C65B4">
        <w:rPr>
          <w:rFonts w:ascii="Arial" w:hAnsi="Arial" w:cs="Arial"/>
          <w:lang w:val="es-ES_tradnl" w:eastAsia="es-PE"/>
        </w:rPr>
        <w:t>1, 3,</w:t>
      </w:r>
      <w:r w:rsidR="00C43838" w:rsidRPr="008C65B4">
        <w:rPr>
          <w:rFonts w:ascii="Arial" w:hAnsi="Arial" w:cs="Arial"/>
          <w:lang w:val="es-ES_tradnl" w:eastAsia="es-PE"/>
        </w:rPr>
        <w:t xml:space="preserve"> </w:t>
      </w:r>
      <w:r w:rsidRPr="008C65B4">
        <w:rPr>
          <w:rFonts w:ascii="Arial" w:hAnsi="Arial" w:cs="Arial"/>
          <w:lang w:val="es-ES_tradnl" w:eastAsia="es-PE"/>
        </w:rPr>
        <w:t>50, 51</w:t>
      </w:r>
      <w:r w:rsidR="00700461">
        <w:rPr>
          <w:rFonts w:ascii="Arial" w:hAnsi="Arial" w:cs="Arial"/>
          <w:lang w:val="es-ES_tradnl" w:eastAsia="es-PE"/>
        </w:rPr>
        <w:t xml:space="preserve"> y</w:t>
      </w:r>
      <w:r w:rsidRPr="008C65B4">
        <w:rPr>
          <w:rFonts w:ascii="Arial" w:hAnsi="Arial" w:cs="Arial"/>
          <w:lang w:val="es-ES_tradnl" w:eastAsia="es-PE"/>
        </w:rPr>
        <w:t xml:space="preserve"> 52</w:t>
      </w:r>
      <w:r w:rsidRPr="008C65B4">
        <w:rPr>
          <w:rFonts w:ascii="Arial" w:hAnsi="Arial" w:cs="Arial"/>
          <w:lang w:val="es-ES_tradnl"/>
        </w:rPr>
        <w:t xml:space="preserve"> del Acuerdo de Cartagena; las Decisiones 458 y 741</w:t>
      </w:r>
      <w:r w:rsidR="00E4737D" w:rsidRPr="008C65B4">
        <w:rPr>
          <w:rFonts w:ascii="Arial" w:hAnsi="Arial" w:cs="Arial"/>
          <w:lang w:val="es-ES_tradnl"/>
        </w:rPr>
        <w:t xml:space="preserve"> del Consejo Andino de Ministros de Relaciones Exteriores, </w:t>
      </w:r>
    </w:p>
    <w:p w:rsidR="007E205E" w:rsidRPr="008C65B4" w:rsidRDefault="007E205E" w:rsidP="007E205E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700461" w:rsidRPr="000D7A20" w:rsidRDefault="007E205E" w:rsidP="00700461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 w:rsidRPr="008C65B4">
        <w:rPr>
          <w:rFonts w:ascii="Arial" w:hAnsi="Arial" w:cs="Arial"/>
          <w:lang w:val="es-ES_tradnl"/>
        </w:rPr>
        <w:tab/>
        <w:t xml:space="preserve">CONSIDERANDO: </w:t>
      </w:r>
      <w:r w:rsidR="00700461" w:rsidRPr="000D7A20">
        <w:rPr>
          <w:rFonts w:ascii="Arial" w:hAnsi="Arial" w:cs="Arial"/>
          <w:lang w:val="es-ES_tradnl"/>
        </w:rPr>
        <w:t>Que</w:t>
      </w:r>
      <w:r w:rsidR="00700461">
        <w:rPr>
          <w:rFonts w:ascii="Arial" w:hAnsi="Arial" w:cs="Arial"/>
          <w:lang w:val="es-ES_tradnl"/>
        </w:rPr>
        <w:t>,</w:t>
      </w:r>
      <w:r w:rsidR="00700461" w:rsidRPr="000D7A20">
        <w:rPr>
          <w:rFonts w:ascii="Arial" w:hAnsi="Arial" w:cs="Arial"/>
          <w:lang w:val="es-ES_tradnl"/>
        </w:rPr>
        <w:t xml:space="preserve"> el Acuerdo de Cartagena cuenta entre sus objetivos el de facilitar la participación de los Países Miembros en el proceso de integración regional, con miras a la formación gradual de un mercado común latinoamericano;</w:t>
      </w:r>
    </w:p>
    <w:bookmarkEnd w:id="6"/>
    <w:p w:rsidR="00700461" w:rsidRPr="000D7A20" w:rsidRDefault="00700461" w:rsidP="00700461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700461" w:rsidRPr="000D7A20" w:rsidRDefault="00700461" w:rsidP="00700461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Pr="000D7A20">
        <w:rPr>
          <w:rFonts w:ascii="Arial" w:hAnsi="Arial" w:cs="Arial"/>
          <w:lang w:val="es-ES_tradnl"/>
        </w:rPr>
        <w:t>Que</w:t>
      </w:r>
      <w:r>
        <w:rPr>
          <w:rFonts w:ascii="Arial" w:hAnsi="Arial" w:cs="Arial"/>
          <w:lang w:val="es-ES_tradnl"/>
        </w:rPr>
        <w:t>,</w:t>
      </w:r>
      <w:r w:rsidRPr="000D7A20">
        <w:rPr>
          <w:rFonts w:ascii="Arial" w:hAnsi="Arial" w:cs="Arial"/>
          <w:lang w:val="es-ES_tradnl"/>
        </w:rPr>
        <w:t xml:space="preserve"> entre los mecanismos establecidos para alcanzar los objetivos del Acuerdo de Cartagena se tiene la profundización de la integración con los demás bloques económicos y de relacionamiento con esquemas extra</w:t>
      </w:r>
      <w:r w:rsidR="00052D4E">
        <w:rPr>
          <w:rFonts w:ascii="Arial" w:hAnsi="Arial" w:cs="Arial"/>
          <w:lang w:val="es-ES_tradnl"/>
        </w:rPr>
        <w:t>-</w:t>
      </w:r>
      <w:r w:rsidRPr="000D7A20">
        <w:rPr>
          <w:rFonts w:ascii="Arial" w:hAnsi="Arial" w:cs="Arial"/>
          <w:lang w:val="es-ES_tradnl"/>
        </w:rPr>
        <w:t xml:space="preserve">regionales en los ámbitos político, social y económico–comercial; </w:t>
      </w:r>
    </w:p>
    <w:p w:rsidR="00700461" w:rsidRDefault="00700461" w:rsidP="00E952D8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E952D8" w:rsidRPr="008C65B4" w:rsidRDefault="00700461" w:rsidP="00E952D8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E952D8" w:rsidRPr="008C65B4">
        <w:rPr>
          <w:rFonts w:ascii="Arial" w:hAnsi="Arial" w:cs="Arial"/>
          <w:lang w:val="es-ES_tradnl"/>
        </w:rPr>
        <w:t>Que</w:t>
      </w:r>
      <w:r w:rsidR="007B6169" w:rsidRPr="008C65B4">
        <w:rPr>
          <w:rFonts w:ascii="Arial" w:hAnsi="Arial" w:cs="Arial"/>
          <w:lang w:val="es-ES_tradnl"/>
        </w:rPr>
        <w:t xml:space="preserve">, </w:t>
      </w:r>
      <w:r w:rsidR="00052D4E">
        <w:rPr>
          <w:rFonts w:ascii="Arial" w:hAnsi="Arial" w:cs="Arial"/>
          <w:lang w:val="es-ES_tradnl"/>
        </w:rPr>
        <w:t>mediante</w:t>
      </w:r>
      <w:r w:rsidR="00E952D8" w:rsidRPr="008C65B4">
        <w:rPr>
          <w:rFonts w:ascii="Arial" w:hAnsi="Arial" w:cs="Arial"/>
          <w:lang w:val="es-ES_tradnl"/>
        </w:rPr>
        <w:t xml:space="preserve"> Decisión 741</w:t>
      </w:r>
      <w:r w:rsidR="007B6169" w:rsidRPr="008C65B4">
        <w:rPr>
          <w:rFonts w:ascii="Arial" w:hAnsi="Arial" w:cs="Arial"/>
          <w:lang w:val="es-ES_tradnl"/>
        </w:rPr>
        <w:t xml:space="preserve">, </w:t>
      </w:r>
      <w:r w:rsidR="00052D4E">
        <w:rPr>
          <w:rFonts w:ascii="Arial" w:hAnsi="Arial" w:cs="Arial"/>
          <w:lang w:val="es-ES_tradnl"/>
        </w:rPr>
        <w:t xml:space="preserve">se estableció </w:t>
      </w:r>
      <w:r w:rsidR="00E952D8" w:rsidRPr="008C65B4">
        <w:rPr>
          <w:rFonts w:ascii="Arial" w:hAnsi="Arial" w:cs="Arial"/>
          <w:lang w:val="es-ES_tradnl"/>
        </w:rPr>
        <w:t>las formalidades y condiciones para otorgar el estatus de Observador a terceros países que no ostenten la condición de Miembros Asociados, así como a organizaciones internacionales interesadas;</w:t>
      </w:r>
    </w:p>
    <w:p w:rsidR="00E952D8" w:rsidRPr="008C65B4" w:rsidRDefault="00E952D8" w:rsidP="00E952D8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6B32DA" w:rsidRPr="008C65B4" w:rsidRDefault="008C65B4" w:rsidP="00E952D8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 w:rsidRPr="008C65B4">
        <w:rPr>
          <w:rFonts w:ascii="Arial" w:hAnsi="Arial" w:cs="Arial"/>
          <w:lang w:val="es-ES_tradnl"/>
        </w:rPr>
        <w:tab/>
        <w:t>Que</w:t>
      </w:r>
      <w:r w:rsidR="00052D4E">
        <w:rPr>
          <w:rFonts w:ascii="Arial" w:hAnsi="Arial" w:cs="Arial"/>
          <w:lang w:val="es-ES_tradnl"/>
        </w:rPr>
        <w:t>,</w:t>
      </w:r>
      <w:r w:rsidRPr="008C65B4">
        <w:rPr>
          <w:rFonts w:ascii="Arial" w:hAnsi="Arial" w:cs="Arial"/>
          <w:lang w:val="es-ES_tradnl"/>
        </w:rPr>
        <w:t xml:space="preserve"> </w:t>
      </w:r>
      <w:r w:rsidR="00754BFB">
        <w:rPr>
          <w:rFonts w:ascii="Arial" w:hAnsi="Arial" w:cs="Arial"/>
          <w:lang w:val="es-ES_tradnl"/>
        </w:rPr>
        <w:t>el 25 de julio de 2022</w:t>
      </w:r>
      <w:r w:rsidRPr="008C65B4">
        <w:rPr>
          <w:rFonts w:ascii="Arial" w:hAnsi="Arial" w:cs="Arial"/>
          <w:lang w:val="es-ES_tradnl"/>
        </w:rPr>
        <w:t xml:space="preserve"> </w:t>
      </w:r>
      <w:r w:rsidR="00E4737D" w:rsidRPr="008C65B4">
        <w:rPr>
          <w:rFonts w:ascii="Arial" w:hAnsi="Arial" w:cs="Arial"/>
          <w:lang w:val="es-ES_tradnl"/>
        </w:rPr>
        <w:t xml:space="preserve">la Secretaría General </w:t>
      </w:r>
      <w:r w:rsidRPr="008C65B4">
        <w:rPr>
          <w:rFonts w:ascii="Arial" w:hAnsi="Arial" w:cs="Arial"/>
          <w:lang w:val="es-ES_tradnl"/>
        </w:rPr>
        <w:t xml:space="preserve">recibió </w:t>
      </w:r>
      <w:r w:rsidR="00E4737D" w:rsidRPr="008C65B4">
        <w:rPr>
          <w:rFonts w:ascii="Arial" w:hAnsi="Arial" w:cs="Arial"/>
          <w:lang w:val="es-ES_tradnl"/>
        </w:rPr>
        <w:t xml:space="preserve">la Nota Formal del  Ministerio de Asuntos </w:t>
      </w:r>
      <w:r w:rsidR="00754BFB">
        <w:rPr>
          <w:rFonts w:ascii="Arial" w:hAnsi="Arial" w:cs="Arial"/>
          <w:lang w:val="es-ES_tradnl"/>
        </w:rPr>
        <w:t>Exteriores</w:t>
      </w:r>
      <w:r w:rsidR="00E4737D" w:rsidRPr="008C65B4">
        <w:rPr>
          <w:rFonts w:ascii="Arial" w:hAnsi="Arial" w:cs="Arial"/>
          <w:lang w:val="es-ES_tradnl"/>
        </w:rPr>
        <w:t xml:space="preserve"> </w:t>
      </w:r>
      <w:r w:rsidR="00754BFB">
        <w:rPr>
          <w:rFonts w:ascii="Arial" w:hAnsi="Arial" w:cs="Arial"/>
          <w:lang w:val="es-ES_tradnl"/>
        </w:rPr>
        <w:t>de la República de Türkiye</w:t>
      </w:r>
      <w:r w:rsidR="00E4737D" w:rsidRPr="008C65B4">
        <w:rPr>
          <w:rFonts w:ascii="Arial" w:hAnsi="Arial" w:cs="Arial"/>
          <w:lang w:val="es-ES_tradnl"/>
        </w:rPr>
        <w:t xml:space="preserve"> en la cual </w:t>
      </w:r>
      <w:r w:rsidR="006D11CF">
        <w:rPr>
          <w:rFonts w:ascii="Arial" w:hAnsi="Arial" w:cs="Arial"/>
          <w:lang w:val="es-ES_tradnl"/>
        </w:rPr>
        <w:t>presenta,</w:t>
      </w:r>
      <w:r w:rsidR="00E4737D" w:rsidRPr="008C65B4">
        <w:rPr>
          <w:rFonts w:ascii="Arial" w:hAnsi="Arial" w:cs="Arial"/>
          <w:lang w:val="es-ES_tradnl"/>
        </w:rPr>
        <w:t xml:space="preserve"> a consideración de la Comunidad Andi</w:t>
      </w:r>
      <w:r w:rsidR="00052D4E">
        <w:rPr>
          <w:rFonts w:ascii="Arial" w:hAnsi="Arial" w:cs="Arial"/>
          <w:lang w:val="es-ES_tradnl"/>
        </w:rPr>
        <w:t>na</w:t>
      </w:r>
      <w:r w:rsidR="006D11CF">
        <w:rPr>
          <w:rFonts w:ascii="Arial" w:hAnsi="Arial" w:cs="Arial"/>
          <w:lang w:val="es-ES_tradnl"/>
        </w:rPr>
        <w:t>,</w:t>
      </w:r>
      <w:r w:rsidR="00052D4E">
        <w:rPr>
          <w:rFonts w:ascii="Arial" w:hAnsi="Arial" w:cs="Arial"/>
          <w:lang w:val="es-ES_tradnl"/>
        </w:rPr>
        <w:t xml:space="preserve"> su </w:t>
      </w:r>
      <w:r w:rsidR="00754BFB">
        <w:rPr>
          <w:rFonts w:ascii="Arial" w:hAnsi="Arial" w:cs="Arial"/>
          <w:lang w:val="es-ES_tradnl"/>
        </w:rPr>
        <w:t>postulación</w:t>
      </w:r>
      <w:r w:rsidR="00052D4E">
        <w:rPr>
          <w:rFonts w:ascii="Arial" w:hAnsi="Arial" w:cs="Arial"/>
          <w:lang w:val="es-ES_tradnl"/>
        </w:rPr>
        <w:t xml:space="preserve"> como miembro O</w:t>
      </w:r>
      <w:r w:rsidR="00E4737D" w:rsidRPr="008C65B4">
        <w:rPr>
          <w:rFonts w:ascii="Arial" w:hAnsi="Arial" w:cs="Arial"/>
          <w:lang w:val="es-ES_tradnl"/>
        </w:rPr>
        <w:t xml:space="preserve">bservador con base </w:t>
      </w:r>
      <w:r w:rsidR="00D1609B">
        <w:rPr>
          <w:rFonts w:ascii="Arial" w:hAnsi="Arial" w:cs="Arial"/>
          <w:lang w:val="es-ES_tradnl"/>
        </w:rPr>
        <w:t>a lo dispuesto e</w:t>
      </w:r>
      <w:r w:rsidR="00E4737D" w:rsidRPr="008C65B4">
        <w:rPr>
          <w:rFonts w:ascii="Arial" w:hAnsi="Arial" w:cs="Arial"/>
          <w:lang w:val="es-ES_tradnl"/>
        </w:rPr>
        <w:t>n la Decisión 741</w:t>
      </w:r>
      <w:r w:rsidR="00754BFB">
        <w:rPr>
          <w:rFonts w:ascii="Arial" w:hAnsi="Arial" w:cs="Arial"/>
          <w:lang w:val="es-ES_tradnl"/>
        </w:rPr>
        <w:t>;</w:t>
      </w:r>
      <w:r w:rsidR="00365ADD">
        <w:rPr>
          <w:rFonts w:ascii="Arial" w:hAnsi="Arial" w:cs="Arial"/>
          <w:lang w:val="es-ES_tradnl"/>
        </w:rPr>
        <w:t xml:space="preserve"> </w:t>
      </w:r>
    </w:p>
    <w:p w:rsidR="007B6169" w:rsidRPr="008C65B4" w:rsidRDefault="007B6169" w:rsidP="00E952D8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E4737D" w:rsidRPr="00052D4E" w:rsidRDefault="00052D4E" w:rsidP="00052D4E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4817DD" w:rsidRPr="00052D4E">
        <w:rPr>
          <w:rFonts w:ascii="Arial" w:hAnsi="Arial" w:cs="Arial"/>
          <w:lang w:val="es-ES_tradnl"/>
        </w:rPr>
        <w:t>Que</w:t>
      </w:r>
      <w:r>
        <w:rPr>
          <w:rFonts w:ascii="Arial" w:hAnsi="Arial" w:cs="Arial"/>
          <w:lang w:val="es-ES_tradnl"/>
        </w:rPr>
        <w:t>,</w:t>
      </w:r>
      <w:r w:rsidR="004817DD" w:rsidRPr="00052D4E">
        <w:rPr>
          <w:rFonts w:ascii="Arial" w:hAnsi="Arial" w:cs="Arial"/>
          <w:lang w:val="es-ES_tradnl"/>
        </w:rPr>
        <w:t xml:space="preserve"> en dicha comunicaci</w:t>
      </w:r>
      <w:r w:rsidR="00754BFB">
        <w:rPr>
          <w:rFonts w:ascii="Arial" w:hAnsi="Arial" w:cs="Arial"/>
          <w:lang w:val="es-ES_tradnl"/>
        </w:rPr>
        <w:t>ón</w:t>
      </w:r>
      <w:r w:rsidR="004817DD" w:rsidRPr="00052D4E">
        <w:rPr>
          <w:rFonts w:ascii="Arial" w:hAnsi="Arial" w:cs="Arial"/>
          <w:lang w:val="es-ES_tradnl"/>
        </w:rPr>
        <w:t xml:space="preserve">, </w:t>
      </w:r>
      <w:r w:rsidR="00754BFB">
        <w:rPr>
          <w:rFonts w:ascii="Arial" w:hAnsi="Arial" w:cs="Arial"/>
          <w:lang w:val="es-ES_tradnl"/>
        </w:rPr>
        <w:t xml:space="preserve">la República de </w:t>
      </w:r>
      <w:r w:rsidR="00754BFB">
        <w:rPr>
          <w:rFonts w:ascii="Arial" w:hAnsi="Arial" w:cs="Arial"/>
          <w:color w:val="000000"/>
        </w:rPr>
        <w:t>Türkiye</w:t>
      </w:r>
      <w:r w:rsidR="00E4737D" w:rsidRPr="00052D4E">
        <w:rPr>
          <w:rFonts w:ascii="Arial" w:hAnsi="Arial" w:cs="Arial"/>
          <w:lang w:val="es-ES_tradnl"/>
        </w:rPr>
        <w:t xml:space="preserve"> manifiesta su interés de</w:t>
      </w:r>
      <w:r w:rsidR="00C10BF5">
        <w:rPr>
          <w:rFonts w:ascii="Arial" w:hAnsi="Arial" w:cs="Arial"/>
          <w:lang w:val="es-ES_tradnl"/>
        </w:rPr>
        <w:t xml:space="preserve"> </w:t>
      </w:r>
      <w:r w:rsidR="00754BFB">
        <w:rPr>
          <w:rFonts w:ascii="Arial" w:hAnsi="Arial" w:cs="Arial"/>
          <w:lang w:val="es-ES_tradnl"/>
        </w:rPr>
        <w:t xml:space="preserve">formar parte de la Comunidad Andina tomando en cuenta el lugar especial que representa la región de Latinoamérica y el Caribe para la política exterior de dicho país, y su compromiso para profundizar y diversificar aún más las relaciones con los países de la región en todos los campos posibles, tomando en cuenta el incremento de su creciente economía. Asimismo, Türkiye </w:t>
      </w:r>
      <w:r w:rsidR="007D4AB9">
        <w:rPr>
          <w:rFonts w:ascii="Arial" w:hAnsi="Arial" w:cs="Arial"/>
          <w:lang w:val="es-ES_tradnl"/>
        </w:rPr>
        <w:t>considera que la Comunidad Andina es una de las organizaciones más dinámicas de la región con su gran trayectoria en la promoción de la integración regional y cooperación, y que en vista de los retos comunes y oportunidades, la Comunidad Andina y Türkiye podrán beneficiarse de una mayor cooperación</w:t>
      </w:r>
      <w:r>
        <w:rPr>
          <w:rFonts w:ascii="Arial" w:hAnsi="Arial" w:cs="Arial"/>
          <w:lang w:val="es-ES_tradnl"/>
        </w:rPr>
        <w:t>;</w:t>
      </w:r>
    </w:p>
    <w:p w:rsidR="004817DD" w:rsidRPr="00052D4E" w:rsidRDefault="004817DD" w:rsidP="004817D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4817DD" w:rsidRPr="008C65B4" w:rsidRDefault="004817DD" w:rsidP="004817DD">
      <w:pPr>
        <w:tabs>
          <w:tab w:val="left" w:pos="426"/>
        </w:tabs>
        <w:jc w:val="both"/>
        <w:rPr>
          <w:rFonts w:ascii="Arial" w:hAnsi="Arial" w:cs="Arial"/>
        </w:rPr>
      </w:pPr>
      <w:r w:rsidRPr="008C65B4">
        <w:rPr>
          <w:rFonts w:ascii="Arial" w:hAnsi="Arial" w:cs="Arial"/>
          <w:lang w:val="es-ES_tradnl"/>
        </w:rPr>
        <w:tab/>
        <w:t>Que</w:t>
      </w:r>
      <w:r w:rsidR="00052D4E">
        <w:rPr>
          <w:rFonts w:ascii="Arial" w:hAnsi="Arial" w:cs="Arial"/>
          <w:lang w:val="es-ES_tradnl"/>
        </w:rPr>
        <w:t>,</w:t>
      </w:r>
      <w:r w:rsidRPr="008C65B4">
        <w:rPr>
          <w:rFonts w:ascii="Arial" w:hAnsi="Arial" w:cs="Arial"/>
          <w:lang w:val="es-ES_tradnl"/>
        </w:rPr>
        <w:t xml:space="preserve"> la incorporación </w:t>
      </w:r>
      <w:r w:rsidR="007D4AB9">
        <w:rPr>
          <w:rFonts w:ascii="Arial" w:hAnsi="Arial" w:cs="Arial"/>
          <w:lang w:val="es-ES_tradnl"/>
        </w:rPr>
        <w:t>de la República de Türkiye</w:t>
      </w:r>
      <w:r w:rsidR="00E4737D" w:rsidRPr="008C65B4">
        <w:rPr>
          <w:rFonts w:ascii="Arial" w:hAnsi="Arial" w:cs="Arial"/>
          <w:lang w:val="es-ES_tradnl"/>
        </w:rPr>
        <w:t xml:space="preserve"> </w:t>
      </w:r>
      <w:r w:rsidRPr="008C65B4">
        <w:rPr>
          <w:rFonts w:ascii="Arial" w:hAnsi="Arial" w:cs="Arial"/>
          <w:lang w:val="es-ES_tradnl"/>
        </w:rPr>
        <w:t xml:space="preserve">como Observador de la Comunidad Andina contribuirá al fortalecimiento de las relaciones </w:t>
      </w:r>
      <w:r w:rsidR="002C0927" w:rsidRPr="008C65B4">
        <w:rPr>
          <w:rFonts w:ascii="Arial" w:hAnsi="Arial" w:cs="Arial"/>
          <w:lang w:val="es-ES_tradnl"/>
        </w:rPr>
        <w:t>recíprocas</w:t>
      </w:r>
      <w:r w:rsidRPr="008C65B4">
        <w:rPr>
          <w:rFonts w:ascii="Arial" w:hAnsi="Arial" w:cs="Arial"/>
          <w:lang w:val="es-ES_tradnl"/>
        </w:rPr>
        <w:t xml:space="preserve">, </w:t>
      </w:r>
      <w:r w:rsidRPr="008C65B4">
        <w:rPr>
          <w:rFonts w:ascii="Arial" w:hAnsi="Arial" w:cs="Arial"/>
          <w:snapToGrid w:val="0"/>
        </w:rPr>
        <w:t xml:space="preserve">mediante el desarrollo del diálogo político y la intensificación de la cooperación, con el objetivo de lograr </w:t>
      </w:r>
      <w:r w:rsidRPr="008C65B4">
        <w:rPr>
          <w:rFonts w:ascii="Arial" w:hAnsi="Arial" w:cs="Arial"/>
        </w:rPr>
        <w:t xml:space="preserve">un desarrollo integral, justo, solidario y complementario, que fortalezca en última instancia el </w:t>
      </w:r>
      <w:r w:rsidR="003B7807">
        <w:rPr>
          <w:rFonts w:ascii="Arial" w:hAnsi="Arial" w:cs="Arial"/>
        </w:rPr>
        <w:t>P</w:t>
      </w:r>
      <w:r w:rsidRPr="008C65B4">
        <w:rPr>
          <w:rFonts w:ascii="Arial" w:hAnsi="Arial" w:cs="Arial"/>
        </w:rPr>
        <w:t xml:space="preserve">roceso de </w:t>
      </w:r>
      <w:r w:rsidR="003B7807">
        <w:rPr>
          <w:rFonts w:ascii="Arial" w:hAnsi="Arial" w:cs="Arial"/>
        </w:rPr>
        <w:t>I</w:t>
      </w:r>
      <w:r w:rsidRPr="008C65B4">
        <w:rPr>
          <w:rFonts w:ascii="Arial" w:hAnsi="Arial" w:cs="Arial"/>
        </w:rPr>
        <w:t xml:space="preserve">ntegración </w:t>
      </w:r>
      <w:r w:rsidR="003B7807">
        <w:rPr>
          <w:rFonts w:ascii="Arial" w:hAnsi="Arial" w:cs="Arial"/>
        </w:rPr>
        <w:t>S</w:t>
      </w:r>
      <w:r w:rsidRPr="008C65B4">
        <w:rPr>
          <w:rFonts w:ascii="Arial" w:hAnsi="Arial" w:cs="Arial"/>
        </w:rPr>
        <w:t>ubregional;</w:t>
      </w:r>
    </w:p>
    <w:p w:rsidR="00B11C33" w:rsidRPr="008C65B4" w:rsidRDefault="00B11C33" w:rsidP="004817DD">
      <w:pPr>
        <w:tabs>
          <w:tab w:val="left" w:pos="426"/>
        </w:tabs>
        <w:jc w:val="both"/>
        <w:rPr>
          <w:rFonts w:ascii="Arial" w:hAnsi="Arial" w:cs="Arial"/>
        </w:rPr>
      </w:pPr>
    </w:p>
    <w:p w:rsidR="008A0C70" w:rsidRDefault="00DD07D5" w:rsidP="00E952D8">
      <w:pPr>
        <w:tabs>
          <w:tab w:val="left" w:pos="426"/>
        </w:tabs>
        <w:jc w:val="both"/>
        <w:rPr>
          <w:rFonts w:ascii="Arial" w:hAnsi="Arial" w:cs="Arial"/>
        </w:rPr>
      </w:pPr>
      <w:r w:rsidRPr="008C65B4">
        <w:rPr>
          <w:rFonts w:ascii="Arial" w:hAnsi="Arial" w:cs="Arial"/>
        </w:rPr>
        <w:lastRenderedPageBreak/>
        <w:tab/>
      </w:r>
      <w:r w:rsidRPr="00263DCB">
        <w:rPr>
          <w:rFonts w:ascii="Arial" w:hAnsi="Arial" w:cs="Arial"/>
        </w:rPr>
        <w:t>Que</w:t>
      </w:r>
      <w:r w:rsidR="00E41D0F" w:rsidRPr="00263DCB">
        <w:rPr>
          <w:rFonts w:ascii="Arial" w:hAnsi="Arial" w:cs="Arial"/>
        </w:rPr>
        <w:t>,</w:t>
      </w:r>
      <w:r w:rsidRPr="00263DCB">
        <w:rPr>
          <w:rFonts w:ascii="Arial" w:hAnsi="Arial" w:cs="Arial"/>
        </w:rPr>
        <w:t xml:space="preserve"> una vez surtidas las consultas a que se refiere el artículo 1 de la Decisión 741, los Países Miembros de la Comunidad Andina manifestaron su conformidad con la solici</w:t>
      </w:r>
      <w:r w:rsidR="00C245E7" w:rsidRPr="00263DCB">
        <w:rPr>
          <w:rFonts w:ascii="Arial" w:hAnsi="Arial" w:cs="Arial"/>
        </w:rPr>
        <w:t>tud de la República de Türkiye</w:t>
      </w:r>
      <w:r w:rsidR="005C6513" w:rsidRPr="00263DCB">
        <w:rPr>
          <w:rFonts w:ascii="Arial" w:hAnsi="Arial" w:cs="Arial"/>
        </w:rPr>
        <w:t>;</w:t>
      </w:r>
    </w:p>
    <w:p w:rsidR="008452DD" w:rsidRDefault="008452DD" w:rsidP="00E952D8">
      <w:pPr>
        <w:tabs>
          <w:tab w:val="left" w:pos="426"/>
        </w:tabs>
        <w:jc w:val="both"/>
        <w:rPr>
          <w:rFonts w:ascii="Arial" w:hAnsi="Arial" w:cs="Arial"/>
        </w:rPr>
      </w:pPr>
    </w:p>
    <w:p w:rsidR="008452DD" w:rsidRPr="008C65B4" w:rsidRDefault="008452DD" w:rsidP="00E952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45E7">
        <w:rPr>
          <w:rFonts w:ascii="Arial" w:hAnsi="Arial" w:cs="Arial"/>
        </w:rPr>
        <w:t>Que, de conformidad con la Decisión 741, corresponde al Consejo Andino de Ministros de Relaciones Exteriores otorgar el estatus de Observador a terceros países, en nombre de la Comunidad Andina;</w:t>
      </w:r>
    </w:p>
    <w:p w:rsidR="007910B7" w:rsidRPr="008C65B4" w:rsidRDefault="007910B7" w:rsidP="00E952D8">
      <w:pPr>
        <w:tabs>
          <w:tab w:val="left" w:pos="426"/>
        </w:tabs>
        <w:jc w:val="both"/>
        <w:rPr>
          <w:rFonts w:ascii="Arial" w:hAnsi="Arial" w:cs="Arial"/>
        </w:rPr>
      </w:pPr>
    </w:p>
    <w:p w:rsidR="008D39B1" w:rsidRPr="008C65B4" w:rsidRDefault="008D39B1" w:rsidP="008D39B1">
      <w:pPr>
        <w:tabs>
          <w:tab w:val="left" w:pos="426"/>
        </w:tabs>
        <w:jc w:val="center"/>
        <w:rPr>
          <w:rFonts w:ascii="Arial" w:hAnsi="Arial" w:cs="Arial"/>
          <w:b/>
          <w:lang w:val="es-ES_tradnl"/>
        </w:rPr>
      </w:pPr>
      <w:r w:rsidRPr="008C65B4">
        <w:rPr>
          <w:rFonts w:ascii="Arial" w:hAnsi="Arial" w:cs="Arial"/>
          <w:b/>
          <w:lang w:val="es-ES_tradnl"/>
        </w:rPr>
        <w:t>DECIDE:</w:t>
      </w:r>
    </w:p>
    <w:p w:rsidR="00566167" w:rsidRPr="008C65B4" w:rsidRDefault="00566167" w:rsidP="00E952D8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8D39B1" w:rsidRPr="008C65B4" w:rsidRDefault="008D39B1" w:rsidP="008D39B1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 w:rsidRPr="008C65B4">
        <w:rPr>
          <w:rFonts w:ascii="Arial" w:hAnsi="Arial" w:cs="Arial"/>
          <w:b/>
          <w:lang w:val="es-ES_tradnl"/>
        </w:rPr>
        <w:tab/>
        <w:t>Artículo 1.-</w:t>
      </w:r>
      <w:r w:rsidRPr="008C65B4">
        <w:rPr>
          <w:rFonts w:ascii="Arial" w:hAnsi="Arial" w:cs="Arial"/>
          <w:lang w:val="es-ES_tradnl"/>
        </w:rPr>
        <w:t xml:space="preserve"> Otorgar</w:t>
      </w:r>
      <w:r w:rsidR="00C43838" w:rsidRPr="008C65B4">
        <w:rPr>
          <w:rFonts w:ascii="Arial" w:hAnsi="Arial" w:cs="Arial"/>
          <w:lang w:val="es-ES_tradnl"/>
        </w:rPr>
        <w:t xml:space="preserve"> el estatus </w:t>
      </w:r>
      <w:r w:rsidRPr="008C65B4">
        <w:rPr>
          <w:rFonts w:ascii="Arial" w:hAnsi="Arial" w:cs="Arial"/>
          <w:lang w:val="es-ES_tradnl"/>
        </w:rPr>
        <w:t>de Observador de la Comunidad Andina</w:t>
      </w:r>
      <w:r w:rsidR="002D3C37">
        <w:rPr>
          <w:rFonts w:ascii="Arial" w:hAnsi="Arial" w:cs="Arial"/>
          <w:lang w:val="es-ES_tradnl"/>
        </w:rPr>
        <w:t xml:space="preserve"> </w:t>
      </w:r>
      <w:r w:rsidR="007D4AB9">
        <w:rPr>
          <w:rFonts w:ascii="Arial" w:hAnsi="Arial" w:cs="Arial"/>
          <w:lang w:val="es-ES_tradnl"/>
        </w:rPr>
        <w:t>a la República de Türkiye.</w:t>
      </w:r>
    </w:p>
    <w:p w:rsidR="00566167" w:rsidRPr="008C65B4" w:rsidRDefault="00566167" w:rsidP="00F23F2E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F23F2E" w:rsidRPr="008C65B4" w:rsidRDefault="00F23F2E" w:rsidP="00F23F2E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 w:rsidRPr="008C65B4">
        <w:rPr>
          <w:rFonts w:ascii="Arial" w:hAnsi="Arial" w:cs="Arial"/>
          <w:lang w:val="es-ES_tradnl"/>
        </w:rPr>
        <w:tab/>
      </w:r>
      <w:r w:rsidRPr="008C65B4">
        <w:rPr>
          <w:rFonts w:ascii="Arial" w:hAnsi="Arial" w:cs="Arial"/>
          <w:b/>
          <w:lang w:val="es-ES_tradnl"/>
        </w:rPr>
        <w:t xml:space="preserve">Artículo </w:t>
      </w:r>
      <w:r w:rsidRPr="008C65B4">
        <w:rPr>
          <w:rFonts w:ascii="Arial" w:hAnsi="Arial" w:cs="Arial"/>
          <w:b/>
        </w:rPr>
        <w:t xml:space="preserve">2.- </w:t>
      </w:r>
      <w:r w:rsidR="00977DD8" w:rsidRPr="008C65B4">
        <w:rPr>
          <w:rFonts w:ascii="Arial" w:hAnsi="Arial" w:cs="Arial"/>
        </w:rPr>
        <w:t xml:space="preserve">Los derechos y obligaciones derivados del otorgamiento de dicho estatus estarán regidos por las disposiciones previstas en </w:t>
      </w:r>
      <w:smartTag w:uri="urn:schemas-microsoft-com:office:smarttags" w:element="PersonName">
        <w:smartTagPr>
          <w:attr w:name="ProductID" w:val="la Decisi￳n"/>
        </w:smartTagPr>
        <w:r w:rsidR="00977DD8" w:rsidRPr="008C65B4">
          <w:rPr>
            <w:rFonts w:ascii="Arial" w:hAnsi="Arial" w:cs="Arial"/>
          </w:rPr>
          <w:t>la Decisión</w:t>
        </w:r>
      </w:smartTag>
      <w:r w:rsidR="00977DD8" w:rsidRPr="008C65B4">
        <w:rPr>
          <w:rFonts w:ascii="Arial" w:hAnsi="Arial" w:cs="Arial"/>
        </w:rPr>
        <w:t xml:space="preserve"> 741. </w:t>
      </w:r>
    </w:p>
    <w:p w:rsidR="00F23F2E" w:rsidRPr="008C65B4" w:rsidRDefault="00F23F2E" w:rsidP="00C915EE">
      <w:pPr>
        <w:tabs>
          <w:tab w:val="left" w:pos="426"/>
        </w:tabs>
        <w:jc w:val="both"/>
        <w:rPr>
          <w:rFonts w:ascii="Arial" w:hAnsi="Arial" w:cs="Arial"/>
          <w:snapToGrid w:val="0"/>
          <w:u w:val="single"/>
          <w:lang w:val="es-ES_tradnl" w:eastAsia="en-US"/>
        </w:rPr>
      </w:pPr>
    </w:p>
    <w:p w:rsidR="00C915EE" w:rsidRPr="008C65B4" w:rsidRDefault="00C915EE" w:rsidP="00C915EE">
      <w:pPr>
        <w:tabs>
          <w:tab w:val="left" w:pos="426"/>
        </w:tabs>
        <w:jc w:val="both"/>
        <w:rPr>
          <w:rFonts w:ascii="Arial" w:hAnsi="Arial" w:cs="Arial"/>
          <w:snapToGrid w:val="0"/>
          <w:lang w:val="es-ES_tradnl" w:eastAsia="en-US"/>
        </w:rPr>
      </w:pPr>
      <w:r w:rsidRPr="008C65B4">
        <w:rPr>
          <w:rFonts w:ascii="Arial" w:hAnsi="Arial" w:cs="Arial"/>
          <w:b/>
          <w:snapToGrid w:val="0"/>
          <w:lang w:val="es-ES_tradnl" w:eastAsia="en-US"/>
        </w:rPr>
        <w:tab/>
      </w:r>
      <w:r w:rsidR="00F23F2E" w:rsidRPr="008C65B4">
        <w:rPr>
          <w:rFonts w:ascii="Arial" w:hAnsi="Arial" w:cs="Arial"/>
          <w:b/>
          <w:snapToGrid w:val="0"/>
          <w:lang w:val="es-ES_tradnl" w:eastAsia="en-US"/>
        </w:rPr>
        <w:t>Artículo 3</w:t>
      </w:r>
      <w:r w:rsidRPr="008C65B4">
        <w:rPr>
          <w:rFonts w:ascii="Arial" w:hAnsi="Arial" w:cs="Arial"/>
          <w:b/>
          <w:snapToGrid w:val="0"/>
          <w:lang w:val="es-ES_tradnl" w:eastAsia="en-US"/>
        </w:rPr>
        <w:t>.-</w:t>
      </w:r>
      <w:r w:rsidRPr="008C65B4">
        <w:rPr>
          <w:rFonts w:ascii="Arial" w:hAnsi="Arial" w:cs="Arial"/>
          <w:snapToGrid w:val="0"/>
          <w:color w:val="0000FF"/>
          <w:lang w:val="es-ES_tradnl" w:eastAsia="en-US"/>
        </w:rPr>
        <w:t xml:space="preserve"> </w:t>
      </w:r>
      <w:r w:rsidRPr="008C65B4">
        <w:rPr>
          <w:rFonts w:ascii="Arial" w:hAnsi="Arial" w:cs="Arial"/>
          <w:snapToGrid w:val="0"/>
          <w:lang w:val="es-ES_tradnl" w:eastAsia="en-US"/>
        </w:rPr>
        <w:t xml:space="preserve">La presente Decisión entrará en vigencia a partir de la fecha de su publicación en </w:t>
      </w:r>
      <w:smartTag w:uri="urn:schemas-microsoft-com:office:smarttags" w:element="PersonName">
        <w:smartTagPr>
          <w:attr w:name="ProductID" w:val="la Gaceta Oficial"/>
        </w:smartTagPr>
        <w:r w:rsidRPr="008C65B4">
          <w:rPr>
            <w:rFonts w:ascii="Arial" w:hAnsi="Arial" w:cs="Arial"/>
            <w:snapToGrid w:val="0"/>
            <w:lang w:val="es-ES_tradnl" w:eastAsia="en-US"/>
          </w:rPr>
          <w:t>la Gaceta Oficial</w:t>
        </w:r>
      </w:smartTag>
      <w:r w:rsidRPr="008C65B4">
        <w:rPr>
          <w:rFonts w:ascii="Arial" w:hAnsi="Arial" w:cs="Arial"/>
          <w:snapToGrid w:val="0"/>
          <w:lang w:val="es-ES_tradnl" w:eastAsia="en-US"/>
        </w:rPr>
        <w:t xml:space="preserve"> del Acuerdo de Cartagena.</w:t>
      </w:r>
    </w:p>
    <w:p w:rsidR="00C915EE" w:rsidRPr="008C65B4" w:rsidRDefault="00C915EE" w:rsidP="00C915EE">
      <w:pPr>
        <w:tabs>
          <w:tab w:val="left" w:pos="426"/>
        </w:tabs>
        <w:jc w:val="both"/>
        <w:rPr>
          <w:rFonts w:ascii="Arial" w:hAnsi="Arial" w:cs="Arial"/>
          <w:snapToGrid w:val="0"/>
          <w:lang w:val="es-ES_tradnl" w:eastAsia="en-US"/>
        </w:rPr>
      </w:pPr>
    </w:p>
    <w:p w:rsidR="000D6D29" w:rsidRPr="008C65B4" w:rsidRDefault="000D6D29" w:rsidP="000D6D29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 w:rsidRPr="008C65B4">
        <w:rPr>
          <w:rFonts w:ascii="Arial" w:hAnsi="Arial" w:cs="Arial"/>
          <w:lang w:val="es-ES_tradnl"/>
        </w:rPr>
        <w:tab/>
        <w:t xml:space="preserve">Dada en la ciudad de Lima, Perú, a los </w:t>
      </w:r>
      <w:r w:rsidR="007D4AB9">
        <w:rPr>
          <w:rFonts w:ascii="Arial" w:hAnsi="Arial" w:cs="Arial"/>
          <w:lang w:val="es-ES_tradnl"/>
        </w:rPr>
        <w:t xml:space="preserve">veintinueve </w:t>
      </w:r>
      <w:r w:rsidRPr="008C65B4">
        <w:rPr>
          <w:rFonts w:ascii="Arial" w:hAnsi="Arial" w:cs="Arial"/>
          <w:lang w:val="es-ES_tradnl"/>
        </w:rPr>
        <w:t xml:space="preserve">días del mes de </w:t>
      </w:r>
      <w:r w:rsidR="007D4AB9">
        <w:rPr>
          <w:rFonts w:ascii="Arial" w:hAnsi="Arial" w:cs="Arial"/>
          <w:lang w:val="es-ES_tradnl"/>
        </w:rPr>
        <w:t>agosto</w:t>
      </w:r>
      <w:r w:rsidRPr="008C65B4">
        <w:rPr>
          <w:rFonts w:ascii="Arial" w:hAnsi="Arial" w:cs="Arial"/>
          <w:lang w:val="es-ES_tradnl"/>
        </w:rPr>
        <w:t xml:space="preserve"> del año dos mil</w:t>
      </w:r>
      <w:r w:rsidR="007D4AB9">
        <w:rPr>
          <w:rFonts w:ascii="Arial" w:hAnsi="Arial" w:cs="Arial"/>
          <w:lang w:val="es-ES_tradnl"/>
        </w:rPr>
        <w:t xml:space="preserve"> veintidós.</w:t>
      </w:r>
    </w:p>
    <w:p w:rsidR="000D6D29" w:rsidRDefault="000D6D29" w:rsidP="00C915EE">
      <w:pPr>
        <w:tabs>
          <w:tab w:val="left" w:pos="426"/>
        </w:tabs>
        <w:jc w:val="both"/>
        <w:rPr>
          <w:rFonts w:ascii="Arial" w:hAnsi="Arial" w:cs="Arial"/>
          <w:snapToGrid w:val="0"/>
          <w:lang w:val="es-ES_tradnl" w:eastAsia="en-US"/>
        </w:rPr>
      </w:pPr>
    </w:p>
    <w:p w:rsidR="00311FEE" w:rsidRPr="008C65B4" w:rsidRDefault="00311FEE" w:rsidP="00311FEE">
      <w:pPr>
        <w:tabs>
          <w:tab w:val="left" w:pos="426"/>
        </w:tabs>
        <w:jc w:val="center"/>
        <w:rPr>
          <w:rFonts w:ascii="Arial" w:hAnsi="Arial" w:cs="Arial"/>
          <w:snapToGrid w:val="0"/>
          <w:lang w:val="es-ES_tradnl" w:eastAsia="en-US"/>
        </w:rPr>
      </w:pPr>
      <w:r w:rsidRPr="00311FEE">
        <w:rPr>
          <w:rFonts w:ascii="Arial" w:hAnsi="Arial" w:cs="Arial"/>
          <w:snapToGrid w:val="0"/>
          <w:lang w:val="es-ES_tradnl" w:eastAsia="en-US"/>
        </w:rPr>
        <w:t>*****</w:t>
      </w:r>
    </w:p>
    <w:sectPr w:rsidR="00311FEE" w:rsidRPr="008C65B4" w:rsidSect="00566167">
      <w:headerReference w:type="even" r:id="rId6"/>
      <w:headerReference w:type="default" r:id="rId7"/>
      <w:pgSz w:w="11906" w:h="16838" w:code="9"/>
      <w:pgMar w:top="1247" w:right="1247" w:bottom="1021" w:left="1247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54" w:rsidRDefault="00F82554">
      <w:r>
        <w:separator/>
      </w:r>
    </w:p>
  </w:endnote>
  <w:endnote w:type="continuationSeparator" w:id="0">
    <w:p w:rsidR="00F82554" w:rsidRDefault="00F8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54" w:rsidRDefault="00F82554">
      <w:r>
        <w:separator/>
      </w:r>
    </w:p>
  </w:footnote>
  <w:footnote w:type="continuationSeparator" w:id="0">
    <w:p w:rsidR="00F82554" w:rsidRDefault="00F8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2B" w:rsidRDefault="002D2F2B">
    <w:pPr>
      <w:pStyle w:val="Encabezado"/>
      <w:jc w:val="center"/>
    </w:pPr>
    <w:r>
      <w:rPr>
        <w:rStyle w:val="Nmerodepgina"/>
      </w:rPr>
      <w:t xml:space="preserve">-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67" w:rsidRPr="008F0668" w:rsidRDefault="00566167" w:rsidP="00566167">
    <w:pPr>
      <w:pStyle w:val="Encabezado"/>
      <w:ind w:right="-85"/>
      <w:jc w:val="center"/>
      <w:rPr>
        <w:sz w:val="22"/>
        <w:szCs w:val="22"/>
      </w:rPr>
    </w:pPr>
    <w:r w:rsidRPr="008F0668">
      <w:rPr>
        <w:sz w:val="22"/>
        <w:szCs w:val="22"/>
      </w:rPr>
      <w:t xml:space="preserve">- </w:t>
    </w:r>
    <w:r w:rsidRPr="008F0668">
      <w:rPr>
        <w:rStyle w:val="Nmerodepgina"/>
        <w:sz w:val="22"/>
        <w:szCs w:val="22"/>
      </w:rPr>
      <w:fldChar w:fldCharType="begin"/>
    </w:r>
    <w:r w:rsidRPr="008F0668">
      <w:rPr>
        <w:rStyle w:val="Nmerodepgina"/>
        <w:sz w:val="22"/>
        <w:szCs w:val="22"/>
      </w:rPr>
      <w:instrText xml:space="preserve"> PAGE </w:instrText>
    </w:r>
    <w:r w:rsidRPr="008F0668">
      <w:rPr>
        <w:rStyle w:val="Nmerodepgina"/>
        <w:sz w:val="22"/>
        <w:szCs w:val="22"/>
      </w:rPr>
      <w:fldChar w:fldCharType="separate"/>
    </w:r>
    <w:r w:rsidR="00311FEE">
      <w:rPr>
        <w:rStyle w:val="Nmerodepgina"/>
        <w:noProof/>
        <w:sz w:val="22"/>
        <w:szCs w:val="22"/>
      </w:rPr>
      <w:t>2</w:t>
    </w:r>
    <w:r w:rsidRPr="008F0668">
      <w:rPr>
        <w:rStyle w:val="Nmerodepgina"/>
        <w:sz w:val="22"/>
        <w:szCs w:val="22"/>
      </w:rPr>
      <w:fldChar w:fldCharType="end"/>
    </w:r>
    <w:r w:rsidRPr="008F0668">
      <w:rPr>
        <w:sz w:val="22"/>
        <w:szCs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D9"/>
    <w:rsid w:val="00052D4E"/>
    <w:rsid w:val="00092BFD"/>
    <w:rsid w:val="000C639A"/>
    <w:rsid w:val="000D6D29"/>
    <w:rsid w:val="000E0CF8"/>
    <w:rsid w:val="001B22A6"/>
    <w:rsid w:val="001C2D8A"/>
    <w:rsid w:val="00225227"/>
    <w:rsid w:val="00251CA4"/>
    <w:rsid w:val="00263DCB"/>
    <w:rsid w:val="00266836"/>
    <w:rsid w:val="002711AF"/>
    <w:rsid w:val="002B52A4"/>
    <w:rsid w:val="002C0927"/>
    <w:rsid w:val="002D2F2B"/>
    <w:rsid w:val="002D3C37"/>
    <w:rsid w:val="00311FEE"/>
    <w:rsid w:val="00322AF8"/>
    <w:rsid w:val="00347B63"/>
    <w:rsid w:val="00365ADD"/>
    <w:rsid w:val="003B7807"/>
    <w:rsid w:val="00411C57"/>
    <w:rsid w:val="00427C01"/>
    <w:rsid w:val="0043301B"/>
    <w:rsid w:val="00443B5B"/>
    <w:rsid w:val="004817DD"/>
    <w:rsid w:val="004823E9"/>
    <w:rsid w:val="004A0133"/>
    <w:rsid w:val="00507299"/>
    <w:rsid w:val="00540102"/>
    <w:rsid w:val="00565B1E"/>
    <w:rsid w:val="00566167"/>
    <w:rsid w:val="00592F93"/>
    <w:rsid w:val="005A2732"/>
    <w:rsid w:val="005B20E4"/>
    <w:rsid w:val="005C6513"/>
    <w:rsid w:val="005F1227"/>
    <w:rsid w:val="0061386C"/>
    <w:rsid w:val="00623C86"/>
    <w:rsid w:val="00637374"/>
    <w:rsid w:val="0064077F"/>
    <w:rsid w:val="00676DC2"/>
    <w:rsid w:val="006B32DA"/>
    <w:rsid w:val="006D11CF"/>
    <w:rsid w:val="00700461"/>
    <w:rsid w:val="0071318F"/>
    <w:rsid w:val="0074409F"/>
    <w:rsid w:val="0075074F"/>
    <w:rsid w:val="00754BFB"/>
    <w:rsid w:val="0078367D"/>
    <w:rsid w:val="007910B7"/>
    <w:rsid w:val="007B6169"/>
    <w:rsid w:val="007D4AB9"/>
    <w:rsid w:val="007E205E"/>
    <w:rsid w:val="00831602"/>
    <w:rsid w:val="008452DD"/>
    <w:rsid w:val="00891844"/>
    <w:rsid w:val="008A0C70"/>
    <w:rsid w:val="008A1C60"/>
    <w:rsid w:val="008B2E7D"/>
    <w:rsid w:val="008C65B4"/>
    <w:rsid w:val="008D39B1"/>
    <w:rsid w:val="008F0668"/>
    <w:rsid w:val="00911DF9"/>
    <w:rsid w:val="00913CA0"/>
    <w:rsid w:val="009406AE"/>
    <w:rsid w:val="00977DD8"/>
    <w:rsid w:val="00981C3C"/>
    <w:rsid w:val="00984267"/>
    <w:rsid w:val="009E0246"/>
    <w:rsid w:val="00A41CD1"/>
    <w:rsid w:val="00A53337"/>
    <w:rsid w:val="00A617D2"/>
    <w:rsid w:val="00A81E05"/>
    <w:rsid w:val="00A9481F"/>
    <w:rsid w:val="00B119D1"/>
    <w:rsid w:val="00B11C33"/>
    <w:rsid w:val="00B93B66"/>
    <w:rsid w:val="00BD0DE1"/>
    <w:rsid w:val="00BE262F"/>
    <w:rsid w:val="00BF5E68"/>
    <w:rsid w:val="00C10BF5"/>
    <w:rsid w:val="00C245E7"/>
    <w:rsid w:val="00C43838"/>
    <w:rsid w:val="00C915EE"/>
    <w:rsid w:val="00CF1BA9"/>
    <w:rsid w:val="00D1609B"/>
    <w:rsid w:val="00D17DB2"/>
    <w:rsid w:val="00DC0CD9"/>
    <w:rsid w:val="00DD07D5"/>
    <w:rsid w:val="00DE4E72"/>
    <w:rsid w:val="00E01DC0"/>
    <w:rsid w:val="00E41D0F"/>
    <w:rsid w:val="00E4737D"/>
    <w:rsid w:val="00E70B01"/>
    <w:rsid w:val="00E952D8"/>
    <w:rsid w:val="00F23F2E"/>
    <w:rsid w:val="00F41FD4"/>
    <w:rsid w:val="00F65642"/>
    <w:rsid w:val="00F72610"/>
    <w:rsid w:val="00F82554"/>
    <w:rsid w:val="00F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73128C2"/>
  <w15:docId w15:val="{29911BA4-CE8C-4159-B60C-1A2A51FE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2D2F2B"/>
    <w:pPr>
      <w:keepNext/>
      <w:outlineLvl w:val="4"/>
    </w:pPr>
    <w:rPr>
      <w:rFonts w:ascii="Arial Narrow" w:hAnsi="Arial Narrow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B32DA"/>
    <w:rPr>
      <w:color w:val="0000FF"/>
      <w:u w:val="single"/>
    </w:rPr>
  </w:style>
  <w:style w:type="paragraph" w:styleId="Textodeglobo">
    <w:name w:val="Balloon Text"/>
    <w:basedOn w:val="Normal"/>
    <w:semiHidden/>
    <w:rsid w:val="004823E9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2D2F2B"/>
    <w:rPr>
      <w:rFonts w:ascii="Arial Narrow" w:hAnsi="Arial Narrow"/>
      <w:b/>
      <w:sz w:val="24"/>
      <w:lang w:val="es-ES" w:eastAsia="es-ES"/>
    </w:rPr>
  </w:style>
  <w:style w:type="paragraph" w:styleId="Encabezado">
    <w:name w:val="header"/>
    <w:basedOn w:val="Normal"/>
    <w:link w:val="EncabezadoCar"/>
    <w:rsid w:val="002D2F2B"/>
    <w:pPr>
      <w:tabs>
        <w:tab w:val="center" w:pos="4252"/>
        <w:tab w:val="right" w:pos="8504"/>
      </w:tabs>
    </w:pPr>
    <w:rPr>
      <w:rFonts w:ascii="Arial" w:hAnsi="Arial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2D2F2B"/>
    <w:rPr>
      <w:rFonts w:ascii="Arial" w:hAnsi="Arial"/>
      <w:sz w:val="24"/>
      <w:lang w:val="es-ES" w:eastAsia="es-ES"/>
    </w:rPr>
  </w:style>
  <w:style w:type="character" w:styleId="Nmerodepgina">
    <w:name w:val="page number"/>
    <w:basedOn w:val="Fuentedeprrafopredeter"/>
    <w:rsid w:val="002D2F2B"/>
  </w:style>
  <w:style w:type="paragraph" w:styleId="Sangradetextonormal">
    <w:name w:val="Body Text Indent"/>
    <w:basedOn w:val="Normal"/>
    <w:link w:val="SangradetextonormalCar"/>
    <w:rsid w:val="002D2F2B"/>
    <w:pPr>
      <w:spacing w:after="120"/>
      <w:ind w:left="283"/>
    </w:pPr>
    <w:rPr>
      <w:rFonts w:ascii="Arial" w:hAnsi="Arial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D2F2B"/>
    <w:rPr>
      <w:rFonts w:ascii="Arial" w:hAnsi="Arial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566167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66167"/>
    <w:rPr>
      <w:rFonts w:ascii="Arial" w:hAnsi="Arial"/>
      <w:sz w:val="24"/>
      <w:lang w:val="es-PE" w:eastAsia="es-ES"/>
    </w:rPr>
  </w:style>
  <w:style w:type="paragraph" w:customStyle="1" w:styleId="Decicentro">
    <w:name w:val="Decicentro"/>
    <w:basedOn w:val="Normal"/>
    <w:rsid w:val="00566167"/>
    <w:pPr>
      <w:jc w:val="center"/>
    </w:pPr>
    <w:rPr>
      <w:rFonts w:ascii="Arial" w:hAnsi="Arial"/>
      <w:b/>
      <w:snapToGrid w:val="0"/>
      <w:szCs w:val="20"/>
      <w:u w:val="single"/>
      <w:lang w:val="es-ES_tradnl"/>
    </w:rPr>
  </w:style>
  <w:style w:type="paragraph" w:styleId="Piedepgina">
    <w:name w:val="footer"/>
    <w:basedOn w:val="Normal"/>
    <w:link w:val="PiedepginaCar"/>
    <w:rsid w:val="005661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6167"/>
    <w:rPr>
      <w:sz w:val="24"/>
      <w:szCs w:val="24"/>
      <w:lang w:val="es-PE" w:eastAsia="es-ES"/>
    </w:rPr>
  </w:style>
  <w:style w:type="paragraph" w:customStyle="1" w:styleId="Style2">
    <w:name w:val="Style 2"/>
    <w:basedOn w:val="Normal"/>
    <w:rsid w:val="00A617D2"/>
    <w:pPr>
      <w:widowControl w:val="0"/>
      <w:autoSpaceDE w:val="0"/>
      <w:autoSpaceDN w:val="0"/>
      <w:ind w:firstLine="720"/>
      <w:jc w:val="both"/>
    </w:pPr>
    <w:rPr>
      <w:lang w:val="en-U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DECISIÓN 761 - LA SECRETARIA SOBRE OTORGAMIENTO DE ESTATUS DE OBSERVADOR DE LA COMUNIDAD ANDINA AL REINO DE ESPAÑA</vt:lpstr>
    </vt:vector>
  </TitlesOfParts>
  <Manager>A.6.1</Manager>
  <Company>SGCAN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DECISIÓN 761 - LA SECRETARIA SOBRE OTORGAMIENTO DE ESTATUS DE OBSERVADOR DE LA COMUNIDAD ANDINA AL REINO DE ESPAÑA</dc:title>
  <dc:subject>22/08/2011</dc:subject>
  <dc:creator>Antonio Rodríguez</dc:creator>
  <cp:keywords>DECISIÓN 761</cp:keywords>
  <cp:lastModifiedBy>Henrry Edgardo Flores Goyburo</cp:lastModifiedBy>
  <cp:revision>5</cp:revision>
  <cp:lastPrinted>2017-05-09T14:59:00Z</cp:lastPrinted>
  <dcterms:created xsi:type="dcterms:W3CDTF">2022-08-30T00:08:00Z</dcterms:created>
  <dcterms:modified xsi:type="dcterms:W3CDTF">2022-08-30T00:19:00Z</dcterms:modified>
  <cp:category>Decisiones</cp:category>
</cp:coreProperties>
</file>