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E7FB" w14:textId="7F353073" w:rsidR="001A242B" w:rsidRDefault="006562CF" w:rsidP="001A242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4384" behindDoc="0" locked="0" layoutInCell="1" allowOverlap="1" wp14:anchorId="4EF2DAE4" wp14:editId="27247413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2103120" cy="504190"/>
            <wp:effectExtent l="0" t="0" r="0" b="0"/>
            <wp:wrapSquare wrapText="bothSides"/>
            <wp:docPr id="1" name="Imagen 1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SG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98602" w14:textId="77777777" w:rsidR="006562CF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hAnsi="Arial" w:cs="Arial"/>
          <w:sz w:val="20"/>
          <w:szCs w:val="20"/>
          <w:lang w:val="es-PE"/>
        </w:rPr>
      </w:pPr>
    </w:p>
    <w:p w14:paraId="2C5548D9" w14:textId="77777777" w:rsidR="006562CF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hAnsi="Arial" w:cs="Arial"/>
          <w:sz w:val="20"/>
          <w:szCs w:val="20"/>
          <w:lang w:val="es-PE"/>
        </w:rPr>
      </w:pPr>
    </w:p>
    <w:p w14:paraId="50034544" w14:textId="77777777" w:rsidR="006562CF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hAnsi="Arial" w:cs="Arial"/>
          <w:sz w:val="20"/>
          <w:szCs w:val="20"/>
          <w:lang w:val="es-PE"/>
        </w:rPr>
      </w:pPr>
      <w:r w:rsidRPr="00B57C48">
        <w:rPr>
          <w:rFonts w:ascii="Arial" w:hAnsi="Arial" w:cs="Arial"/>
          <w:sz w:val="20"/>
          <w:szCs w:val="20"/>
          <w:lang w:val="es-PE"/>
        </w:rPr>
        <w:t xml:space="preserve">PERIODO 155 DE SESIONES </w:t>
      </w:r>
    </w:p>
    <w:p w14:paraId="3333A873" w14:textId="04DDE768" w:rsidR="006562CF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hAnsi="Arial" w:cs="Arial"/>
          <w:sz w:val="20"/>
          <w:szCs w:val="20"/>
          <w:lang w:val="es-PE"/>
        </w:rPr>
      </w:pPr>
      <w:r w:rsidRPr="00B57C48">
        <w:rPr>
          <w:rFonts w:ascii="Arial" w:hAnsi="Arial" w:cs="Arial"/>
          <w:sz w:val="20"/>
          <w:szCs w:val="20"/>
          <w:lang w:val="es-PE"/>
        </w:rPr>
        <w:t xml:space="preserve">EXTRAORDINARIAS DE LA COMISIÓN </w:t>
      </w:r>
    </w:p>
    <w:p w14:paraId="5FD20F9A" w14:textId="77777777" w:rsidR="006562CF" w:rsidRPr="00B57C48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hAnsi="Arial" w:cs="Arial"/>
          <w:sz w:val="24"/>
          <w:szCs w:val="24"/>
          <w:lang w:val="es-PE"/>
        </w:rPr>
      </w:pPr>
      <w:r w:rsidRPr="00B57C48">
        <w:rPr>
          <w:rFonts w:ascii="Arial" w:hAnsi="Arial" w:cs="Arial"/>
          <w:sz w:val="20"/>
          <w:szCs w:val="20"/>
          <w:lang w:val="es-PE"/>
        </w:rPr>
        <w:t>DE LA COMUNIDAD ANDINA</w:t>
      </w:r>
      <w:r w:rsidRPr="00B57C48">
        <w:rPr>
          <w:rFonts w:ascii="Arial" w:hAnsi="Arial" w:cs="Arial"/>
          <w:sz w:val="24"/>
          <w:szCs w:val="24"/>
          <w:lang w:val="es-PE"/>
        </w:rPr>
        <w:t xml:space="preserve"> </w:t>
      </w:r>
    </w:p>
    <w:p w14:paraId="18AD8042" w14:textId="77777777" w:rsidR="006562CF" w:rsidRPr="00B57C48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535"/>
        <w:jc w:val="both"/>
        <w:rPr>
          <w:rFonts w:ascii="Arial" w:hAnsi="Arial" w:cs="Arial"/>
          <w:sz w:val="20"/>
          <w:szCs w:val="20"/>
          <w:lang w:val="es-PE"/>
        </w:rPr>
      </w:pPr>
      <w:r w:rsidRPr="00B57C48">
        <w:rPr>
          <w:rFonts w:ascii="Arial" w:hAnsi="Arial" w:cs="Arial"/>
          <w:sz w:val="20"/>
          <w:szCs w:val="20"/>
          <w:lang w:val="es-PE"/>
        </w:rPr>
        <w:t>14 julio de 2022</w:t>
      </w:r>
    </w:p>
    <w:p w14:paraId="531E1A60" w14:textId="77777777" w:rsidR="006562CF" w:rsidRPr="00B57C48" w:rsidRDefault="006562CF" w:rsidP="006562CF">
      <w:pPr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535"/>
        <w:jc w:val="both"/>
        <w:rPr>
          <w:rFonts w:ascii="Arial" w:hAnsi="Arial" w:cs="Arial"/>
          <w:sz w:val="24"/>
          <w:szCs w:val="24"/>
          <w:lang w:val="es-PE"/>
        </w:rPr>
      </w:pPr>
      <w:r w:rsidRPr="00B57C48">
        <w:rPr>
          <w:rFonts w:ascii="Arial" w:hAnsi="Arial" w:cs="Arial"/>
          <w:sz w:val="20"/>
          <w:szCs w:val="20"/>
          <w:lang w:val="es-PE"/>
        </w:rPr>
        <w:t>Modalidad Videoconferencia</w:t>
      </w:r>
      <w:r w:rsidRPr="00B57C48">
        <w:rPr>
          <w:rFonts w:ascii="Arial" w:hAnsi="Arial" w:cs="Arial"/>
          <w:sz w:val="24"/>
          <w:szCs w:val="24"/>
          <w:lang w:val="es-PE"/>
        </w:rPr>
        <w:t xml:space="preserve"> </w:t>
      </w:r>
    </w:p>
    <w:p w14:paraId="31BF3486" w14:textId="77777777" w:rsidR="001A242B" w:rsidRDefault="001A242B" w:rsidP="00465E5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5D9F2BB" w14:textId="1721F52A" w:rsidR="00465E50" w:rsidRPr="002E1894" w:rsidRDefault="00465E50" w:rsidP="00465E5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E1894">
        <w:rPr>
          <w:rFonts w:ascii="Arial" w:hAnsi="Arial" w:cs="Arial"/>
          <w:b/>
          <w:sz w:val="24"/>
          <w:szCs w:val="24"/>
          <w:u w:val="single"/>
          <w:lang w:val="es-ES"/>
        </w:rPr>
        <w:t>DECISI</w:t>
      </w:r>
      <w:r w:rsidR="002E1894" w:rsidRPr="002E1894">
        <w:rPr>
          <w:rFonts w:ascii="Arial" w:hAnsi="Arial" w:cs="Arial"/>
          <w:b/>
          <w:sz w:val="24"/>
          <w:szCs w:val="24"/>
          <w:u w:val="single"/>
          <w:lang w:val="es-ES"/>
        </w:rPr>
        <w:t>Ó</w:t>
      </w:r>
      <w:r w:rsidRPr="002E1894">
        <w:rPr>
          <w:rFonts w:ascii="Arial" w:hAnsi="Arial" w:cs="Arial"/>
          <w:b/>
          <w:sz w:val="24"/>
          <w:szCs w:val="24"/>
          <w:u w:val="single"/>
          <w:lang w:val="es-ES"/>
        </w:rPr>
        <w:t>N</w:t>
      </w:r>
      <w:r w:rsidR="006562C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901</w:t>
      </w:r>
    </w:p>
    <w:p w14:paraId="3541BB16" w14:textId="6D73F9F1" w:rsidR="00465E50" w:rsidRDefault="00465E50" w:rsidP="00B92F3B">
      <w:pPr>
        <w:spacing w:line="240" w:lineRule="auto"/>
        <w:ind w:left="6237"/>
        <w:jc w:val="both"/>
        <w:rPr>
          <w:rFonts w:ascii="Arial" w:hAnsi="Arial" w:cs="Arial"/>
          <w:sz w:val="24"/>
          <w:szCs w:val="24"/>
          <w:lang w:val="es-ES"/>
        </w:rPr>
      </w:pPr>
      <w:r w:rsidRPr="002E1894">
        <w:rPr>
          <w:rFonts w:ascii="Arial" w:hAnsi="Arial" w:cs="Arial"/>
          <w:sz w:val="24"/>
          <w:szCs w:val="24"/>
          <w:lang w:val="es-ES"/>
        </w:rPr>
        <w:t>Presu</w:t>
      </w:r>
      <w:r w:rsidR="002E1894">
        <w:rPr>
          <w:rFonts w:ascii="Arial" w:hAnsi="Arial" w:cs="Arial"/>
          <w:sz w:val="24"/>
          <w:szCs w:val="24"/>
          <w:lang w:val="es-ES"/>
        </w:rPr>
        <w:t xml:space="preserve">puesto del Tribunal de Justicia </w:t>
      </w:r>
      <w:r w:rsidRPr="002E1894">
        <w:rPr>
          <w:rFonts w:ascii="Arial" w:hAnsi="Arial" w:cs="Arial"/>
          <w:sz w:val="24"/>
          <w:szCs w:val="24"/>
          <w:lang w:val="es-ES"/>
        </w:rPr>
        <w:t>de la Comunidad Andina para el año 20</w:t>
      </w:r>
      <w:r w:rsidR="006E73AF">
        <w:rPr>
          <w:rFonts w:ascii="Arial" w:hAnsi="Arial" w:cs="Arial"/>
          <w:sz w:val="24"/>
          <w:szCs w:val="24"/>
          <w:lang w:val="es-ES"/>
        </w:rPr>
        <w:t>2</w:t>
      </w:r>
      <w:r w:rsidR="00140A84">
        <w:rPr>
          <w:rFonts w:ascii="Arial" w:hAnsi="Arial" w:cs="Arial"/>
          <w:sz w:val="24"/>
          <w:szCs w:val="24"/>
          <w:lang w:val="es-ES"/>
        </w:rPr>
        <w:t>3</w:t>
      </w:r>
    </w:p>
    <w:p w14:paraId="15489395" w14:textId="77777777" w:rsidR="006562CF" w:rsidRPr="002E1894" w:rsidRDefault="006562CF" w:rsidP="00B92F3B">
      <w:pPr>
        <w:spacing w:line="240" w:lineRule="auto"/>
        <w:ind w:left="6237"/>
        <w:jc w:val="both"/>
        <w:rPr>
          <w:rFonts w:ascii="Arial" w:hAnsi="Arial" w:cs="Arial"/>
          <w:sz w:val="24"/>
          <w:szCs w:val="24"/>
          <w:lang w:val="es-ES"/>
        </w:rPr>
      </w:pPr>
    </w:p>
    <w:p w14:paraId="35B31BF3" w14:textId="77777777" w:rsidR="00465E50" w:rsidRPr="002E1894" w:rsidRDefault="00465E50" w:rsidP="00B92F3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6562CF">
        <w:rPr>
          <w:rFonts w:ascii="Arial" w:hAnsi="Arial" w:cs="Arial"/>
          <w:b/>
          <w:sz w:val="24"/>
          <w:szCs w:val="24"/>
          <w:lang w:val="es-ES"/>
        </w:rPr>
        <w:t>LA COMISI</w:t>
      </w:r>
      <w:r w:rsidR="002E1894" w:rsidRPr="006562CF">
        <w:rPr>
          <w:rFonts w:ascii="Arial" w:hAnsi="Arial" w:cs="Arial"/>
          <w:b/>
          <w:sz w:val="24"/>
          <w:szCs w:val="24"/>
          <w:lang w:val="es-ES"/>
        </w:rPr>
        <w:t>Ó</w:t>
      </w:r>
      <w:r w:rsidRPr="006562CF">
        <w:rPr>
          <w:rFonts w:ascii="Arial" w:hAnsi="Arial" w:cs="Arial"/>
          <w:b/>
          <w:sz w:val="24"/>
          <w:szCs w:val="24"/>
          <w:lang w:val="es-ES"/>
        </w:rPr>
        <w:t>N DE LA COMUNIDAD ANDINA</w:t>
      </w:r>
      <w:r w:rsidRPr="002E1894">
        <w:rPr>
          <w:rFonts w:ascii="Arial" w:hAnsi="Arial" w:cs="Arial"/>
          <w:sz w:val="24"/>
          <w:szCs w:val="24"/>
          <w:lang w:val="es-ES"/>
        </w:rPr>
        <w:t>,</w:t>
      </w:r>
    </w:p>
    <w:p w14:paraId="644F0C43" w14:textId="6C279282" w:rsidR="00365DDF" w:rsidRPr="002E1894" w:rsidRDefault="00465E50" w:rsidP="006562C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6562CF">
        <w:rPr>
          <w:rFonts w:ascii="Arial" w:hAnsi="Arial" w:cs="Arial"/>
          <w:b/>
          <w:sz w:val="24"/>
          <w:szCs w:val="24"/>
          <w:lang w:val="es-ES"/>
        </w:rPr>
        <w:t>VISTOS:</w:t>
      </w:r>
      <w:r w:rsidRPr="002E1894">
        <w:rPr>
          <w:rFonts w:ascii="Arial" w:hAnsi="Arial" w:cs="Arial"/>
          <w:sz w:val="24"/>
          <w:szCs w:val="24"/>
          <w:lang w:val="es-ES"/>
        </w:rPr>
        <w:t xml:space="preserve"> </w:t>
      </w:r>
      <w:r w:rsidR="00BD26CC" w:rsidRPr="00BD26CC">
        <w:rPr>
          <w:rFonts w:ascii="Arial" w:hAnsi="Arial" w:cs="Arial"/>
          <w:sz w:val="24"/>
          <w:szCs w:val="24"/>
          <w:lang w:val="es-ES"/>
        </w:rPr>
        <w:t xml:space="preserve">El </w:t>
      </w:r>
      <w:r w:rsidR="00365DDF">
        <w:rPr>
          <w:rFonts w:ascii="Arial" w:hAnsi="Arial" w:cs="Arial"/>
          <w:sz w:val="24"/>
          <w:szCs w:val="24"/>
          <w:lang w:val="es-ES"/>
        </w:rPr>
        <w:t>a</w:t>
      </w:r>
      <w:r w:rsidR="00BD26CC" w:rsidRPr="00BD26CC">
        <w:rPr>
          <w:rFonts w:ascii="Arial" w:hAnsi="Arial" w:cs="Arial"/>
          <w:sz w:val="24"/>
          <w:szCs w:val="24"/>
          <w:lang w:val="es-ES"/>
        </w:rPr>
        <w:t xml:space="preserve">rtículo 22 </w:t>
      </w:r>
      <w:r w:rsidR="00BB538A" w:rsidRPr="00BD26CC">
        <w:rPr>
          <w:rFonts w:ascii="Arial" w:hAnsi="Arial" w:cs="Arial"/>
          <w:sz w:val="24"/>
          <w:szCs w:val="24"/>
          <w:lang w:val="es-ES"/>
        </w:rPr>
        <w:t xml:space="preserve">literal i) </w:t>
      </w:r>
      <w:r w:rsidR="00BD26CC" w:rsidRPr="00BD26CC">
        <w:rPr>
          <w:rFonts w:ascii="Arial" w:hAnsi="Arial" w:cs="Arial"/>
          <w:sz w:val="24"/>
          <w:szCs w:val="24"/>
          <w:lang w:val="es-ES"/>
        </w:rPr>
        <w:t xml:space="preserve">del Acuerdo de Cartagena, </w:t>
      </w:r>
      <w:r w:rsidR="00BD26CC">
        <w:rPr>
          <w:rFonts w:ascii="Arial" w:hAnsi="Arial" w:cs="Arial"/>
          <w:sz w:val="24"/>
          <w:szCs w:val="24"/>
          <w:lang w:val="es-ES"/>
        </w:rPr>
        <w:t xml:space="preserve">el </w:t>
      </w:r>
      <w:r w:rsidR="00365DDF">
        <w:rPr>
          <w:rFonts w:ascii="Arial" w:hAnsi="Arial" w:cs="Arial"/>
          <w:sz w:val="24"/>
          <w:szCs w:val="24"/>
          <w:lang w:val="es-ES"/>
        </w:rPr>
        <w:t>a</w:t>
      </w:r>
      <w:r w:rsidR="00BD26CC">
        <w:rPr>
          <w:rFonts w:ascii="Arial" w:hAnsi="Arial" w:cs="Arial"/>
          <w:sz w:val="24"/>
          <w:szCs w:val="24"/>
          <w:lang w:val="es-ES"/>
        </w:rPr>
        <w:t>rtículo 16</w:t>
      </w:r>
      <w:r w:rsidR="00BD26CC" w:rsidRPr="002E1894">
        <w:rPr>
          <w:rFonts w:ascii="Arial" w:hAnsi="Arial" w:cs="Arial"/>
          <w:sz w:val="24"/>
          <w:szCs w:val="24"/>
          <w:lang w:val="es-ES"/>
        </w:rPr>
        <w:t xml:space="preserve"> del Tratado de </w:t>
      </w:r>
      <w:r w:rsidR="00BD26CC">
        <w:rPr>
          <w:rFonts w:ascii="Arial" w:hAnsi="Arial" w:cs="Arial"/>
          <w:sz w:val="24"/>
          <w:szCs w:val="24"/>
          <w:lang w:val="es-ES"/>
        </w:rPr>
        <w:t>C</w:t>
      </w:r>
      <w:r w:rsidR="00BD26CC" w:rsidRPr="002E1894">
        <w:rPr>
          <w:rFonts w:ascii="Arial" w:hAnsi="Arial" w:cs="Arial"/>
          <w:sz w:val="24"/>
          <w:szCs w:val="24"/>
          <w:lang w:val="es-ES"/>
        </w:rPr>
        <w:t>reación del Tribunal de Justicia de la Comunidad Andina</w:t>
      </w:r>
      <w:r w:rsidR="00BD26CC">
        <w:rPr>
          <w:rFonts w:ascii="Arial" w:hAnsi="Arial" w:cs="Arial"/>
          <w:sz w:val="24"/>
          <w:szCs w:val="24"/>
          <w:lang w:val="es-ES"/>
        </w:rPr>
        <w:t>,</w:t>
      </w:r>
      <w:r w:rsidR="00BD26CC" w:rsidRPr="00BD26CC">
        <w:rPr>
          <w:rFonts w:ascii="Arial" w:hAnsi="Arial" w:cs="Arial"/>
          <w:sz w:val="24"/>
          <w:szCs w:val="24"/>
          <w:lang w:val="es-ES"/>
        </w:rPr>
        <w:t xml:space="preserve"> el </w:t>
      </w:r>
      <w:r w:rsidR="00365DDF">
        <w:rPr>
          <w:rFonts w:ascii="Arial" w:hAnsi="Arial" w:cs="Arial"/>
          <w:sz w:val="24"/>
          <w:szCs w:val="24"/>
          <w:lang w:val="es-ES"/>
        </w:rPr>
        <w:t>a</w:t>
      </w:r>
      <w:r w:rsidR="00BD26CC" w:rsidRPr="00BD26CC">
        <w:rPr>
          <w:rFonts w:ascii="Arial" w:hAnsi="Arial" w:cs="Arial"/>
          <w:sz w:val="24"/>
          <w:szCs w:val="24"/>
          <w:lang w:val="es-ES"/>
        </w:rPr>
        <w:t xml:space="preserve">rtículo 11 </w:t>
      </w:r>
      <w:r w:rsidR="00BB538A" w:rsidRPr="00BD26CC">
        <w:rPr>
          <w:rFonts w:ascii="Arial" w:hAnsi="Arial" w:cs="Arial"/>
          <w:sz w:val="24"/>
          <w:szCs w:val="24"/>
          <w:lang w:val="es-ES"/>
        </w:rPr>
        <w:t xml:space="preserve">literal i) </w:t>
      </w:r>
      <w:r w:rsidR="00BD26CC" w:rsidRPr="00BD26CC">
        <w:rPr>
          <w:rFonts w:ascii="Arial" w:hAnsi="Arial" w:cs="Arial"/>
          <w:sz w:val="24"/>
          <w:szCs w:val="24"/>
          <w:lang w:val="es-ES"/>
        </w:rPr>
        <w:t>del Reglamento de la Comisió</w:t>
      </w:r>
      <w:r w:rsidR="00BD26CC">
        <w:rPr>
          <w:rFonts w:ascii="Arial" w:hAnsi="Arial" w:cs="Arial"/>
          <w:sz w:val="24"/>
          <w:szCs w:val="24"/>
          <w:lang w:val="es-ES"/>
        </w:rPr>
        <w:t>n</w:t>
      </w:r>
      <w:r w:rsidR="00BD26CC" w:rsidRPr="002E1894">
        <w:rPr>
          <w:rFonts w:ascii="Arial" w:hAnsi="Arial" w:cs="Arial"/>
          <w:sz w:val="24"/>
          <w:szCs w:val="24"/>
          <w:lang w:val="es-ES"/>
        </w:rPr>
        <w:t>;</w:t>
      </w:r>
    </w:p>
    <w:p w14:paraId="55DD74B9" w14:textId="5C95DFB0" w:rsidR="00BD26CC" w:rsidRDefault="00A477B2" w:rsidP="006562C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6562CF">
        <w:rPr>
          <w:rFonts w:ascii="Arial" w:hAnsi="Arial" w:cs="Arial"/>
          <w:b/>
          <w:sz w:val="24"/>
          <w:szCs w:val="24"/>
          <w:lang w:val="es-ES"/>
        </w:rPr>
        <w:t>CONS</w:t>
      </w:r>
      <w:r w:rsidR="00465E50" w:rsidRPr="006562CF">
        <w:rPr>
          <w:rFonts w:ascii="Arial" w:hAnsi="Arial" w:cs="Arial"/>
          <w:b/>
          <w:sz w:val="24"/>
          <w:szCs w:val="24"/>
          <w:lang w:val="es-ES"/>
        </w:rPr>
        <w:t>IDERANDO:</w:t>
      </w:r>
      <w:r w:rsidR="00465E50" w:rsidRPr="002E1894">
        <w:rPr>
          <w:rFonts w:ascii="Arial" w:hAnsi="Arial" w:cs="Arial"/>
          <w:sz w:val="24"/>
          <w:szCs w:val="24"/>
          <w:lang w:val="es-ES"/>
        </w:rPr>
        <w:t xml:space="preserve"> </w:t>
      </w:r>
      <w:r w:rsidR="00BD26CC">
        <w:rPr>
          <w:rFonts w:ascii="Arial" w:hAnsi="Arial" w:cs="Arial"/>
          <w:sz w:val="24"/>
          <w:szCs w:val="24"/>
          <w:lang w:val="es-ES"/>
        </w:rPr>
        <w:t>Que</w:t>
      </w:r>
      <w:r w:rsidR="00163916">
        <w:rPr>
          <w:rFonts w:ascii="Arial" w:hAnsi="Arial" w:cs="Arial"/>
          <w:sz w:val="24"/>
          <w:szCs w:val="24"/>
          <w:lang w:val="es-ES"/>
        </w:rPr>
        <w:t>,</w:t>
      </w:r>
      <w:r w:rsidR="00BD26CC">
        <w:rPr>
          <w:rFonts w:ascii="Arial" w:hAnsi="Arial" w:cs="Arial"/>
          <w:sz w:val="24"/>
          <w:szCs w:val="24"/>
          <w:lang w:val="es-ES"/>
        </w:rPr>
        <w:t xml:space="preserve"> </w:t>
      </w:r>
      <w:r w:rsidR="00BD26CC" w:rsidRPr="002E1894">
        <w:rPr>
          <w:rFonts w:ascii="Arial" w:hAnsi="Arial" w:cs="Arial"/>
          <w:sz w:val="24"/>
          <w:szCs w:val="24"/>
          <w:lang w:val="es-ES"/>
        </w:rPr>
        <w:t xml:space="preserve">de conformidad con el </w:t>
      </w:r>
      <w:r w:rsidR="00365DDF">
        <w:rPr>
          <w:rFonts w:ascii="Arial" w:hAnsi="Arial" w:cs="Arial"/>
          <w:sz w:val="24"/>
          <w:szCs w:val="24"/>
          <w:lang w:val="es-ES"/>
        </w:rPr>
        <w:t>a</w:t>
      </w:r>
      <w:r w:rsidR="00BD26CC" w:rsidRPr="002E1894">
        <w:rPr>
          <w:rFonts w:ascii="Arial" w:hAnsi="Arial" w:cs="Arial"/>
          <w:sz w:val="24"/>
          <w:szCs w:val="24"/>
          <w:lang w:val="es-ES"/>
        </w:rPr>
        <w:t>rtículo 27 de</w:t>
      </w:r>
      <w:r w:rsidR="00BD26CC">
        <w:rPr>
          <w:rFonts w:ascii="Arial" w:hAnsi="Arial" w:cs="Arial"/>
          <w:sz w:val="24"/>
          <w:szCs w:val="24"/>
          <w:lang w:val="es-ES"/>
        </w:rPr>
        <w:t xml:space="preserve"> la </w:t>
      </w:r>
      <w:r w:rsidR="00BD26CC" w:rsidRPr="002E1894">
        <w:rPr>
          <w:rFonts w:ascii="Arial" w:hAnsi="Arial" w:cs="Arial"/>
          <w:sz w:val="24"/>
          <w:szCs w:val="24"/>
          <w:lang w:val="es-ES"/>
        </w:rPr>
        <w:t>Decisión 500</w:t>
      </w:r>
      <w:r w:rsidR="00BD26CC">
        <w:rPr>
          <w:rFonts w:ascii="Arial" w:hAnsi="Arial" w:cs="Arial"/>
          <w:sz w:val="24"/>
          <w:szCs w:val="24"/>
          <w:lang w:val="es-ES"/>
        </w:rPr>
        <w:t xml:space="preserve">, </w:t>
      </w:r>
      <w:r w:rsidR="003F7053">
        <w:rPr>
          <w:rFonts w:ascii="Arial" w:hAnsi="Arial" w:cs="Arial"/>
          <w:sz w:val="24"/>
          <w:szCs w:val="24"/>
          <w:lang w:val="es-ES"/>
        </w:rPr>
        <w:t xml:space="preserve">la Presidencia del </w:t>
      </w:r>
      <w:r w:rsidR="00BD26CC" w:rsidRPr="002E1894">
        <w:rPr>
          <w:rFonts w:ascii="Arial" w:hAnsi="Arial" w:cs="Arial"/>
          <w:sz w:val="24"/>
          <w:szCs w:val="24"/>
          <w:lang w:val="es-ES"/>
        </w:rPr>
        <w:t>Tribunal de Justicia de la Comunidad Andina</w:t>
      </w:r>
      <w:r w:rsidR="00BD26CC">
        <w:rPr>
          <w:rFonts w:ascii="Arial" w:hAnsi="Arial" w:cs="Arial"/>
          <w:sz w:val="24"/>
          <w:szCs w:val="24"/>
          <w:lang w:val="es-ES"/>
        </w:rPr>
        <w:t xml:space="preserve"> </w:t>
      </w:r>
      <w:r w:rsidR="00AC4DC3" w:rsidRPr="00AC4DC3">
        <w:rPr>
          <w:rFonts w:ascii="Arial" w:hAnsi="Arial" w:cs="Arial"/>
          <w:sz w:val="24"/>
          <w:szCs w:val="24"/>
          <w:lang w:val="es-ES"/>
        </w:rPr>
        <w:t>ha presentado a la Comisión el Proyecto de Presupuesto para el ejercicio del año 20</w:t>
      </w:r>
      <w:r w:rsidR="006E73AF">
        <w:rPr>
          <w:rFonts w:ascii="Arial" w:hAnsi="Arial" w:cs="Arial"/>
          <w:sz w:val="24"/>
          <w:szCs w:val="24"/>
          <w:lang w:val="es-ES"/>
        </w:rPr>
        <w:t>22</w:t>
      </w:r>
      <w:r w:rsidR="00BD26CC" w:rsidRPr="002E1894">
        <w:rPr>
          <w:rFonts w:ascii="Arial" w:hAnsi="Arial" w:cs="Arial"/>
          <w:sz w:val="24"/>
          <w:szCs w:val="24"/>
          <w:lang w:val="es-ES"/>
        </w:rPr>
        <w:t>;</w:t>
      </w:r>
    </w:p>
    <w:p w14:paraId="2E71BF0A" w14:textId="699794E3" w:rsidR="00B956C2" w:rsidRPr="002E1894" w:rsidRDefault="00B956C2" w:rsidP="006562C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="003F7053">
        <w:rPr>
          <w:rFonts w:ascii="Arial" w:hAnsi="Arial" w:cs="Arial"/>
          <w:sz w:val="24"/>
          <w:szCs w:val="24"/>
          <w:lang w:val="es-ES"/>
        </w:rPr>
        <w:t xml:space="preserve">la Presidencia del </w:t>
      </w:r>
      <w:r>
        <w:rPr>
          <w:rFonts w:ascii="Arial" w:hAnsi="Arial" w:cs="Arial"/>
          <w:sz w:val="24"/>
          <w:szCs w:val="24"/>
          <w:lang w:val="es-ES"/>
        </w:rPr>
        <w:t xml:space="preserve">Tribunal de Justicia de la Comunidad Andina </w:t>
      </w:r>
      <w:r w:rsidR="008D2AD6">
        <w:rPr>
          <w:rFonts w:ascii="Arial" w:hAnsi="Arial" w:cs="Arial"/>
          <w:sz w:val="24"/>
          <w:szCs w:val="24"/>
          <w:lang w:val="es-ES"/>
        </w:rPr>
        <w:t>en la vigencia 2022 h</w:t>
      </w:r>
      <w:r>
        <w:rPr>
          <w:rFonts w:ascii="Arial" w:hAnsi="Arial" w:cs="Arial"/>
          <w:sz w:val="24"/>
          <w:szCs w:val="24"/>
          <w:lang w:val="es-ES"/>
        </w:rPr>
        <w:t>a implementado las recomendaciones del Grupo de Alto Nivel para abordar la situación financiera</w:t>
      </w:r>
      <w:r w:rsidR="008D2AD6">
        <w:rPr>
          <w:rFonts w:ascii="Arial" w:hAnsi="Arial" w:cs="Arial"/>
          <w:sz w:val="24"/>
          <w:szCs w:val="24"/>
          <w:lang w:val="es-ES"/>
        </w:rPr>
        <w:t xml:space="preserve"> del TJCA</w:t>
      </w:r>
      <w:r w:rsidR="00365DDF">
        <w:rPr>
          <w:rFonts w:ascii="Arial" w:hAnsi="Arial" w:cs="Arial"/>
          <w:sz w:val="24"/>
          <w:szCs w:val="24"/>
          <w:lang w:val="es-ES"/>
        </w:rPr>
        <w:t>;</w:t>
      </w:r>
    </w:p>
    <w:p w14:paraId="2BD3CF06" w14:textId="30031012" w:rsidR="00BD26CC" w:rsidRDefault="00BD26CC" w:rsidP="006562C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D26CC">
        <w:rPr>
          <w:rFonts w:ascii="Arial" w:hAnsi="Arial" w:cs="Arial"/>
          <w:sz w:val="24"/>
          <w:szCs w:val="24"/>
          <w:lang w:val="es-ES"/>
        </w:rPr>
        <w:t xml:space="preserve">Que, conforme a lo previsto en los artículos 22, literal i) del Acuerdo de Cartagena, </w:t>
      </w:r>
      <w:r w:rsidR="00BC6F7F">
        <w:rPr>
          <w:rFonts w:ascii="Arial" w:hAnsi="Arial" w:cs="Arial"/>
          <w:sz w:val="24"/>
          <w:szCs w:val="24"/>
          <w:lang w:val="es-ES"/>
        </w:rPr>
        <w:t>16</w:t>
      </w:r>
      <w:r w:rsidR="00BC6F7F" w:rsidRPr="002E1894">
        <w:rPr>
          <w:rFonts w:ascii="Arial" w:hAnsi="Arial" w:cs="Arial"/>
          <w:sz w:val="24"/>
          <w:szCs w:val="24"/>
          <w:lang w:val="es-ES"/>
        </w:rPr>
        <w:t xml:space="preserve"> del Tratado de </w:t>
      </w:r>
      <w:r w:rsidR="00BC6F7F">
        <w:rPr>
          <w:rFonts w:ascii="Arial" w:hAnsi="Arial" w:cs="Arial"/>
          <w:sz w:val="24"/>
          <w:szCs w:val="24"/>
          <w:lang w:val="es-ES"/>
        </w:rPr>
        <w:t>C</w:t>
      </w:r>
      <w:r w:rsidR="00BC6F7F" w:rsidRPr="002E1894">
        <w:rPr>
          <w:rFonts w:ascii="Arial" w:hAnsi="Arial" w:cs="Arial"/>
          <w:sz w:val="24"/>
          <w:szCs w:val="24"/>
          <w:lang w:val="es-ES"/>
        </w:rPr>
        <w:t>reación del Tribunal de Justicia de la Comunidad Andina</w:t>
      </w:r>
      <w:r w:rsidR="00BC6F7F" w:rsidRPr="00BD26CC">
        <w:rPr>
          <w:rFonts w:ascii="Arial" w:hAnsi="Arial" w:cs="Arial"/>
          <w:sz w:val="24"/>
          <w:szCs w:val="24"/>
          <w:lang w:val="es-ES"/>
        </w:rPr>
        <w:t xml:space="preserve"> </w:t>
      </w:r>
      <w:r w:rsidRPr="00BD26CC">
        <w:rPr>
          <w:rFonts w:ascii="Arial" w:hAnsi="Arial" w:cs="Arial"/>
          <w:sz w:val="24"/>
          <w:szCs w:val="24"/>
          <w:lang w:val="es-ES"/>
        </w:rPr>
        <w:t>y 11, literal i) del Reglamento de la Comisión, corresponde a este órgano aprobar el presupuesto anual y evaluar la ejecución presupuestal del</w:t>
      </w:r>
      <w:r>
        <w:rPr>
          <w:rFonts w:ascii="Arial" w:hAnsi="Arial" w:cs="Arial"/>
          <w:sz w:val="24"/>
          <w:szCs w:val="24"/>
          <w:lang w:val="es-ES"/>
        </w:rPr>
        <w:t xml:space="preserve"> Tribunal de Justicia de l</w:t>
      </w:r>
      <w:r w:rsidRPr="00BD26CC">
        <w:rPr>
          <w:rFonts w:ascii="Arial" w:hAnsi="Arial" w:cs="Arial"/>
          <w:sz w:val="24"/>
          <w:szCs w:val="24"/>
          <w:lang w:val="es-ES"/>
        </w:rPr>
        <w:t xml:space="preserve">a </w:t>
      </w:r>
      <w:r>
        <w:rPr>
          <w:rFonts w:ascii="Arial" w:hAnsi="Arial" w:cs="Arial"/>
          <w:sz w:val="24"/>
          <w:szCs w:val="24"/>
          <w:lang w:val="es-ES"/>
        </w:rPr>
        <w:t>Comunidad Andina</w:t>
      </w:r>
      <w:r w:rsidRPr="00BD26CC">
        <w:rPr>
          <w:rFonts w:ascii="Arial" w:hAnsi="Arial" w:cs="Arial"/>
          <w:sz w:val="24"/>
          <w:szCs w:val="24"/>
          <w:lang w:val="es-ES"/>
        </w:rPr>
        <w:t>, así como fijar la contribución de cada uno de los Países Miembros</w:t>
      </w:r>
      <w:r w:rsidR="00A335CB">
        <w:rPr>
          <w:rFonts w:ascii="Arial" w:hAnsi="Arial" w:cs="Arial"/>
          <w:sz w:val="24"/>
          <w:szCs w:val="24"/>
          <w:lang w:val="es-ES"/>
        </w:rPr>
        <w:t>.</w:t>
      </w:r>
    </w:p>
    <w:p w14:paraId="332B7E4F" w14:textId="0D2E8E13" w:rsidR="00BD26CC" w:rsidRPr="00BD26CC" w:rsidRDefault="00BD26CC" w:rsidP="006562C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D26CC">
        <w:rPr>
          <w:rFonts w:ascii="Arial" w:hAnsi="Arial" w:cs="Arial"/>
          <w:b/>
          <w:sz w:val="24"/>
          <w:szCs w:val="24"/>
          <w:lang w:val="es-ES"/>
        </w:rPr>
        <w:t>DECIDE:</w:t>
      </w:r>
    </w:p>
    <w:p w14:paraId="26996FCC" w14:textId="511F1568" w:rsidR="00465E50" w:rsidRPr="002E1894" w:rsidRDefault="00465E50" w:rsidP="006562C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1894">
        <w:rPr>
          <w:rFonts w:ascii="Arial" w:hAnsi="Arial" w:cs="Arial"/>
          <w:b/>
          <w:sz w:val="24"/>
          <w:szCs w:val="24"/>
          <w:lang w:val="es-ES"/>
        </w:rPr>
        <w:t>Artículo 1</w:t>
      </w:r>
      <w:r w:rsidRPr="002E1894">
        <w:rPr>
          <w:rFonts w:ascii="Arial" w:hAnsi="Arial" w:cs="Arial"/>
          <w:sz w:val="24"/>
          <w:szCs w:val="24"/>
          <w:lang w:val="es-ES"/>
        </w:rPr>
        <w:t>.- Aprobar</w:t>
      </w:r>
      <w:r w:rsidR="00772F46">
        <w:rPr>
          <w:rFonts w:ascii="Arial" w:hAnsi="Arial" w:cs="Arial"/>
          <w:sz w:val="24"/>
          <w:szCs w:val="24"/>
          <w:lang w:val="es-ES"/>
        </w:rPr>
        <w:t xml:space="preserve"> </w:t>
      </w:r>
      <w:r w:rsidRPr="002E1894">
        <w:rPr>
          <w:rFonts w:ascii="Arial" w:hAnsi="Arial" w:cs="Arial"/>
          <w:sz w:val="24"/>
          <w:szCs w:val="24"/>
          <w:lang w:val="es-ES"/>
        </w:rPr>
        <w:t xml:space="preserve">el </w:t>
      </w:r>
      <w:r w:rsidR="00772F46">
        <w:rPr>
          <w:rFonts w:ascii="Arial" w:hAnsi="Arial" w:cs="Arial"/>
          <w:sz w:val="24"/>
          <w:szCs w:val="24"/>
          <w:lang w:val="es-ES"/>
        </w:rPr>
        <w:t xml:space="preserve">presupuesto </w:t>
      </w:r>
      <w:r w:rsidRPr="002E1894">
        <w:rPr>
          <w:rFonts w:ascii="Arial" w:hAnsi="Arial" w:cs="Arial"/>
          <w:sz w:val="24"/>
          <w:szCs w:val="24"/>
          <w:lang w:val="es-ES"/>
        </w:rPr>
        <w:t xml:space="preserve">del Tribunal de Justicia de la Comunidad Andina </w:t>
      </w:r>
      <w:r w:rsidR="00772F46">
        <w:rPr>
          <w:rFonts w:ascii="Arial" w:hAnsi="Arial" w:cs="Arial"/>
          <w:sz w:val="24"/>
          <w:szCs w:val="24"/>
          <w:lang w:val="es-ES"/>
        </w:rPr>
        <w:t>correspondiente a</w:t>
      </w:r>
      <w:r w:rsidRPr="002E1894">
        <w:rPr>
          <w:rFonts w:ascii="Arial" w:hAnsi="Arial" w:cs="Arial"/>
          <w:sz w:val="24"/>
          <w:szCs w:val="24"/>
          <w:lang w:val="es-ES"/>
        </w:rPr>
        <w:t>l año 20</w:t>
      </w:r>
      <w:r w:rsidR="00772F46">
        <w:rPr>
          <w:rFonts w:ascii="Arial" w:hAnsi="Arial" w:cs="Arial"/>
          <w:sz w:val="24"/>
          <w:szCs w:val="24"/>
          <w:lang w:val="es-ES"/>
        </w:rPr>
        <w:t>2</w:t>
      </w:r>
      <w:r w:rsidR="00140A84">
        <w:rPr>
          <w:rFonts w:ascii="Arial" w:hAnsi="Arial" w:cs="Arial"/>
          <w:sz w:val="24"/>
          <w:szCs w:val="24"/>
          <w:lang w:val="es-ES"/>
        </w:rPr>
        <w:t>3</w:t>
      </w:r>
      <w:r w:rsidR="00772F46" w:rsidRPr="00772F46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que figura en el Anexo de la presente Decisión y cuya suma total asciende a US$ 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1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170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667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,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00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(</w:t>
      </w:r>
      <w:r w:rsidR="00772F46">
        <w:rPr>
          <w:rFonts w:ascii="Arial" w:eastAsia="Arial" w:hAnsi="Arial" w:cs="Arial"/>
          <w:color w:val="0E1115"/>
          <w:sz w:val="24"/>
          <w:szCs w:val="24"/>
          <w:lang w:val="es-PE"/>
        </w:rPr>
        <w:t>Un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533453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millón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siento setenta </w:t>
      </w:r>
      <w:r w:rsidR="00772F46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mil 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seiscientos sesenta</w:t>
      </w:r>
      <w:r w:rsidR="00772F46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y 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siete</w:t>
      </w:r>
      <w:r w:rsidR="00772F46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con 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00</w:t>
      </w:r>
      <w:r w:rsidR="00772F46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/100 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dólares americanos).</w:t>
      </w:r>
    </w:p>
    <w:p w14:paraId="6762A971" w14:textId="1AED542A" w:rsidR="007F3BE9" w:rsidRDefault="00465E50" w:rsidP="00465E50">
      <w:pPr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2E1894">
        <w:rPr>
          <w:rFonts w:ascii="Arial" w:hAnsi="Arial" w:cs="Arial"/>
          <w:b/>
          <w:sz w:val="24"/>
          <w:szCs w:val="24"/>
          <w:lang w:val="es-ES"/>
        </w:rPr>
        <w:t>Artículo 2</w:t>
      </w:r>
      <w:r w:rsidRPr="002E1894">
        <w:rPr>
          <w:rFonts w:ascii="Arial" w:hAnsi="Arial" w:cs="Arial"/>
          <w:sz w:val="24"/>
          <w:szCs w:val="24"/>
          <w:lang w:val="es-ES"/>
        </w:rPr>
        <w:t xml:space="preserve">.- 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Fijar para el año 202</w:t>
      </w:r>
      <w:r w:rsidR="00140A84">
        <w:rPr>
          <w:rFonts w:ascii="Arial" w:eastAsia="Arial" w:hAnsi="Arial" w:cs="Arial"/>
          <w:color w:val="0E1115"/>
          <w:sz w:val="24"/>
          <w:szCs w:val="24"/>
          <w:lang w:val="es-PE"/>
        </w:rPr>
        <w:t>3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la contribución de los Países Miembros a dicho Presupuesto </w:t>
      </w:r>
      <w:r w:rsidR="00533453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en un monto total de 1.170.667,00 distribuido 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en los siguientes montos</w:t>
      </w:r>
      <w:r w:rsidR="00533453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por país</w:t>
      </w:r>
      <w:r w:rsidR="00772F46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:</w:t>
      </w:r>
    </w:p>
    <w:p w14:paraId="32239A90" w14:textId="77777777" w:rsidR="00465E50" w:rsidRPr="002E1894" w:rsidRDefault="00465E50" w:rsidP="00465E50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80"/>
      </w:tblGrid>
      <w:tr w:rsidR="00C54D25" w:rsidRPr="00C54D25" w14:paraId="319E6A1A" w14:textId="77777777" w:rsidTr="00C54D25">
        <w:trPr>
          <w:trHeight w:val="465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4600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  <w:t>PAÍS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6090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 CUOTA ANUAL </w:t>
            </w:r>
          </w:p>
        </w:tc>
      </w:tr>
      <w:tr w:rsidR="00C54D25" w:rsidRPr="00C54D25" w14:paraId="07A915FF" w14:textId="77777777" w:rsidTr="00C54D25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2F9A" w14:textId="77777777" w:rsidR="00C54D25" w:rsidRPr="00C54D25" w:rsidRDefault="00C54D25" w:rsidP="00C54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FDB6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128,773.37</w:t>
            </w:r>
          </w:p>
        </w:tc>
      </w:tr>
      <w:tr w:rsidR="00C54D25" w:rsidRPr="00C54D25" w14:paraId="274753BE" w14:textId="77777777" w:rsidTr="00C54D25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9A2B" w14:textId="77777777" w:rsidR="00C54D25" w:rsidRPr="00C54D25" w:rsidRDefault="00C54D25" w:rsidP="00C54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6F37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456,560.13</w:t>
            </w:r>
          </w:p>
        </w:tc>
      </w:tr>
      <w:tr w:rsidR="00C54D25" w:rsidRPr="00C54D25" w14:paraId="514BE353" w14:textId="77777777" w:rsidTr="00C54D25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73CA" w14:textId="77777777" w:rsidR="00C54D25" w:rsidRPr="00C54D25" w:rsidRDefault="00C54D25" w:rsidP="00C54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0F70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128,773.37</w:t>
            </w:r>
          </w:p>
        </w:tc>
      </w:tr>
      <w:tr w:rsidR="00C54D25" w:rsidRPr="00C54D25" w14:paraId="4E063762" w14:textId="77777777" w:rsidTr="00C54D25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C45C" w14:textId="77777777" w:rsidR="00C54D25" w:rsidRPr="00C54D25" w:rsidRDefault="00C54D25" w:rsidP="00C54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PERÚ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FC20" w14:textId="77777777" w:rsidR="00C54D25" w:rsidRPr="00C54D25" w:rsidRDefault="00C54D25" w:rsidP="00C54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C54D2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456,560.13</w:t>
            </w:r>
          </w:p>
        </w:tc>
      </w:tr>
    </w:tbl>
    <w:p w14:paraId="286B3E9B" w14:textId="77777777" w:rsidR="00B956C2" w:rsidRDefault="00B956C2" w:rsidP="001278C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9890DB0" w14:textId="16D27C34" w:rsidR="001278C7" w:rsidRPr="006310F6" w:rsidRDefault="001278C7" w:rsidP="00B92F3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5086">
        <w:rPr>
          <w:rFonts w:ascii="Arial" w:hAnsi="Arial" w:cs="Arial"/>
          <w:b/>
          <w:sz w:val="24"/>
          <w:szCs w:val="24"/>
          <w:lang w:val="es-ES"/>
        </w:rPr>
        <w:t>Artículo 3.-</w:t>
      </w:r>
      <w:r w:rsidRPr="001278C7">
        <w:rPr>
          <w:rFonts w:ascii="Arial" w:hAnsi="Arial" w:cs="Arial"/>
          <w:sz w:val="24"/>
          <w:szCs w:val="24"/>
          <w:lang w:val="es-ES"/>
        </w:rPr>
        <w:t xml:space="preserve"> Los Países Miembros cancelarán las contribuciones por trimestre, a que se refiere el artículo 2 durante el año 20</w:t>
      </w:r>
      <w:r w:rsidR="00C54D25">
        <w:rPr>
          <w:rFonts w:ascii="Arial" w:hAnsi="Arial" w:cs="Arial"/>
          <w:sz w:val="24"/>
          <w:szCs w:val="24"/>
          <w:lang w:val="es-ES"/>
        </w:rPr>
        <w:t>2</w:t>
      </w:r>
      <w:r w:rsidR="00140A84">
        <w:rPr>
          <w:rFonts w:ascii="Arial" w:hAnsi="Arial" w:cs="Arial"/>
          <w:sz w:val="24"/>
          <w:szCs w:val="24"/>
          <w:lang w:val="es-ES"/>
        </w:rPr>
        <w:t>3</w:t>
      </w:r>
      <w:r w:rsidRPr="001278C7">
        <w:rPr>
          <w:rFonts w:ascii="Arial" w:hAnsi="Arial" w:cs="Arial"/>
          <w:sz w:val="24"/>
          <w:szCs w:val="24"/>
          <w:lang w:val="es-ES"/>
        </w:rPr>
        <w:t xml:space="preserve">, de acuerdo </w:t>
      </w:r>
      <w:r w:rsidR="00533453">
        <w:rPr>
          <w:rFonts w:ascii="Arial" w:hAnsi="Arial" w:cs="Arial"/>
          <w:sz w:val="24"/>
          <w:szCs w:val="24"/>
          <w:lang w:val="es-ES"/>
        </w:rPr>
        <w:t>con</w:t>
      </w:r>
      <w:r w:rsidRPr="001278C7">
        <w:rPr>
          <w:rFonts w:ascii="Arial" w:hAnsi="Arial" w:cs="Arial"/>
          <w:sz w:val="24"/>
          <w:szCs w:val="24"/>
          <w:lang w:val="es-ES"/>
        </w:rPr>
        <w:t xml:space="preserve"> lo establecido en el artículo 28 del Acuerdo de Cartagena</w:t>
      </w:r>
      <w:r w:rsidR="006310F6" w:rsidRPr="006310F6">
        <w:rPr>
          <w:rFonts w:ascii="Arial" w:hAnsi="Arial"/>
          <w:sz w:val="24"/>
          <w:szCs w:val="24"/>
          <w:lang w:val="es-PE"/>
        </w:rPr>
        <w:t>.</w:t>
      </w:r>
    </w:p>
    <w:p w14:paraId="15FE73F5" w14:textId="24FB3E01" w:rsidR="005549DB" w:rsidRPr="00E47635" w:rsidRDefault="005549DB" w:rsidP="00B92F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539">
        <w:rPr>
          <w:rFonts w:ascii="Arial" w:hAnsi="Arial" w:cs="Arial"/>
          <w:b/>
          <w:bCs/>
          <w:sz w:val="24"/>
          <w:szCs w:val="24"/>
        </w:rPr>
        <w:t xml:space="preserve">Articulo 4.- </w:t>
      </w:r>
      <w:r w:rsidRPr="00832539">
        <w:rPr>
          <w:rFonts w:ascii="Arial" w:hAnsi="Arial" w:cs="Arial"/>
          <w:sz w:val="24"/>
          <w:szCs w:val="24"/>
        </w:rPr>
        <w:t xml:space="preserve">El presupuesto </w:t>
      </w:r>
      <w:r>
        <w:rPr>
          <w:rFonts w:ascii="Arial" w:hAnsi="Arial" w:cs="Arial"/>
          <w:sz w:val="24"/>
          <w:szCs w:val="24"/>
        </w:rPr>
        <w:t xml:space="preserve">aprobado para gastos de personal </w:t>
      </w:r>
      <w:r w:rsidRPr="00832539">
        <w:rPr>
          <w:rFonts w:ascii="Arial" w:hAnsi="Arial" w:cs="Arial"/>
          <w:sz w:val="24"/>
          <w:szCs w:val="24"/>
        </w:rPr>
        <w:t xml:space="preserve">se aprueba de acuerdo con la plantilla de cargos </w:t>
      </w:r>
      <w:r w:rsidR="00382CAB">
        <w:rPr>
          <w:rFonts w:ascii="Arial" w:hAnsi="Arial" w:cs="Arial"/>
          <w:sz w:val="24"/>
          <w:szCs w:val="24"/>
        </w:rPr>
        <w:t>presentada por</w:t>
      </w:r>
      <w:r w:rsidR="003F7053">
        <w:rPr>
          <w:rFonts w:ascii="Arial" w:hAnsi="Arial" w:cs="Arial"/>
          <w:sz w:val="24"/>
          <w:szCs w:val="24"/>
        </w:rPr>
        <w:t xml:space="preserve"> la Presidencia del </w:t>
      </w:r>
      <w:r w:rsidR="00382CAB">
        <w:rPr>
          <w:rFonts w:ascii="Arial" w:hAnsi="Arial" w:cs="Arial"/>
          <w:sz w:val="24"/>
          <w:szCs w:val="24"/>
        </w:rPr>
        <w:t>Tribunal de Justicia de la Comunidad Andin</w:t>
      </w:r>
      <w:r w:rsidR="002534E1">
        <w:rPr>
          <w:rFonts w:ascii="Arial" w:hAnsi="Arial" w:cs="Arial"/>
          <w:sz w:val="24"/>
          <w:szCs w:val="24"/>
        </w:rPr>
        <w:t xml:space="preserve">a, </w:t>
      </w:r>
      <w:r w:rsidRPr="00832539">
        <w:rPr>
          <w:rFonts w:ascii="Arial" w:hAnsi="Arial" w:cs="Arial"/>
          <w:sz w:val="24"/>
          <w:szCs w:val="24"/>
        </w:rPr>
        <w:t xml:space="preserve">que consta en el anexo </w:t>
      </w:r>
      <w:r>
        <w:rPr>
          <w:rFonts w:ascii="Arial" w:hAnsi="Arial" w:cs="Arial"/>
          <w:sz w:val="24"/>
          <w:szCs w:val="24"/>
        </w:rPr>
        <w:t>2</w:t>
      </w:r>
      <w:r w:rsidR="002534E1">
        <w:rPr>
          <w:rFonts w:ascii="Arial" w:hAnsi="Arial" w:cs="Arial"/>
          <w:sz w:val="24"/>
          <w:szCs w:val="24"/>
        </w:rPr>
        <w:t xml:space="preserve"> y</w:t>
      </w:r>
      <w:r w:rsidRPr="00832539">
        <w:rPr>
          <w:rFonts w:ascii="Arial" w:hAnsi="Arial" w:cs="Arial"/>
          <w:sz w:val="24"/>
          <w:szCs w:val="24"/>
        </w:rPr>
        <w:t xml:space="preserve"> que forma parte integrante de la </w:t>
      </w:r>
      <w:r w:rsidRPr="00E47635">
        <w:rPr>
          <w:rFonts w:ascii="Arial" w:hAnsi="Arial" w:cs="Arial"/>
          <w:sz w:val="24"/>
          <w:szCs w:val="24"/>
        </w:rPr>
        <w:t>presente Decisión</w:t>
      </w:r>
      <w:r w:rsidR="00E47635">
        <w:rPr>
          <w:rFonts w:ascii="Arial" w:hAnsi="Arial" w:cs="Arial"/>
          <w:sz w:val="24"/>
          <w:szCs w:val="24"/>
        </w:rPr>
        <w:t xml:space="preserve"> </w:t>
      </w:r>
      <w:r w:rsidR="00E47635" w:rsidRPr="00E47635">
        <w:rPr>
          <w:rFonts w:ascii="Arial" w:hAnsi="Arial" w:cs="Arial"/>
          <w:color w:val="201F1E"/>
          <w:sz w:val="24"/>
          <w:szCs w:val="24"/>
          <w:shd w:val="clear" w:color="auto" w:fill="FFFFFF"/>
        </w:rPr>
        <w:t>de conformidad con la propuesta contenida en el acta suscrita entre la Presidencia del Tribunal de Justicia de la Comunidad Andina y la Gerencia General de la Secretaría General de la Comunidad Andina.</w:t>
      </w:r>
    </w:p>
    <w:p w14:paraId="4903A4AB" w14:textId="06FDEC3B" w:rsidR="00C564A5" w:rsidRDefault="00C564A5" w:rsidP="00B92F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Art</w:t>
      </w:r>
      <w:r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í</w:t>
      </w: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culo 5.-</w:t>
      </w:r>
      <w:r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 </w:t>
      </w:r>
      <w:r w:rsidRPr="00C564A5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 xml:space="preserve">Se garantizan los </w:t>
      </w:r>
      <w:r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derechos adquiridos de los Magistrados con periodo vigente hasta culminar su vinculación,</w:t>
      </w:r>
      <w:r w:rsidR="002E6C27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 xml:space="preserve"> aplicando para </w:t>
      </w:r>
      <w:r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l</w:t>
      </w:r>
      <w:r w:rsidR="002E6C27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a</w:t>
      </w:r>
      <w:r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s nuev</w:t>
      </w:r>
      <w:r w:rsidR="002E6C27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a</w:t>
      </w:r>
      <w:r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 xml:space="preserve">s </w:t>
      </w:r>
      <w:r w:rsidR="002E6C27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vinculaciones los beneficios laborales determinados en el anexo 2 de la presente Decisión.</w:t>
      </w:r>
    </w:p>
    <w:p w14:paraId="5DB348C8" w14:textId="3ECAF8C4" w:rsidR="005549DB" w:rsidRDefault="005549DB" w:rsidP="00B92F3B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Art</w:t>
      </w:r>
      <w:r w:rsidR="008D2AD6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í</w:t>
      </w: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culo </w:t>
      </w:r>
      <w:r w:rsidR="002E6C27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6</w:t>
      </w: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.-</w:t>
      </w:r>
      <w:r w:rsidRPr="006310F6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Se autoriza a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l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Tribunal de </w:t>
      </w:r>
      <w:r w:rsidR="00140A85">
        <w:rPr>
          <w:rFonts w:ascii="Arial" w:eastAsia="Arial" w:hAnsi="Arial" w:cs="Arial"/>
          <w:color w:val="0E1115"/>
          <w:sz w:val="24"/>
          <w:szCs w:val="24"/>
          <w:lang w:val="es-PE"/>
        </w:rPr>
        <w:t>Justicia</w:t>
      </w:r>
      <w:r w:rsidR="00140A85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140A85">
        <w:rPr>
          <w:rFonts w:ascii="Arial" w:hAnsi="Arial" w:cs="Arial"/>
          <w:sz w:val="24"/>
          <w:szCs w:val="24"/>
          <w:lang w:val="es-ES"/>
        </w:rPr>
        <w:t>de la Comunidad Andina</w:t>
      </w:r>
      <w:r w:rsidR="00140A85" w:rsidRPr="00C60077">
        <w:rPr>
          <w:rFonts w:ascii="Arial" w:hAnsi="Arial" w:cs="Arial"/>
          <w:sz w:val="24"/>
          <w:szCs w:val="24"/>
          <w:lang w:val="es-ES"/>
        </w:rPr>
        <w:t xml:space="preserve">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para efectuar transferencias entre las </w:t>
      </w:r>
      <w:r w:rsidR="00140A85">
        <w:rPr>
          <w:rFonts w:ascii="Arial" w:eastAsia="Arial" w:hAnsi="Arial" w:cs="Arial"/>
          <w:color w:val="0E1115"/>
          <w:sz w:val="24"/>
          <w:szCs w:val="24"/>
          <w:lang w:val="es-PE"/>
        </w:rPr>
        <w:t>p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artidas </w:t>
      </w:r>
      <w:r w:rsidR="00140A85">
        <w:rPr>
          <w:rFonts w:ascii="Arial" w:eastAsia="Arial" w:hAnsi="Arial" w:cs="Arial"/>
          <w:color w:val="0E1115"/>
          <w:sz w:val="24"/>
          <w:szCs w:val="24"/>
          <w:lang w:val="es-PE"/>
        </w:rPr>
        <w:t>p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resupuestarias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en un monto que no supere el 10% (diez por ciento) del total del </w:t>
      </w:r>
      <w:r w:rsidR="00140A85">
        <w:rPr>
          <w:rFonts w:ascii="Arial" w:eastAsia="Arial" w:hAnsi="Arial" w:cs="Arial"/>
          <w:color w:val="0E1115"/>
          <w:sz w:val="24"/>
          <w:szCs w:val="24"/>
          <w:lang w:val="es-PE"/>
        </w:rPr>
        <w:t>p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resupuesto aprobado anexo a la presente Decisión. Si fuere necesario exceder dicho porcentaje,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el Tribunal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140A85">
        <w:rPr>
          <w:rFonts w:ascii="Arial" w:hAnsi="Arial" w:cs="Arial"/>
          <w:sz w:val="24"/>
          <w:szCs w:val="24"/>
          <w:lang w:val="es-ES"/>
        </w:rPr>
        <w:t>de la Comunidad Andina</w:t>
      </w:r>
      <w:r w:rsidR="00140A85" w:rsidRPr="00C60077">
        <w:rPr>
          <w:rFonts w:ascii="Arial" w:hAnsi="Arial" w:cs="Arial"/>
          <w:sz w:val="24"/>
          <w:szCs w:val="24"/>
          <w:lang w:val="es-ES"/>
        </w:rPr>
        <w:t xml:space="preserve">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deberá solicitar la autorización de la Comisión.</w:t>
      </w:r>
    </w:p>
    <w:p w14:paraId="601C59B1" w14:textId="35FCEECF" w:rsidR="005549DB" w:rsidRPr="005549DB" w:rsidRDefault="005549DB" w:rsidP="00B92F3B">
      <w:pPr>
        <w:spacing w:line="240" w:lineRule="auto"/>
        <w:jc w:val="both"/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</w:pPr>
      <w:r w:rsidRPr="002E1894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 w:rsidR="002E6C27">
        <w:rPr>
          <w:rFonts w:ascii="Arial" w:hAnsi="Arial" w:cs="Arial"/>
          <w:b/>
          <w:sz w:val="24"/>
          <w:szCs w:val="24"/>
          <w:lang w:val="es-ES"/>
        </w:rPr>
        <w:t>7</w:t>
      </w:r>
      <w:r w:rsidRPr="002E1894">
        <w:rPr>
          <w:rFonts w:ascii="Arial" w:hAnsi="Arial" w:cs="Arial"/>
          <w:b/>
          <w:sz w:val="24"/>
          <w:szCs w:val="24"/>
          <w:lang w:val="es-ES"/>
        </w:rPr>
        <w:t>.-</w:t>
      </w:r>
      <w:r w:rsidRPr="002E189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E</w:t>
      </w:r>
      <w:r w:rsidRPr="00032705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l</w:t>
      </w:r>
      <w:r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 xml:space="preserve"> Tribunal de Justicia </w:t>
      </w:r>
      <w:r w:rsidR="00140A85">
        <w:rPr>
          <w:rFonts w:ascii="Arial" w:hAnsi="Arial" w:cs="Arial"/>
          <w:sz w:val="24"/>
          <w:szCs w:val="24"/>
          <w:lang w:val="es-ES"/>
        </w:rPr>
        <w:t>de la Comunidad Andina</w:t>
      </w:r>
      <w:r w:rsidR="00140A85" w:rsidRPr="00C6007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no podrá hacer uso de los saldos no ejecutados de las vigencias anteriores ni de recursos que tenga disponibles sin previa autorización de la Comisión.</w:t>
      </w:r>
    </w:p>
    <w:p w14:paraId="41FC0523" w14:textId="46AC9524" w:rsidR="005549DB" w:rsidRPr="00AF6975" w:rsidRDefault="005549DB" w:rsidP="00B92F3B">
      <w:pPr>
        <w:spacing w:line="240" w:lineRule="auto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C60077"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 w:rsidR="002E6C27">
        <w:rPr>
          <w:rFonts w:ascii="Arial" w:hAnsi="Arial" w:cs="Arial"/>
          <w:b/>
          <w:sz w:val="24"/>
          <w:szCs w:val="24"/>
          <w:lang w:val="es-ES"/>
        </w:rPr>
        <w:t>8</w:t>
      </w:r>
      <w:r w:rsidRPr="00C60077">
        <w:rPr>
          <w:rFonts w:ascii="Arial" w:hAnsi="Arial" w:cs="Arial"/>
          <w:b/>
          <w:sz w:val="24"/>
          <w:szCs w:val="24"/>
          <w:lang w:val="es-ES"/>
        </w:rPr>
        <w:t>.-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Dentro de los 30 días siguientes al término de cada bimestre del año 202</w:t>
      </w:r>
      <w:r w:rsidR="00382CAB">
        <w:rPr>
          <w:rFonts w:ascii="Arial" w:eastAsia="Arial" w:hAnsi="Arial" w:cs="Arial"/>
          <w:color w:val="0E1115"/>
          <w:sz w:val="24"/>
          <w:szCs w:val="24"/>
          <w:lang w:val="es-PE"/>
        </w:rPr>
        <w:t>3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,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el Tribunal de Justicia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140A85">
        <w:rPr>
          <w:rFonts w:ascii="Arial" w:hAnsi="Arial" w:cs="Arial"/>
          <w:sz w:val="24"/>
          <w:szCs w:val="24"/>
          <w:lang w:val="es-ES"/>
        </w:rPr>
        <w:t>de la Comunidad Andina</w:t>
      </w:r>
      <w:r w:rsidR="00140A85" w:rsidRPr="00C60077">
        <w:rPr>
          <w:rFonts w:ascii="Arial" w:hAnsi="Arial" w:cs="Arial"/>
          <w:sz w:val="24"/>
          <w:szCs w:val="24"/>
          <w:lang w:val="es-ES"/>
        </w:rPr>
        <w:t xml:space="preserve">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presentará a la Comisión un informe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detallado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sobre el estado de la ejecución presupuestal, el mismo que debe incluir los ingresos y egresos propios de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l Tribunal.</w:t>
      </w:r>
    </w:p>
    <w:p w14:paraId="43CE923D" w14:textId="77777777" w:rsidR="0000685D" w:rsidRDefault="005549DB" w:rsidP="00B92F3B">
      <w:pPr>
        <w:spacing w:line="240" w:lineRule="auto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993E26">
        <w:rPr>
          <w:rFonts w:ascii="Arial" w:hAnsi="Arial"/>
          <w:b/>
          <w:sz w:val="24"/>
          <w:lang w:val="es-ES_tradnl"/>
        </w:rPr>
        <w:t xml:space="preserve">Artículo </w:t>
      </w:r>
      <w:r w:rsidR="002E6C27">
        <w:rPr>
          <w:rFonts w:ascii="Arial" w:hAnsi="Arial"/>
          <w:b/>
          <w:sz w:val="24"/>
          <w:lang w:val="es-ES_tradnl"/>
        </w:rPr>
        <w:t>9</w:t>
      </w:r>
      <w:r w:rsidRPr="00993E26">
        <w:rPr>
          <w:rFonts w:ascii="Arial" w:hAnsi="Arial"/>
          <w:b/>
          <w:sz w:val="24"/>
          <w:lang w:val="es-ES_tradnl"/>
        </w:rPr>
        <w:t>.-</w:t>
      </w:r>
      <w:r w:rsidRPr="00993E26">
        <w:rPr>
          <w:rFonts w:ascii="Arial" w:hAnsi="Arial"/>
          <w:sz w:val="24"/>
          <w:lang w:val="es-ES_tradnl"/>
        </w:rPr>
        <w:t xml:space="preserve"> </w:t>
      </w:r>
      <w:r w:rsidRPr="001A3E30">
        <w:rPr>
          <w:rFonts w:ascii="Arial" w:hAnsi="Arial" w:cs="Arial"/>
          <w:sz w:val="24"/>
          <w:szCs w:val="24"/>
          <w:lang w:val="es-ES"/>
        </w:rPr>
        <w:t xml:space="preserve">El Tribunal de Justicia de la Comunidad Andina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contratará la auditoría externa del ejercicio presupuestario a que se refiere esta Decisión, a través de un concurso entre firmas auditoras reconocidas, sobre la base de los términos de referencia que serán elaborados para tal fin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, </w:t>
      </w:r>
      <w:r w:rsidR="0000685D">
        <w:rPr>
          <w:rFonts w:ascii="Arial" w:eastAsia="Arial" w:hAnsi="Arial" w:cs="Arial"/>
          <w:color w:val="0E1115"/>
          <w:sz w:val="24"/>
          <w:szCs w:val="24"/>
          <w:lang w:val="es-PE"/>
        </w:rPr>
        <w:t>este informe será enviado a la Comisión a más tardar el 30 de abril del siguiente año.</w:t>
      </w:r>
    </w:p>
    <w:p w14:paraId="056F3FA7" w14:textId="500DFDCD" w:rsidR="005549DB" w:rsidRDefault="005549DB" w:rsidP="00B92F3B">
      <w:pPr>
        <w:spacing w:line="240" w:lineRule="auto"/>
        <w:jc w:val="both"/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</w:pPr>
      <w:r w:rsidRPr="004E62F5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lastRenderedPageBreak/>
        <w:t>Art</w:t>
      </w:r>
      <w:r w:rsidR="008D2AD6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í</w:t>
      </w:r>
      <w:r w:rsidRPr="004E62F5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 xml:space="preserve">culo </w:t>
      </w:r>
      <w:r w:rsidR="002E6C27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10</w:t>
      </w:r>
      <w:r w:rsidRPr="004E62F5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.-</w:t>
      </w:r>
      <w:r w:rsidRPr="005549DB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Los </w:t>
      </w:r>
      <w:r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saldos no ejecutados al 31 de diciembre de 2022</w:t>
      </w:r>
      <w:r w:rsidR="003438C6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 xml:space="preserve"> </w:t>
      </w:r>
      <w:r w:rsidR="002534E1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 xml:space="preserve">y </w:t>
      </w:r>
      <w:r w:rsidR="003438C6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recursos disponibles a la fecha</w:t>
      </w:r>
      <w:r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 xml:space="preserve">, </w:t>
      </w:r>
      <w:r w:rsidR="003438C6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 xml:space="preserve">deberán formar parte del </w:t>
      </w:r>
      <w:r w:rsidRPr="00032705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Fondo Financiero de Reserva</w:t>
      </w:r>
      <w:r w:rsidRPr="00832539">
        <w:rPr>
          <w:rFonts w:ascii="Arial" w:eastAsia="Arial" w:hAnsi="Arial" w:cs="Arial"/>
          <w:bCs/>
          <w:color w:val="0E1115"/>
          <w:sz w:val="24"/>
          <w:szCs w:val="24"/>
          <w:lang w:val="es-ES_tradnl"/>
        </w:rPr>
        <w:t>.</w:t>
      </w:r>
    </w:p>
    <w:p w14:paraId="514F7B2F" w14:textId="77777777" w:rsidR="004631E4" w:rsidRDefault="004631E4" w:rsidP="00B92F3B">
      <w:pPr>
        <w:spacing w:line="240" w:lineRule="auto"/>
        <w:jc w:val="center"/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>DISPOSICIÓN FINAL</w:t>
      </w:r>
    </w:p>
    <w:p w14:paraId="57E26D83" w14:textId="71FDF8CF" w:rsidR="004631E4" w:rsidRPr="0020037A" w:rsidRDefault="004631E4" w:rsidP="00B92F3B">
      <w:pPr>
        <w:spacing w:line="240" w:lineRule="auto"/>
        <w:jc w:val="both"/>
        <w:rPr>
          <w:rFonts w:ascii="Arial" w:eastAsia="Arial" w:hAnsi="Arial" w:cs="Arial"/>
          <w:color w:val="0E11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Artículo 11.- </w:t>
      </w:r>
      <w:r w:rsidRPr="008B4A24">
        <w:rPr>
          <w:rFonts w:ascii="Arial" w:eastAsia="Arial" w:hAnsi="Arial" w:cs="Arial"/>
          <w:color w:val="0E1115"/>
          <w:sz w:val="24"/>
          <w:szCs w:val="24"/>
        </w:rPr>
        <w:t>La presente Decisión entrará en vigencia</w:t>
      </w:r>
      <w:r>
        <w:rPr>
          <w:rFonts w:ascii="Arial" w:eastAsia="Arial" w:hAnsi="Arial" w:cs="Arial"/>
          <w:color w:val="0E1115"/>
          <w:sz w:val="24"/>
          <w:szCs w:val="24"/>
        </w:rPr>
        <w:t xml:space="preserve"> a partir de</w:t>
      </w:r>
      <w:r w:rsidRPr="008B4A24">
        <w:rPr>
          <w:rFonts w:ascii="Arial" w:hAnsi="Arial" w:cs="Arial"/>
        </w:rPr>
        <w:t xml:space="preserve"> </w:t>
      </w:r>
      <w:r w:rsidRPr="00EB0922">
        <w:rPr>
          <w:rFonts w:ascii="Arial" w:eastAsia="Arial" w:hAnsi="Arial" w:cs="Arial"/>
          <w:color w:val="0E1115"/>
          <w:sz w:val="24"/>
          <w:szCs w:val="24"/>
        </w:rPr>
        <w:t>la fecha de su publicación en la Gaceta Oficial del Acuerdo de Cartagena.</w:t>
      </w:r>
    </w:p>
    <w:p w14:paraId="26D3DAA9" w14:textId="457E306A" w:rsidR="007D612E" w:rsidRDefault="00150301" w:rsidP="00B92F3B">
      <w:pPr>
        <w:spacing w:line="240" w:lineRule="auto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EE7048">
        <w:rPr>
          <w:rFonts w:ascii="Arial" w:hAnsi="Arial" w:cs="Arial"/>
          <w:sz w:val="24"/>
          <w:szCs w:val="24"/>
          <w:lang w:val="es-ES"/>
        </w:rPr>
        <w:t xml:space="preserve">Dada en la ciudad de Lima, Perú, </w:t>
      </w:r>
      <w:r w:rsidR="00B92F3B">
        <w:rPr>
          <w:rFonts w:ascii="Arial" w:eastAsia="Arial" w:hAnsi="Arial" w:cs="Arial"/>
          <w:color w:val="0E1115"/>
          <w:sz w:val="24"/>
          <w:szCs w:val="24"/>
          <w:lang w:val="es-PE"/>
        </w:rPr>
        <w:t>a los catorce</w:t>
      </w:r>
      <w:r w:rsidR="002D292C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días del mes </w:t>
      </w:r>
      <w:r w:rsidR="002D292C">
        <w:rPr>
          <w:rFonts w:ascii="Arial" w:eastAsia="Arial" w:hAnsi="Arial" w:cs="Arial"/>
          <w:color w:val="0E1115"/>
          <w:sz w:val="24"/>
          <w:szCs w:val="24"/>
          <w:lang w:val="es-PE"/>
        </w:rPr>
        <w:t>de</w:t>
      </w:r>
      <w:r w:rsidR="00B92F3B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julio</w:t>
      </w:r>
      <w:r w:rsidR="002D292C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="00B92F3B">
        <w:rPr>
          <w:rFonts w:ascii="Arial" w:eastAsia="Arial" w:hAnsi="Arial" w:cs="Arial"/>
          <w:color w:val="0E1115"/>
          <w:sz w:val="24"/>
          <w:szCs w:val="24"/>
          <w:lang w:val="es-PE"/>
        </w:rPr>
        <w:t>d</w:t>
      </w:r>
      <w:r w:rsidR="002D292C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el año dos mil </w:t>
      </w:r>
      <w:r w:rsidR="002D292C">
        <w:rPr>
          <w:rFonts w:ascii="Arial" w:eastAsia="Arial" w:hAnsi="Arial" w:cs="Arial"/>
          <w:color w:val="0E1115"/>
          <w:sz w:val="24"/>
          <w:szCs w:val="24"/>
          <w:lang w:val="es-PE"/>
        </w:rPr>
        <w:t>veintidós</w:t>
      </w:r>
      <w:r w:rsidR="002D292C"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</w:p>
    <w:p w14:paraId="433EDA67" w14:textId="77777777" w:rsidR="00B92F3B" w:rsidRDefault="00B92F3B" w:rsidP="00B92F3B">
      <w:pPr>
        <w:spacing w:line="240" w:lineRule="auto"/>
        <w:jc w:val="center"/>
        <w:rPr>
          <w:rFonts w:ascii="Arial" w:eastAsia="Arial" w:hAnsi="Arial" w:cs="Arial"/>
          <w:color w:val="0E1115"/>
          <w:sz w:val="24"/>
          <w:szCs w:val="24"/>
          <w:lang w:val="es-PE"/>
        </w:rPr>
      </w:pPr>
    </w:p>
    <w:p w14:paraId="15142070" w14:textId="14275043" w:rsidR="00B92F3B" w:rsidRDefault="00B92F3B" w:rsidP="00B92F3B">
      <w:pPr>
        <w:spacing w:line="240" w:lineRule="auto"/>
        <w:jc w:val="center"/>
        <w:rPr>
          <w:rFonts w:ascii="Arial" w:hAnsi="Arial"/>
          <w:b/>
          <w:lang w:val="es-PE"/>
        </w:rPr>
      </w:pPr>
      <w:r>
        <w:rPr>
          <w:rFonts w:ascii="Arial" w:eastAsia="Arial" w:hAnsi="Arial" w:cs="Arial"/>
          <w:color w:val="0E1115"/>
          <w:sz w:val="24"/>
          <w:szCs w:val="24"/>
          <w:lang w:val="es-PE"/>
        </w:rPr>
        <w:t>****</w:t>
      </w:r>
    </w:p>
    <w:p w14:paraId="3985745F" w14:textId="77777777" w:rsidR="007D612E" w:rsidRDefault="007D612E">
      <w:pPr>
        <w:spacing w:after="0" w:line="240" w:lineRule="auto"/>
        <w:rPr>
          <w:rFonts w:ascii="Arial" w:hAnsi="Arial"/>
          <w:b/>
          <w:lang w:val="es-PE"/>
        </w:rPr>
      </w:pPr>
      <w:r>
        <w:rPr>
          <w:rFonts w:ascii="Arial" w:hAnsi="Arial"/>
          <w:b/>
          <w:lang w:val="es-PE"/>
        </w:rPr>
        <w:br w:type="page"/>
      </w:r>
    </w:p>
    <w:p w14:paraId="3DED5B0D" w14:textId="1CCA0122" w:rsidR="00416B4C" w:rsidRDefault="004B1AE1" w:rsidP="007D612E">
      <w:pPr>
        <w:jc w:val="both"/>
        <w:rPr>
          <w:rFonts w:ascii="Arial" w:hAnsi="Arial"/>
          <w:b/>
          <w:lang w:val="es-PE"/>
        </w:rPr>
      </w:pPr>
      <w:r w:rsidRPr="004B1AE1">
        <w:rPr>
          <w:noProof/>
          <w:lang w:val="es-PE" w:eastAsia="es-PE"/>
        </w:rPr>
        <w:lastRenderedPageBreak/>
        <w:drawing>
          <wp:anchor distT="0" distB="0" distL="114300" distR="114300" simplePos="0" relativeHeight="251661312" behindDoc="0" locked="0" layoutInCell="1" allowOverlap="1" wp14:anchorId="7E36282E" wp14:editId="412F1C4A">
            <wp:simplePos x="0" y="0"/>
            <wp:positionH relativeFrom="column">
              <wp:posOffset>-548005</wp:posOffset>
            </wp:positionH>
            <wp:positionV relativeFrom="paragraph">
              <wp:posOffset>0</wp:posOffset>
            </wp:positionV>
            <wp:extent cx="6830060" cy="7990840"/>
            <wp:effectExtent l="0" t="0" r="889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CC375" w14:textId="754AE7D9" w:rsidR="00BC6F7F" w:rsidRDefault="00BC6F7F" w:rsidP="007D612E">
      <w:pPr>
        <w:jc w:val="both"/>
        <w:rPr>
          <w:rFonts w:ascii="Arial" w:hAnsi="Arial"/>
          <w:b/>
          <w:lang w:val="es-PE"/>
        </w:rPr>
      </w:pPr>
    </w:p>
    <w:p w14:paraId="55AD78BA" w14:textId="52248A07" w:rsidR="003A0004" w:rsidRDefault="003A0004" w:rsidP="007D612E">
      <w:pPr>
        <w:jc w:val="both"/>
        <w:rPr>
          <w:rFonts w:ascii="Arial" w:hAnsi="Arial"/>
          <w:b/>
          <w:lang w:val="es-PE"/>
        </w:rPr>
      </w:pPr>
    </w:p>
    <w:p w14:paraId="725DE239" w14:textId="5ED00994" w:rsidR="00416B4C" w:rsidRDefault="003A0004" w:rsidP="007D612E">
      <w:pPr>
        <w:jc w:val="both"/>
        <w:rPr>
          <w:rFonts w:ascii="Arial" w:hAnsi="Arial"/>
          <w:b/>
          <w:lang w:val="es-PE"/>
        </w:rPr>
      </w:pPr>
      <w:r w:rsidRPr="004B1AE1"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14445446" wp14:editId="1DDADFF6">
            <wp:simplePos x="0" y="0"/>
            <wp:positionH relativeFrom="column">
              <wp:posOffset>-556260</wp:posOffset>
            </wp:positionH>
            <wp:positionV relativeFrom="paragraph">
              <wp:posOffset>171450</wp:posOffset>
            </wp:positionV>
            <wp:extent cx="6861810" cy="715327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DD3B7" w14:textId="77777777" w:rsidR="004B1AE1" w:rsidRDefault="004B1AE1" w:rsidP="007D11EB">
      <w:pPr>
        <w:jc w:val="center"/>
        <w:rPr>
          <w:rFonts w:ascii="Arial" w:hAnsi="Arial"/>
          <w:b/>
          <w:lang w:val="es-PE"/>
        </w:rPr>
      </w:pPr>
    </w:p>
    <w:p w14:paraId="464C7BBE" w14:textId="77777777" w:rsidR="009D201A" w:rsidRDefault="009D201A" w:rsidP="007D11EB">
      <w:pPr>
        <w:jc w:val="center"/>
        <w:rPr>
          <w:rFonts w:ascii="Arial" w:hAnsi="Arial"/>
          <w:b/>
          <w:lang w:val="es-PE"/>
        </w:rPr>
      </w:pPr>
    </w:p>
    <w:p w14:paraId="0804BACC" w14:textId="77777777" w:rsidR="009D201A" w:rsidRDefault="009D201A" w:rsidP="007D11EB">
      <w:pPr>
        <w:jc w:val="center"/>
        <w:rPr>
          <w:rFonts w:ascii="Arial" w:hAnsi="Arial"/>
          <w:b/>
          <w:lang w:val="es-PE"/>
        </w:rPr>
      </w:pPr>
    </w:p>
    <w:p w14:paraId="2F71B27A" w14:textId="71B62487" w:rsidR="007D11EB" w:rsidRDefault="007D11EB" w:rsidP="007D11EB">
      <w:pPr>
        <w:jc w:val="center"/>
        <w:rPr>
          <w:rFonts w:ascii="Arial" w:hAnsi="Arial"/>
          <w:b/>
          <w:lang w:val="es-PE"/>
        </w:rPr>
      </w:pPr>
      <w:r>
        <w:rPr>
          <w:rFonts w:ascii="Arial" w:hAnsi="Arial"/>
          <w:b/>
          <w:lang w:val="es-PE"/>
        </w:rPr>
        <w:t>ANEXO 2</w:t>
      </w:r>
    </w:p>
    <w:p w14:paraId="1C17C834" w14:textId="475D2124" w:rsidR="007D11EB" w:rsidRDefault="009D201A" w:rsidP="007D11EB">
      <w:pPr>
        <w:jc w:val="center"/>
        <w:rPr>
          <w:rFonts w:ascii="Arial" w:hAnsi="Arial"/>
          <w:b/>
          <w:lang w:val="es-PE"/>
        </w:rPr>
      </w:pPr>
      <w:r w:rsidRPr="009D201A">
        <w:rPr>
          <w:noProof/>
          <w:lang w:val="es-PE" w:eastAsia="es-PE"/>
        </w:rPr>
        <w:drawing>
          <wp:inline distT="0" distB="0" distL="0" distR="0" wp14:anchorId="0475BE2E" wp14:editId="170ECC19">
            <wp:extent cx="5850890" cy="2868295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4F3F" w14:textId="3C9E57EC" w:rsidR="002B6B02" w:rsidRDefault="003175E7" w:rsidP="007D11EB">
      <w:pPr>
        <w:jc w:val="center"/>
        <w:rPr>
          <w:rFonts w:ascii="Arial" w:hAnsi="Arial"/>
          <w:b/>
          <w:lang w:val="es-PE"/>
        </w:rPr>
      </w:pPr>
      <w:r w:rsidRPr="004F5A08">
        <w:rPr>
          <w:rFonts w:ascii="Garamond" w:hAnsi="Garamond"/>
          <w:noProof/>
          <w:sz w:val="28"/>
          <w:szCs w:val="28"/>
          <w:lang w:val="es-PE" w:eastAsia="es-PE"/>
        </w:rPr>
        <w:drawing>
          <wp:inline distT="0" distB="0" distL="0" distR="0" wp14:anchorId="219FBF2B" wp14:editId="0875A493">
            <wp:extent cx="3181350" cy="8096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0432" w14:textId="61A98487" w:rsidR="007D11EB" w:rsidRDefault="007D11EB" w:rsidP="007D11EB">
      <w:pPr>
        <w:jc w:val="center"/>
        <w:rPr>
          <w:rFonts w:ascii="Arial" w:hAnsi="Arial"/>
          <w:b/>
          <w:lang w:val="es-PE"/>
        </w:rPr>
      </w:pPr>
      <w:r w:rsidRPr="007D11EB">
        <w:rPr>
          <w:noProof/>
          <w:lang w:val="es-PE" w:eastAsia="es-PE"/>
        </w:rPr>
        <w:drawing>
          <wp:inline distT="0" distB="0" distL="0" distR="0" wp14:anchorId="3B72CD0A" wp14:editId="1832CD8A">
            <wp:extent cx="5495925" cy="1809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1E76" w14:textId="67CE79A9" w:rsidR="007D11EB" w:rsidRDefault="007D11EB" w:rsidP="007D11EB">
      <w:pPr>
        <w:jc w:val="center"/>
      </w:pPr>
    </w:p>
    <w:p w14:paraId="771E3AA8" w14:textId="00DC1321" w:rsidR="008F03E0" w:rsidRDefault="008F03E0" w:rsidP="007D11EB">
      <w:pPr>
        <w:jc w:val="center"/>
        <w:rPr>
          <w:rFonts w:ascii="Arial" w:hAnsi="Arial"/>
          <w:b/>
          <w:lang w:val="es-PE"/>
        </w:rPr>
      </w:pPr>
      <w:r w:rsidRPr="008F03E0">
        <w:rPr>
          <w:noProof/>
          <w:lang w:val="es-PE" w:eastAsia="es-PE"/>
        </w:rPr>
        <w:drawing>
          <wp:inline distT="0" distB="0" distL="0" distR="0" wp14:anchorId="381F51A3" wp14:editId="1B5E046A">
            <wp:extent cx="3757808" cy="857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62" cy="85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8A72" w14:textId="6289E665" w:rsidR="008F03E0" w:rsidRDefault="008F03E0" w:rsidP="007D11EB">
      <w:pPr>
        <w:jc w:val="center"/>
        <w:rPr>
          <w:rFonts w:ascii="Arial" w:hAnsi="Arial"/>
          <w:b/>
          <w:lang w:val="es-PE"/>
        </w:rPr>
      </w:pPr>
    </w:p>
    <w:p w14:paraId="5F5891C2" w14:textId="303429F3" w:rsidR="008F03E0" w:rsidRDefault="00C15290" w:rsidP="007D11EB">
      <w:pPr>
        <w:jc w:val="center"/>
        <w:rPr>
          <w:rFonts w:ascii="Arial" w:hAnsi="Arial"/>
          <w:b/>
          <w:lang w:val="es-PE"/>
        </w:rPr>
      </w:pPr>
      <w:r w:rsidRPr="00C15290">
        <w:rPr>
          <w:noProof/>
          <w:lang w:val="es-PE" w:eastAsia="es-PE"/>
        </w:rPr>
        <w:drawing>
          <wp:inline distT="0" distB="0" distL="0" distR="0" wp14:anchorId="399FC059" wp14:editId="3B2F9A3A">
            <wp:extent cx="3244789" cy="1943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18" cy="19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E9CE" w14:textId="4EE4CA25" w:rsidR="007D11EB" w:rsidRDefault="00F3085E" w:rsidP="00382CAB">
      <w:pPr>
        <w:jc w:val="center"/>
        <w:rPr>
          <w:rFonts w:ascii="Arial" w:hAnsi="Arial"/>
          <w:b/>
          <w:lang w:val="es-PE"/>
        </w:rPr>
      </w:pPr>
      <w:r w:rsidRPr="00F3085E">
        <w:rPr>
          <w:noProof/>
          <w:lang w:val="es-PE" w:eastAsia="es-PE"/>
        </w:rPr>
        <w:drawing>
          <wp:inline distT="0" distB="0" distL="0" distR="0" wp14:anchorId="498E1D04" wp14:editId="283330D3">
            <wp:extent cx="3228975" cy="17335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414C" w14:textId="77777777" w:rsidR="00382CAB" w:rsidRPr="007D612E" w:rsidRDefault="00382CAB" w:rsidP="00382CAB">
      <w:pPr>
        <w:jc w:val="center"/>
        <w:rPr>
          <w:rFonts w:ascii="Arial" w:hAnsi="Arial"/>
          <w:b/>
          <w:lang w:val="es-PE"/>
        </w:rPr>
      </w:pPr>
    </w:p>
    <w:sectPr w:rsidR="00382CAB" w:rsidRPr="007D612E" w:rsidSect="008A46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84C8" w14:textId="77777777" w:rsidR="00EF15BE" w:rsidRDefault="00EF15BE" w:rsidP="00165B8D">
      <w:pPr>
        <w:spacing w:after="0" w:line="240" w:lineRule="auto"/>
      </w:pPr>
      <w:r>
        <w:separator/>
      </w:r>
    </w:p>
  </w:endnote>
  <w:endnote w:type="continuationSeparator" w:id="0">
    <w:p w14:paraId="4580A7AE" w14:textId="77777777" w:rsidR="00EF15BE" w:rsidRDefault="00EF15BE" w:rsidP="0016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754F" w14:textId="77777777" w:rsidR="00467E6F" w:rsidRDefault="00467E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62F6C18F" w14:textId="17FFBC63" w:rsidR="007A182B" w:rsidRPr="00467E6F" w:rsidRDefault="00D30A1C">
    <w:pPr>
      <w:pStyle w:val="Piedepgina"/>
      <w:jc w:val="center"/>
      <w:rPr>
        <w:rFonts w:asciiTheme="minorHAnsi" w:hAnsiTheme="minorHAnsi" w:cstheme="minorHAnsi"/>
      </w:rPr>
    </w:pPr>
    <w:r w:rsidRPr="00467E6F">
      <w:rPr>
        <w:rFonts w:asciiTheme="minorHAnsi" w:hAnsiTheme="minorHAnsi" w:cstheme="minorHAnsi"/>
      </w:rPr>
      <w:fldChar w:fldCharType="begin"/>
    </w:r>
    <w:r w:rsidR="00802E3D" w:rsidRPr="00467E6F">
      <w:rPr>
        <w:rFonts w:asciiTheme="minorHAnsi" w:hAnsiTheme="minorHAnsi" w:cstheme="minorHAnsi"/>
      </w:rPr>
      <w:instrText>PAGE</w:instrText>
    </w:r>
    <w:r w:rsidR="007A182B" w:rsidRPr="00467E6F">
      <w:rPr>
        <w:rFonts w:asciiTheme="minorHAnsi" w:hAnsiTheme="minorHAnsi" w:cstheme="minorHAnsi"/>
      </w:rPr>
      <w:instrText xml:space="preserve">   \* MERGEFORMAT</w:instrText>
    </w:r>
    <w:r w:rsidRPr="00467E6F">
      <w:rPr>
        <w:rFonts w:asciiTheme="minorHAnsi" w:hAnsiTheme="minorHAnsi" w:cstheme="minorHAnsi"/>
      </w:rPr>
      <w:fldChar w:fldCharType="separate"/>
    </w:r>
    <w:r w:rsidR="00467E6F" w:rsidRPr="00467E6F">
      <w:rPr>
        <w:rFonts w:asciiTheme="minorHAnsi" w:hAnsiTheme="minorHAnsi" w:cstheme="minorHAnsi"/>
        <w:noProof/>
        <w:lang w:val="es-ES"/>
      </w:rPr>
      <w:t>2</w:t>
    </w:r>
    <w:r w:rsidRPr="00467E6F">
      <w:rPr>
        <w:rFonts w:asciiTheme="minorHAnsi" w:hAnsiTheme="minorHAnsi" w:cstheme="minorHAnsi"/>
      </w:rPr>
      <w:fldChar w:fldCharType="end"/>
    </w:r>
  </w:p>
  <w:bookmarkEnd w:id="0"/>
  <w:p w14:paraId="2F6C6D8E" w14:textId="77777777" w:rsidR="007A182B" w:rsidRDefault="007A18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E56E" w14:textId="5D7E1EA2" w:rsidR="00467E6F" w:rsidRPr="00467E6F" w:rsidRDefault="00467E6F">
    <w:pPr>
      <w:pStyle w:val="Piedepgina"/>
      <w:jc w:val="center"/>
      <w:rPr>
        <w:caps/>
        <w:color w:val="000000" w:themeColor="text1"/>
      </w:rPr>
    </w:pPr>
    <w:r w:rsidRPr="00467E6F">
      <w:rPr>
        <w:caps/>
        <w:color w:val="000000" w:themeColor="text1"/>
      </w:rPr>
      <w:fldChar w:fldCharType="begin"/>
    </w:r>
    <w:r w:rsidRPr="00467E6F">
      <w:rPr>
        <w:caps/>
        <w:color w:val="000000" w:themeColor="text1"/>
      </w:rPr>
      <w:instrText>PAGE   \* MERGEFORMAT</w:instrText>
    </w:r>
    <w:r w:rsidRPr="00467E6F">
      <w:rPr>
        <w:caps/>
        <w:color w:val="000000" w:themeColor="text1"/>
      </w:rPr>
      <w:fldChar w:fldCharType="separate"/>
    </w:r>
    <w:r w:rsidRPr="00467E6F">
      <w:rPr>
        <w:caps/>
        <w:noProof/>
        <w:color w:val="000000" w:themeColor="text1"/>
        <w:lang w:val="es-ES"/>
      </w:rPr>
      <w:t>1</w:t>
    </w:r>
    <w:r w:rsidRPr="00467E6F">
      <w:rPr>
        <w:caps/>
        <w:color w:val="000000" w:themeColor="text1"/>
      </w:rPr>
      <w:fldChar w:fldCharType="end"/>
    </w:r>
  </w:p>
  <w:p w14:paraId="001700E3" w14:textId="77777777" w:rsidR="00467E6F" w:rsidRDefault="00467E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3384" w14:textId="77777777" w:rsidR="00EF15BE" w:rsidRDefault="00EF15BE" w:rsidP="00165B8D">
      <w:pPr>
        <w:spacing w:after="0" w:line="240" w:lineRule="auto"/>
      </w:pPr>
      <w:r>
        <w:separator/>
      </w:r>
    </w:p>
  </w:footnote>
  <w:footnote w:type="continuationSeparator" w:id="0">
    <w:p w14:paraId="39D440B5" w14:textId="77777777" w:rsidR="00EF15BE" w:rsidRDefault="00EF15BE" w:rsidP="0016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61D3" w14:textId="77777777" w:rsidR="00467E6F" w:rsidRDefault="00467E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DD00" w14:textId="77777777" w:rsidR="00467E6F" w:rsidRDefault="00467E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E425" w14:textId="77777777" w:rsidR="00467E6F" w:rsidRDefault="00467E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684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50"/>
    <w:rsid w:val="0000685D"/>
    <w:rsid w:val="00021804"/>
    <w:rsid w:val="00083DBB"/>
    <w:rsid w:val="0009134F"/>
    <w:rsid w:val="000A2F5A"/>
    <w:rsid w:val="000A616D"/>
    <w:rsid w:val="000B55A4"/>
    <w:rsid w:val="000C46E8"/>
    <w:rsid w:val="000D0D0A"/>
    <w:rsid w:val="000E41C1"/>
    <w:rsid w:val="001278C7"/>
    <w:rsid w:val="001326ED"/>
    <w:rsid w:val="001340F0"/>
    <w:rsid w:val="00137689"/>
    <w:rsid w:val="00140A84"/>
    <w:rsid w:val="00140A85"/>
    <w:rsid w:val="00150301"/>
    <w:rsid w:val="00163916"/>
    <w:rsid w:val="00165B8D"/>
    <w:rsid w:val="00183E9D"/>
    <w:rsid w:val="001A242B"/>
    <w:rsid w:val="001B1FEA"/>
    <w:rsid w:val="001B5F7C"/>
    <w:rsid w:val="001B64DF"/>
    <w:rsid w:val="001D5086"/>
    <w:rsid w:val="001D6817"/>
    <w:rsid w:val="001D6F67"/>
    <w:rsid w:val="001E0064"/>
    <w:rsid w:val="001E095D"/>
    <w:rsid w:val="001E3382"/>
    <w:rsid w:val="001E7FC3"/>
    <w:rsid w:val="001F490B"/>
    <w:rsid w:val="0020037A"/>
    <w:rsid w:val="002534E1"/>
    <w:rsid w:val="00263743"/>
    <w:rsid w:val="00283772"/>
    <w:rsid w:val="00286CE6"/>
    <w:rsid w:val="00296E38"/>
    <w:rsid w:val="002971B9"/>
    <w:rsid w:val="00297A85"/>
    <w:rsid w:val="002B1ED6"/>
    <w:rsid w:val="002B6B02"/>
    <w:rsid w:val="002B7340"/>
    <w:rsid w:val="002D292C"/>
    <w:rsid w:val="002E1894"/>
    <w:rsid w:val="002E6C27"/>
    <w:rsid w:val="00311375"/>
    <w:rsid w:val="003175E7"/>
    <w:rsid w:val="00317DC4"/>
    <w:rsid w:val="00322245"/>
    <w:rsid w:val="00330B04"/>
    <w:rsid w:val="003424F8"/>
    <w:rsid w:val="003438C6"/>
    <w:rsid w:val="00365DDF"/>
    <w:rsid w:val="0038047A"/>
    <w:rsid w:val="00382CAB"/>
    <w:rsid w:val="003A0004"/>
    <w:rsid w:val="003A0DF1"/>
    <w:rsid w:val="003A1142"/>
    <w:rsid w:val="003B09D8"/>
    <w:rsid w:val="003D1D3E"/>
    <w:rsid w:val="003F7053"/>
    <w:rsid w:val="00416B4C"/>
    <w:rsid w:val="00426F03"/>
    <w:rsid w:val="00427934"/>
    <w:rsid w:val="00460854"/>
    <w:rsid w:val="004631E4"/>
    <w:rsid w:val="00465E50"/>
    <w:rsid w:val="00467E6F"/>
    <w:rsid w:val="00496E60"/>
    <w:rsid w:val="004A3B0F"/>
    <w:rsid w:val="004B1AE1"/>
    <w:rsid w:val="004B6365"/>
    <w:rsid w:val="004E540A"/>
    <w:rsid w:val="004E62F5"/>
    <w:rsid w:val="00533453"/>
    <w:rsid w:val="00541E13"/>
    <w:rsid w:val="005449F9"/>
    <w:rsid w:val="00551764"/>
    <w:rsid w:val="005549DB"/>
    <w:rsid w:val="00561711"/>
    <w:rsid w:val="0056723F"/>
    <w:rsid w:val="00570A88"/>
    <w:rsid w:val="0057278B"/>
    <w:rsid w:val="0058206A"/>
    <w:rsid w:val="0059139B"/>
    <w:rsid w:val="00597FC6"/>
    <w:rsid w:val="005B5410"/>
    <w:rsid w:val="005C511D"/>
    <w:rsid w:val="005C5DF3"/>
    <w:rsid w:val="005D5B4F"/>
    <w:rsid w:val="005F652E"/>
    <w:rsid w:val="006310F6"/>
    <w:rsid w:val="006562CF"/>
    <w:rsid w:val="006964F4"/>
    <w:rsid w:val="006A0B13"/>
    <w:rsid w:val="006A7D95"/>
    <w:rsid w:val="006B62AC"/>
    <w:rsid w:val="006C7C11"/>
    <w:rsid w:val="006D08A1"/>
    <w:rsid w:val="006E73AF"/>
    <w:rsid w:val="006F5D6A"/>
    <w:rsid w:val="00734755"/>
    <w:rsid w:val="00736C1C"/>
    <w:rsid w:val="007623B3"/>
    <w:rsid w:val="00772F46"/>
    <w:rsid w:val="007A182B"/>
    <w:rsid w:val="007B1EAC"/>
    <w:rsid w:val="007C5896"/>
    <w:rsid w:val="007D11EB"/>
    <w:rsid w:val="007D4B3B"/>
    <w:rsid w:val="007D612E"/>
    <w:rsid w:val="007E2101"/>
    <w:rsid w:val="007E6C35"/>
    <w:rsid w:val="007F3BE9"/>
    <w:rsid w:val="00802E3D"/>
    <w:rsid w:val="00812B5D"/>
    <w:rsid w:val="00825C3A"/>
    <w:rsid w:val="00830397"/>
    <w:rsid w:val="00835508"/>
    <w:rsid w:val="008442FD"/>
    <w:rsid w:val="0088016F"/>
    <w:rsid w:val="008A4665"/>
    <w:rsid w:val="008C3D50"/>
    <w:rsid w:val="008C60E7"/>
    <w:rsid w:val="008D2AD6"/>
    <w:rsid w:val="008D618E"/>
    <w:rsid w:val="008F03E0"/>
    <w:rsid w:val="008F5FF2"/>
    <w:rsid w:val="009055A2"/>
    <w:rsid w:val="00917175"/>
    <w:rsid w:val="00935C23"/>
    <w:rsid w:val="009510E0"/>
    <w:rsid w:val="0095127C"/>
    <w:rsid w:val="009549ED"/>
    <w:rsid w:val="009648F7"/>
    <w:rsid w:val="00996292"/>
    <w:rsid w:val="009C2174"/>
    <w:rsid w:val="009D201A"/>
    <w:rsid w:val="009D4F96"/>
    <w:rsid w:val="00A11DB1"/>
    <w:rsid w:val="00A2614A"/>
    <w:rsid w:val="00A335CB"/>
    <w:rsid w:val="00A477B2"/>
    <w:rsid w:val="00A84934"/>
    <w:rsid w:val="00A93B01"/>
    <w:rsid w:val="00A94773"/>
    <w:rsid w:val="00AA78CE"/>
    <w:rsid w:val="00AB1115"/>
    <w:rsid w:val="00AC22C9"/>
    <w:rsid w:val="00AC36AC"/>
    <w:rsid w:val="00AC4DC3"/>
    <w:rsid w:val="00AE7841"/>
    <w:rsid w:val="00B25903"/>
    <w:rsid w:val="00B414F7"/>
    <w:rsid w:val="00B46F55"/>
    <w:rsid w:val="00B47BC2"/>
    <w:rsid w:val="00B568E5"/>
    <w:rsid w:val="00B67165"/>
    <w:rsid w:val="00B8029F"/>
    <w:rsid w:val="00B92F3B"/>
    <w:rsid w:val="00B956C2"/>
    <w:rsid w:val="00BB538A"/>
    <w:rsid w:val="00BC6F7F"/>
    <w:rsid w:val="00BD26CC"/>
    <w:rsid w:val="00BD4819"/>
    <w:rsid w:val="00BD7735"/>
    <w:rsid w:val="00BE2A93"/>
    <w:rsid w:val="00BF4187"/>
    <w:rsid w:val="00C15290"/>
    <w:rsid w:val="00C33345"/>
    <w:rsid w:val="00C43E1D"/>
    <w:rsid w:val="00C54D25"/>
    <w:rsid w:val="00C564A5"/>
    <w:rsid w:val="00C60077"/>
    <w:rsid w:val="00C6725E"/>
    <w:rsid w:val="00C71363"/>
    <w:rsid w:val="00C75AF4"/>
    <w:rsid w:val="00C970C1"/>
    <w:rsid w:val="00CA7AF5"/>
    <w:rsid w:val="00CB5451"/>
    <w:rsid w:val="00CF1183"/>
    <w:rsid w:val="00D1619D"/>
    <w:rsid w:val="00D16CEE"/>
    <w:rsid w:val="00D30A1C"/>
    <w:rsid w:val="00D312FF"/>
    <w:rsid w:val="00D35ED9"/>
    <w:rsid w:val="00D376B7"/>
    <w:rsid w:val="00D81639"/>
    <w:rsid w:val="00D82FB2"/>
    <w:rsid w:val="00D8428F"/>
    <w:rsid w:val="00D872B0"/>
    <w:rsid w:val="00D87B8F"/>
    <w:rsid w:val="00DB295B"/>
    <w:rsid w:val="00DB63C5"/>
    <w:rsid w:val="00DD3E1E"/>
    <w:rsid w:val="00DD74A4"/>
    <w:rsid w:val="00DF2C1C"/>
    <w:rsid w:val="00E303C3"/>
    <w:rsid w:val="00E31DCE"/>
    <w:rsid w:val="00E34AA4"/>
    <w:rsid w:val="00E47635"/>
    <w:rsid w:val="00E535BC"/>
    <w:rsid w:val="00E5749D"/>
    <w:rsid w:val="00E666C7"/>
    <w:rsid w:val="00E87750"/>
    <w:rsid w:val="00EA4D41"/>
    <w:rsid w:val="00EA7084"/>
    <w:rsid w:val="00EB7946"/>
    <w:rsid w:val="00EC1A3A"/>
    <w:rsid w:val="00EE6B06"/>
    <w:rsid w:val="00EE7048"/>
    <w:rsid w:val="00EF15BE"/>
    <w:rsid w:val="00F07398"/>
    <w:rsid w:val="00F14824"/>
    <w:rsid w:val="00F17F11"/>
    <w:rsid w:val="00F3085E"/>
    <w:rsid w:val="00FD75E4"/>
    <w:rsid w:val="00FD7C40"/>
    <w:rsid w:val="00FE6B7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280B86"/>
  <w14:defaultImageDpi w14:val="32767"/>
  <w15:chartTrackingRefBased/>
  <w15:docId w15:val="{B6A97895-D021-4E9D-92D7-354C743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30A1C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65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F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C6F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31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312FF"/>
  </w:style>
  <w:style w:type="paragraph" w:styleId="Piedepgina">
    <w:name w:val="footer"/>
    <w:basedOn w:val="Normal"/>
    <w:link w:val="PiedepginaCar"/>
    <w:uiPriority w:val="99"/>
    <w:unhideWhenUsed/>
    <w:rsid w:val="00D31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2FF"/>
  </w:style>
  <w:style w:type="paragraph" w:customStyle="1" w:styleId="Style1">
    <w:name w:val="Style 1"/>
    <w:basedOn w:val="Normal"/>
    <w:rsid w:val="00835508"/>
    <w:pPr>
      <w:widowControl w:val="0"/>
      <w:tabs>
        <w:tab w:val="right" w:pos="8352"/>
        <w:tab w:val="decimal" w:pos="9576"/>
      </w:tabs>
      <w:autoSpaceDE w:val="0"/>
      <w:autoSpaceDN w:val="0"/>
      <w:spacing w:after="0" w:line="240" w:lineRule="auto"/>
      <w:ind w:left="648"/>
    </w:pPr>
    <w:rPr>
      <w:rFonts w:ascii="Times New Roman" w:eastAsia="Times New Roman" w:hAnsi="Times New Roman"/>
      <w:sz w:val="24"/>
      <w:szCs w:val="24"/>
      <w:lang w:val="en-US" w:eastAsia="es-PE"/>
    </w:rPr>
  </w:style>
  <w:style w:type="paragraph" w:styleId="Textoindependiente2">
    <w:name w:val="Body Text 2"/>
    <w:basedOn w:val="Normal"/>
    <w:link w:val="Textoindependiente2Car"/>
    <w:rsid w:val="00835508"/>
    <w:pPr>
      <w:tabs>
        <w:tab w:val="right" w:pos="6237"/>
        <w:tab w:val="right" w:pos="9214"/>
      </w:tabs>
      <w:spacing w:after="0" w:line="240" w:lineRule="auto"/>
      <w:jc w:val="both"/>
    </w:pPr>
    <w:rPr>
      <w:rFonts w:ascii="Arial" w:eastAsia="Times New Roman" w:hAnsi="Arial"/>
      <w:b/>
      <w:noProof/>
      <w:spacing w:val="-3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835508"/>
    <w:rPr>
      <w:rFonts w:ascii="Arial" w:eastAsia="Times New Roman" w:hAnsi="Arial" w:cs="Times New Roman"/>
      <w:b/>
      <w:noProof/>
      <w:spacing w:val="-3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A11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B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11DB1"/>
    <w:rPr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B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11DB1"/>
    <w:rPr>
      <w:b/>
      <w:bCs/>
      <w:lang w:val="es-EC" w:eastAsia="en-US"/>
    </w:rPr>
  </w:style>
  <w:style w:type="paragraph" w:customStyle="1" w:styleId="Sombreadovistoso-nfasis11">
    <w:name w:val="Sombreado vistoso - Énfasis 11"/>
    <w:hidden/>
    <w:uiPriority w:val="99"/>
    <w:semiHidden/>
    <w:rsid w:val="00322245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77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65DDF"/>
    <w:rPr>
      <w:sz w:val="22"/>
      <w:szCs w:val="22"/>
      <w:lang w:val="es-EC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A242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242B"/>
    <w:rPr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C43C-8115-423A-8B5B-B28608D5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tjca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cp:lastModifiedBy>Henrry Edgardo Flores Goyburo</cp:lastModifiedBy>
  <cp:revision>6</cp:revision>
  <cp:lastPrinted>2015-12-09T17:23:00Z</cp:lastPrinted>
  <dcterms:created xsi:type="dcterms:W3CDTF">2022-07-14T17:06:00Z</dcterms:created>
  <dcterms:modified xsi:type="dcterms:W3CDTF">2022-07-15T01:46:00Z</dcterms:modified>
</cp:coreProperties>
</file>