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A2C83" w14:textId="77777777" w:rsidR="008C4A19" w:rsidRDefault="008C4A19" w:rsidP="008C4A19">
      <w:pPr>
        <w:rPr>
          <w:lang w:val="pt-BR"/>
        </w:rPr>
      </w:pPr>
      <w:r w:rsidRPr="00FB5493">
        <w:rPr>
          <w:rFonts w:cs="Arial"/>
          <w:noProof/>
          <w:szCs w:val="24"/>
          <w:highlight w:val="yellow"/>
          <w:lang w:val="en-US"/>
        </w:rPr>
        <w:drawing>
          <wp:anchor distT="0" distB="0" distL="114300" distR="114300" simplePos="0" relativeHeight="251659264" behindDoc="0" locked="0" layoutInCell="1" allowOverlap="1" wp14:anchorId="68648C89" wp14:editId="747043D3">
            <wp:simplePos x="0" y="0"/>
            <wp:positionH relativeFrom="margin">
              <wp:align>left</wp:align>
            </wp:positionH>
            <wp:positionV relativeFrom="paragraph">
              <wp:posOffset>0</wp:posOffset>
            </wp:positionV>
            <wp:extent cx="2103120" cy="504190"/>
            <wp:effectExtent l="0" t="0" r="0" b="0"/>
            <wp:wrapSquare wrapText="bothSides"/>
            <wp:docPr id="4" name="0 Imagen" descr="LOGO_SG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GCAN.jpg"/>
                    <pic:cNvPicPr/>
                  </pic:nvPicPr>
                  <pic:blipFill>
                    <a:blip r:embed="rId6" cstate="print"/>
                    <a:stretch>
                      <a:fillRect/>
                    </a:stretch>
                  </pic:blipFill>
                  <pic:spPr>
                    <a:xfrm>
                      <a:off x="0" y="0"/>
                      <a:ext cx="2103120" cy="504190"/>
                    </a:xfrm>
                    <a:prstGeom prst="rect">
                      <a:avLst/>
                    </a:prstGeom>
                  </pic:spPr>
                </pic:pic>
              </a:graphicData>
            </a:graphic>
          </wp:anchor>
        </w:drawing>
      </w:r>
    </w:p>
    <w:p w14:paraId="30B9AD7D" w14:textId="77777777" w:rsidR="008C4A19" w:rsidRDefault="008C4A19" w:rsidP="008C4A19">
      <w:pPr>
        <w:pStyle w:val="Default"/>
        <w:jc w:val="both"/>
        <w:rPr>
          <w:rFonts w:eastAsia="Calibri"/>
          <w:color w:val="auto"/>
          <w:sz w:val="20"/>
          <w:szCs w:val="22"/>
          <w:lang w:val="es-PE" w:eastAsia="es-PE"/>
        </w:rPr>
      </w:pPr>
    </w:p>
    <w:p w14:paraId="0AEDEFF1" w14:textId="77777777" w:rsidR="008C4A19" w:rsidRDefault="008C4A19" w:rsidP="008C4A19">
      <w:pPr>
        <w:pStyle w:val="Default"/>
        <w:jc w:val="both"/>
        <w:rPr>
          <w:rFonts w:eastAsia="Calibri"/>
          <w:color w:val="auto"/>
          <w:sz w:val="20"/>
          <w:szCs w:val="22"/>
          <w:lang w:val="es-PE" w:eastAsia="es-PE"/>
        </w:rPr>
      </w:pPr>
    </w:p>
    <w:p w14:paraId="2CB97F99" w14:textId="5E4151DA" w:rsidR="008C4A19" w:rsidRPr="008C4A19" w:rsidRDefault="008C4A19" w:rsidP="0083566B">
      <w:pPr>
        <w:pStyle w:val="Default"/>
        <w:jc w:val="both"/>
        <w:rPr>
          <w:rFonts w:eastAsia="Calibri"/>
          <w:color w:val="auto"/>
          <w:sz w:val="20"/>
          <w:szCs w:val="22"/>
          <w:lang w:val="es-PE" w:eastAsia="es-PE"/>
        </w:rPr>
      </w:pPr>
      <w:r w:rsidRPr="008C4A19">
        <w:rPr>
          <w:rFonts w:eastAsia="Calibri"/>
          <w:color w:val="auto"/>
          <w:sz w:val="20"/>
          <w:szCs w:val="22"/>
          <w:lang w:val="es-PE" w:eastAsia="es-PE"/>
        </w:rPr>
        <w:t>PERÍODO 126 DE SESIONES</w:t>
      </w:r>
    </w:p>
    <w:p w14:paraId="485BA600" w14:textId="77777777" w:rsidR="008C4A19" w:rsidRDefault="008C4A19" w:rsidP="0083566B">
      <w:pPr>
        <w:pStyle w:val="Default"/>
        <w:jc w:val="both"/>
        <w:rPr>
          <w:rFonts w:eastAsia="Calibri"/>
          <w:color w:val="auto"/>
          <w:sz w:val="20"/>
          <w:szCs w:val="22"/>
          <w:lang w:val="es-PE" w:eastAsia="es-PE"/>
        </w:rPr>
      </w:pPr>
      <w:r w:rsidRPr="008C4A19">
        <w:rPr>
          <w:rFonts w:eastAsia="Calibri"/>
          <w:color w:val="auto"/>
          <w:sz w:val="20"/>
          <w:szCs w:val="22"/>
          <w:lang w:val="es-PE" w:eastAsia="es-PE"/>
        </w:rPr>
        <w:t xml:space="preserve">ORDINARIAS DE LA COMISIÓN </w:t>
      </w:r>
    </w:p>
    <w:p w14:paraId="6360CCE6" w14:textId="651A9890" w:rsidR="008C4A19" w:rsidRPr="008C4A19" w:rsidRDefault="008C4A19" w:rsidP="0083566B">
      <w:pPr>
        <w:pStyle w:val="Default"/>
        <w:jc w:val="both"/>
        <w:rPr>
          <w:rFonts w:eastAsia="Calibri"/>
          <w:color w:val="auto"/>
          <w:sz w:val="20"/>
          <w:szCs w:val="22"/>
          <w:lang w:val="es-PE" w:eastAsia="es-PE"/>
        </w:rPr>
      </w:pPr>
      <w:r w:rsidRPr="008C4A19">
        <w:rPr>
          <w:rFonts w:eastAsia="Calibri"/>
          <w:color w:val="auto"/>
          <w:sz w:val="20"/>
          <w:szCs w:val="22"/>
          <w:lang w:val="es-PE" w:eastAsia="es-PE"/>
        </w:rPr>
        <w:t>DE LA COMUNIDAD ANDINA</w:t>
      </w:r>
    </w:p>
    <w:p w14:paraId="13A175DD" w14:textId="77777777" w:rsidR="008C4A19" w:rsidRPr="008C4A19" w:rsidRDefault="008C4A19" w:rsidP="0083566B">
      <w:pPr>
        <w:pStyle w:val="Default"/>
        <w:jc w:val="both"/>
        <w:rPr>
          <w:rFonts w:eastAsia="Calibri"/>
          <w:color w:val="auto"/>
          <w:sz w:val="20"/>
          <w:szCs w:val="22"/>
          <w:lang w:val="es-PE" w:eastAsia="es-PE"/>
        </w:rPr>
      </w:pPr>
      <w:r w:rsidRPr="008C4A19">
        <w:rPr>
          <w:rFonts w:eastAsia="Calibri"/>
          <w:color w:val="auto"/>
          <w:sz w:val="20"/>
          <w:szCs w:val="22"/>
          <w:lang w:val="es-PE" w:eastAsia="es-PE"/>
        </w:rPr>
        <w:t>16 de marzo de 2022</w:t>
      </w:r>
    </w:p>
    <w:p w14:paraId="548F4C83" w14:textId="07748D66" w:rsidR="00177D30" w:rsidRDefault="008C4A19" w:rsidP="0083566B">
      <w:pPr>
        <w:pStyle w:val="Default"/>
        <w:jc w:val="both"/>
        <w:rPr>
          <w:rFonts w:eastAsia="Calibri"/>
          <w:color w:val="auto"/>
          <w:sz w:val="20"/>
          <w:szCs w:val="22"/>
          <w:lang w:val="es-PE" w:eastAsia="es-PE"/>
        </w:rPr>
      </w:pPr>
      <w:r w:rsidRPr="008C4A19">
        <w:rPr>
          <w:rFonts w:eastAsia="Calibri"/>
          <w:color w:val="auto"/>
          <w:sz w:val="20"/>
          <w:szCs w:val="22"/>
          <w:lang w:val="es-PE" w:eastAsia="es-PE"/>
        </w:rPr>
        <w:t>Modalidad Videoconferencia</w:t>
      </w:r>
    </w:p>
    <w:p w14:paraId="1D613B87" w14:textId="363569BC" w:rsidR="008C4A19" w:rsidRDefault="008C4A19" w:rsidP="008C4A19">
      <w:pPr>
        <w:pStyle w:val="Default"/>
        <w:jc w:val="both"/>
        <w:rPr>
          <w:rFonts w:eastAsia="Calibri"/>
          <w:color w:val="auto"/>
          <w:sz w:val="20"/>
          <w:szCs w:val="22"/>
          <w:lang w:val="es-PE" w:eastAsia="es-PE"/>
        </w:rPr>
      </w:pPr>
    </w:p>
    <w:p w14:paraId="3A2613E9" w14:textId="77777777" w:rsidR="008C4A19" w:rsidRDefault="008C4A19" w:rsidP="008C4A19">
      <w:pPr>
        <w:pStyle w:val="Default"/>
        <w:jc w:val="both"/>
        <w:rPr>
          <w:b/>
          <w:bCs/>
          <w:sz w:val="23"/>
          <w:szCs w:val="23"/>
        </w:rPr>
      </w:pPr>
      <w:bookmarkStart w:id="0" w:name="_GoBack"/>
      <w:bookmarkEnd w:id="0"/>
    </w:p>
    <w:p w14:paraId="6C8C428D" w14:textId="0740F007" w:rsidR="008C4A19" w:rsidRPr="0005139B" w:rsidRDefault="008C4A19" w:rsidP="008C4A19">
      <w:pPr>
        <w:pStyle w:val="Ttulo"/>
        <w:rPr>
          <w:rFonts w:ascii="Arial" w:hAnsi="Arial" w:cs="Arial"/>
          <w:b/>
          <w:sz w:val="24"/>
          <w:szCs w:val="24"/>
          <w:u w:val="single"/>
        </w:rPr>
      </w:pPr>
      <w:r w:rsidRPr="0005139B">
        <w:rPr>
          <w:rFonts w:ascii="Arial" w:hAnsi="Arial" w:cs="Arial"/>
          <w:b/>
          <w:sz w:val="24"/>
          <w:szCs w:val="24"/>
          <w:u w:val="single"/>
        </w:rPr>
        <w:t>DECISIÓN 89</w:t>
      </w:r>
      <w:r>
        <w:rPr>
          <w:rFonts w:ascii="Arial" w:hAnsi="Arial" w:cs="Arial"/>
          <w:b/>
          <w:sz w:val="24"/>
          <w:szCs w:val="24"/>
          <w:u w:val="single"/>
        </w:rPr>
        <w:t>4</w:t>
      </w:r>
    </w:p>
    <w:p w14:paraId="2D5A36A8" w14:textId="77777777" w:rsidR="00177D30" w:rsidRDefault="00177D30" w:rsidP="00177D30">
      <w:pPr>
        <w:pStyle w:val="Default"/>
        <w:jc w:val="both"/>
        <w:rPr>
          <w:sz w:val="23"/>
          <w:szCs w:val="23"/>
        </w:rPr>
      </w:pPr>
    </w:p>
    <w:p w14:paraId="78EFA70A" w14:textId="3AAE8206" w:rsidR="00177D30" w:rsidRDefault="00177D30" w:rsidP="00177D30">
      <w:pPr>
        <w:pStyle w:val="Default"/>
        <w:ind w:left="4820"/>
        <w:jc w:val="both"/>
        <w:rPr>
          <w:sz w:val="23"/>
          <w:szCs w:val="23"/>
        </w:rPr>
      </w:pPr>
      <w:bookmarkStart w:id="1" w:name="_Hlk98250993"/>
      <w:r>
        <w:rPr>
          <w:sz w:val="23"/>
          <w:szCs w:val="23"/>
        </w:rPr>
        <w:t xml:space="preserve">Facultar a los Países Miembros </w:t>
      </w:r>
      <w:r w:rsidR="009F2088">
        <w:rPr>
          <w:sz w:val="23"/>
          <w:szCs w:val="23"/>
        </w:rPr>
        <w:t>temporalmente</w:t>
      </w:r>
      <w:r w:rsidR="00F3248F">
        <w:rPr>
          <w:sz w:val="23"/>
          <w:szCs w:val="23"/>
        </w:rPr>
        <w:t xml:space="preserve"> </w:t>
      </w:r>
      <w:r w:rsidR="009F2088">
        <w:rPr>
          <w:sz w:val="23"/>
          <w:szCs w:val="23"/>
        </w:rPr>
        <w:t>a reducir</w:t>
      </w:r>
      <w:r w:rsidR="001F43DE">
        <w:rPr>
          <w:sz w:val="23"/>
          <w:szCs w:val="23"/>
        </w:rPr>
        <w:t xml:space="preserve"> un determinado porcentaje</w:t>
      </w:r>
      <w:r w:rsidR="00AD3EED">
        <w:rPr>
          <w:sz w:val="23"/>
          <w:szCs w:val="23"/>
        </w:rPr>
        <w:t xml:space="preserve"> de </w:t>
      </w:r>
      <w:r w:rsidR="001F43DE">
        <w:rPr>
          <w:sz w:val="23"/>
          <w:szCs w:val="23"/>
        </w:rPr>
        <w:t>los gastos de transporte</w:t>
      </w:r>
      <w:r w:rsidR="001C277A">
        <w:rPr>
          <w:sz w:val="23"/>
          <w:szCs w:val="23"/>
        </w:rPr>
        <w:t xml:space="preserve"> y/o gastos conexos comprendidos en el</w:t>
      </w:r>
      <w:r>
        <w:rPr>
          <w:sz w:val="23"/>
          <w:szCs w:val="23"/>
        </w:rPr>
        <w:t xml:space="preserve"> primer párrafo del artículo 6 de la Decisión 571 Valor en Aduana de las Mercancías Importadas</w:t>
      </w:r>
      <w:bookmarkEnd w:id="1"/>
      <w:r w:rsidR="001F43DE">
        <w:rPr>
          <w:sz w:val="23"/>
          <w:szCs w:val="23"/>
        </w:rPr>
        <w:t>.</w:t>
      </w:r>
      <w:r>
        <w:rPr>
          <w:sz w:val="23"/>
          <w:szCs w:val="23"/>
        </w:rPr>
        <w:t xml:space="preserve"> </w:t>
      </w:r>
    </w:p>
    <w:p w14:paraId="1CE82CF0" w14:textId="77777777" w:rsidR="00177D30" w:rsidRDefault="00177D30" w:rsidP="00177D30">
      <w:pPr>
        <w:pStyle w:val="Default"/>
        <w:jc w:val="both"/>
        <w:rPr>
          <w:sz w:val="23"/>
          <w:szCs w:val="23"/>
        </w:rPr>
      </w:pPr>
    </w:p>
    <w:p w14:paraId="1210A1DF" w14:textId="77777777" w:rsidR="00177D30" w:rsidRPr="00177D30" w:rsidRDefault="00177D30" w:rsidP="00177D30">
      <w:pPr>
        <w:pStyle w:val="Default"/>
        <w:jc w:val="both"/>
        <w:rPr>
          <w:b/>
          <w:sz w:val="23"/>
          <w:szCs w:val="23"/>
        </w:rPr>
      </w:pPr>
      <w:r w:rsidRPr="00177D30">
        <w:rPr>
          <w:b/>
          <w:sz w:val="23"/>
          <w:szCs w:val="23"/>
        </w:rPr>
        <w:t xml:space="preserve">LA COMISIÓN DE LA COMUNIDAD ANDINA, </w:t>
      </w:r>
    </w:p>
    <w:p w14:paraId="231EA1B5" w14:textId="77777777" w:rsidR="00177D30" w:rsidRDefault="00177D30" w:rsidP="00177D30">
      <w:pPr>
        <w:pStyle w:val="Default"/>
        <w:jc w:val="both"/>
        <w:rPr>
          <w:sz w:val="23"/>
          <w:szCs w:val="23"/>
        </w:rPr>
      </w:pPr>
    </w:p>
    <w:p w14:paraId="692E7159" w14:textId="3AA80907" w:rsidR="00177D30" w:rsidRDefault="00177D30" w:rsidP="00177D30">
      <w:pPr>
        <w:pStyle w:val="Default"/>
        <w:jc w:val="both"/>
        <w:rPr>
          <w:sz w:val="23"/>
          <w:szCs w:val="23"/>
        </w:rPr>
      </w:pPr>
      <w:r w:rsidRPr="00177D30">
        <w:rPr>
          <w:b/>
          <w:sz w:val="23"/>
          <w:szCs w:val="23"/>
        </w:rPr>
        <w:t xml:space="preserve">VISTOS: </w:t>
      </w:r>
      <w:r>
        <w:rPr>
          <w:sz w:val="23"/>
          <w:szCs w:val="23"/>
        </w:rPr>
        <w:t>Los artículos 1, 3 literal b), y 22 literales b) y f) del Acuerdo de Cartagena</w:t>
      </w:r>
      <w:r w:rsidR="00034305">
        <w:rPr>
          <w:sz w:val="23"/>
          <w:szCs w:val="23"/>
        </w:rPr>
        <w:t>,</w:t>
      </w:r>
      <w:r w:rsidR="005F249E">
        <w:rPr>
          <w:sz w:val="23"/>
          <w:szCs w:val="23"/>
        </w:rPr>
        <w:t xml:space="preserve"> </w:t>
      </w:r>
      <w:r>
        <w:rPr>
          <w:sz w:val="23"/>
          <w:szCs w:val="23"/>
        </w:rPr>
        <w:t xml:space="preserve">Decisión 563, la Decisión 571 de la Comisión de la Comunidad Andina; y, </w:t>
      </w:r>
    </w:p>
    <w:p w14:paraId="35BF3FF2" w14:textId="77777777" w:rsidR="00177D30" w:rsidRDefault="00177D30" w:rsidP="00177D30">
      <w:pPr>
        <w:pStyle w:val="Default"/>
        <w:jc w:val="both"/>
        <w:rPr>
          <w:sz w:val="23"/>
          <w:szCs w:val="23"/>
        </w:rPr>
      </w:pPr>
    </w:p>
    <w:p w14:paraId="3FFF64F6" w14:textId="3A52BC9E" w:rsidR="00177D30" w:rsidRDefault="00177D30" w:rsidP="00177D30">
      <w:pPr>
        <w:pStyle w:val="Default"/>
        <w:jc w:val="both"/>
        <w:rPr>
          <w:sz w:val="23"/>
          <w:szCs w:val="23"/>
        </w:rPr>
      </w:pPr>
      <w:r w:rsidRPr="00177D30">
        <w:rPr>
          <w:b/>
          <w:sz w:val="23"/>
          <w:szCs w:val="23"/>
        </w:rPr>
        <w:t xml:space="preserve">CONSIDERANDO: </w:t>
      </w:r>
      <w:r>
        <w:rPr>
          <w:sz w:val="23"/>
          <w:szCs w:val="23"/>
        </w:rPr>
        <w:t xml:space="preserve">Que, el segundo párrafo del artículo 1 del Acuerdo de Cartagena dispone que uno de los objetivos del Acuerdo es propender a disminuir la vulnerabilidad externa y mejorar la posición de los Países Miembros en el contexto económico internacional; </w:t>
      </w:r>
    </w:p>
    <w:p w14:paraId="43D11446" w14:textId="77777777" w:rsidR="00177D30" w:rsidRDefault="00177D30" w:rsidP="00177D30">
      <w:pPr>
        <w:pStyle w:val="Default"/>
        <w:jc w:val="both"/>
        <w:rPr>
          <w:sz w:val="23"/>
          <w:szCs w:val="23"/>
        </w:rPr>
      </w:pPr>
    </w:p>
    <w:p w14:paraId="47039247" w14:textId="77777777" w:rsidR="00177D30" w:rsidRDefault="00177D30" w:rsidP="00177D30">
      <w:pPr>
        <w:pStyle w:val="Default"/>
        <w:jc w:val="both"/>
        <w:rPr>
          <w:sz w:val="23"/>
          <w:szCs w:val="23"/>
        </w:rPr>
      </w:pPr>
      <w:r>
        <w:rPr>
          <w:sz w:val="23"/>
          <w:szCs w:val="23"/>
        </w:rPr>
        <w:t xml:space="preserve">Que, para alcanzar los objetivos del Acuerdo de Cartagena, conforme al artículo 3 se emplearán mecanismos y medidas para la armonización gradual de políticas económicas y sociales y la aproximación de las legislaciones nacionales en las materias pertinentes; </w:t>
      </w:r>
    </w:p>
    <w:p w14:paraId="6F0F8741" w14:textId="77777777" w:rsidR="00177D30" w:rsidRDefault="00177D30" w:rsidP="00177D30">
      <w:pPr>
        <w:pStyle w:val="Default"/>
        <w:jc w:val="both"/>
        <w:rPr>
          <w:sz w:val="23"/>
          <w:szCs w:val="23"/>
        </w:rPr>
      </w:pPr>
    </w:p>
    <w:p w14:paraId="41C4C42C" w14:textId="77777777" w:rsidR="00177D30" w:rsidRDefault="00177D30" w:rsidP="00177D30">
      <w:pPr>
        <w:pStyle w:val="Default"/>
        <w:jc w:val="both"/>
        <w:rPr>
          <w:sz w:val="23"/>
          <w:szCs w:val="23"/>
        </w:rPr>
      </w:pPr>
      <w:r>
        <w:rPr>
          <w:sz w:val="23"/>
          <w:szCs w:val="23"/>
        </w:rPr>
        <w:t xml:space="preserve">Que, de conformidad con el literal b) del artículo 22 del Acuerdo de Cartagena, corresponde a la Comisión de la Comunidad Andina adoptar las medidas que sean necesarias para el logro de los objetivos del Acuerdo de Cartagena; </w:t>
      </w:r>
    </w:p>
    <w:p w14:paraId="34A693B1" w14:textId="77777777" w:rsidR="00177D30" w:rsidRDefault="00177D30" w:rsidP="00177D30">
      <w:pPr>
        <w:pStyle w:val="Default"/>
        <w:jc w:val="both"/>
        <w:rPr>
          <w:sz w:val="23"/>
          <w:szCs w:val="23"/>
        </w:rPr>
      </w:pPr>
    </w:p>
    <w:p w14:paraId="757CC09E" w14:textId="77777777" w:rsidR="00177D30" w:rsidRDefault="00177D30" w:rsidP="00177D30">
      <w:pPr>
        <w:pStyle w:val="Default"/>
        <w:jc w:val="both"/>
        <w:rPr>
          <w:sz w:val="23"/>
          <w:szCs w:val="23"/>
        </w:rPr>
      </w:pPr>
      <w:r>
        <w:rPr>
          <w:sz w:val="23"/>
          <w:szCs w:val="23"/>
        </w:rPr>
        <w:t xml:space="preserve">Que, mediante la Decisión 571 se adoptó el marco normativo sobre el Valor en Aduana de las Mercancías Importadas; </w:t>
      </w:r>
    </w:p>
    <w:p w14:paraId="4DF66D00" w14:textId="77777777" w:rsidR="00177D30" w:rsidRDefault="00177D30" w:rsidP="00177D30">
      <w:pPr>
        <w:pStyle w:val="Default"/>
        <w:jc w:val="both"/>
        <w:rPr>
          <w:sz w:val="23"/>
          <w:szCs w:val="23"/>
        </w:rPr>
      </w:pPr>
    </w:p>
    <w:p w14:paraId="01C07FBB" w14:textId="77777777" w:rsidR="00177D30" w:rsidRDefault="00177D30" w:rsidP="00177D30">
      <w:pPr>
        <w:pStyle w:val="Default"/>
        <w:jc w:val="both"/>
        <w:rPr>
          <w:sz w:val="23"/>
          <w:szCs w:val="23"/>
        </w:rPr>
      </w:pPr>
      <w:r>
        <w:rPr>
          <w:sz w:val="23"/>
          <w:szCs w:val="23"/>
        </w:rPr>
        <w:t xml:space="preserve">Que, el primer párrafo del artículo 6 de la Decisión 571 establece: </w:t>
      </w:r>
      <w:r>
        <w:rPr>
          <w:i/>
          <w:iCs/>
          <w:sz w:val="23"/>
          <w:szCs w:val="23"/>
        </w:rPr>
        <w:t xml:space="preserve">“Todos los elementos descritos en el numeral 2 del artículo 8 del Acuerdo sobre Valoración de la OMC, referidos a los gastos de transporte de las mercancías importadas y gastos conexos al transporte de dichas mercancías hasta el puerto o lugar de importación, los gastos de carga, descarga y manipulación ocasionados por el transporte de las mercancías importadas hasta el puerto o lugar de importación y el costo del seguro, formarán parte del valor en aduana.” </w:t>
      </w:r>
      <w:r>
        <w:rPr>
          <w:sz w:val="23"/>
          <w:szCs w:val="23"/>
        </w:rPr>
        <w:t xml:space="preserve">; </w:t>
      </w:r>
    </w:p>
    <w:p w14:paraId="50F0DD88" w14:textId="77777777" w:rsidR="00177D30" w:rsidRDefault="00177D30" w:rsidP="00177D30">
      <w:pPr>
        <w:pStyle w:val="Default"/>
        <w:jc w:val="both"/>
        <w:rPr>
          <w:sz w:val="23"/>
          <w:szCs w:val="23"/>
        </w:rPr>
      </w:pPr>
    </w:p>
    <w:p w14:paraId="436F97E1" w14:textId="77777777" w:rsidR="00177D30" w:rsidRDefault="00177D30" w:rsidP="00177D30">
      <w:pPr>
        <w:pStyle w:val="Default"/>
        <w:jc w:val="both"/>
        <w:rPr>
          <w:sz w:val="23"/>
          <w:szCs w:val="23"/>
        </w:rPr>
      </w:pPr>
      <w:r>
        <w:rPr>
          <w:sz w:val="23"/>
          <w:szCs w:val="23"/>
        </w:rPr>
        <w:t xml:space="preserve">Que, en marzo de 2020, la Organización Mundial de la Salud ha calificado, el brote del COVID-19 como una pandemia al haberse extendido en más de cien países del mundo de manera simultánea, por lo que los Países Miembros de la Comunidad Andina han establecido medidas de excepción que incluyen, entre otras, el </w:t>
      </w:r>
      <w:r>
        <w:rPr>
          <w:sz w:val="23"/>
          <w:szCs w:val="23"/>
        </w:rPr>
        <w:lastRenderedPageBreak/>
        <w:t xml:space="preserve">distanciamiento social, restricciones en el ámbito de la actividad comercial, cierre de fronteras y la modificación de sus prioridades; </w:t>
      </w:r>
    </w:p>
    <w:p w14:paraId="2B226BAE" w14:textId="77777777" w:rsidR="00177D30" w:rsidRDefault="00177D30" w:rsidP="00177D30">
      <w:pPr>
        <w:pStyle w:val="Default"/>
        <w:jc w:val="both"/>
        <w:rPr>
          <w:sz w:val="23"/>
          <w:szCs w:val="23"/>
        </w:rPr>
      </w:pPr>
    </w:p>
    <w:p w14:paraId="6289BCFD" w14:textId="1344A1C0" w:rsidR="000B45CA" w:rsidRPr="009631A3" w:rsidRDefault="000B45CA" w:rsidP="00177D30">
      <w:pPr>
        <w:pStyle w:val="Default"/>
        <w:jc w:val="both"/>
        <w:rPr>
          <w:sz w:val="23"/>
          <w:szCs w:val="23"/>
        </w:rPr>
      </w:pPr>
      <w:r w:rsidRPr="009631A3">
        <w:rPr>
          <w:sz w:val="23"/>
          <w:szCs w:val="23"/>
        </w:rPr>
        <w:t xml:space="preserve">Que la crisis actual que vive el </w:t>
      </w:r>
      <w:r w:rsidR="00755700" w:rsidRPr="009631A3">
        <w:rPr>
          <w:sz w:val="23"/>
          <w:szCs w:val="23"/>
        </w:rPr>
        <w:t xml:space="preserve">sector </w:t>
      </w:r>
      <w:r w:rsidR="005B11F8" w:rsidRPr="009631A3">
        <w:rPr>
          <w:sz w:val="23"/>
          <w:szCs w:val="23"/>
        </w:rPr>
        <w:t xml:space="preserve">de </w:t>
      </w:r>
      <w:r w:rsidR="00717A17" w:rsidRPr="009631A3">
        <w:rPr>
          <w:sz w:val="23"/>
          <w:szCs w:val="23"/>
        </w:rPr>
        <w:t>transporte</w:t>
      </w:r>
      <w:r w:rsidR="00755700" w:rsidRPr="009631A3">
        <w:rPr>
          <w:sz w:val="23"/>
          <w:szCs w:val="23"/>
        </w:rPr>
        <w:t xml:space="preserve"> </w:t>
      </w:r>
      <w:r w:rsidR="00B30E55">
        <w:rPr>
          <w:sz w:val="23"/>
          <w:szCs w:val="23"/>
        </w:rPr>
        <w:t xml:space="preserve">internacional </w:t>
      </w:r>
      <w:r w:rsidR="00755700" w:rsidRPr="009631A3">
        <w:rPr>
          <w:sz w:val="23"/>
          <w:szCs w:val="23"/>
        </w:rPr>
        <w:t xml:space="preserve">marítimo de </w:t>
      </w:r>
      <w:r w:rsidR="00B30E55">
        <w:rPr>
          <w:sz w:val="23"/>
          <w:szCs w:val="23"/>
        </w:rPr>
        <w:t>mercancías</w:t>
      </w:r>
      <w:r w:rsidR="00755700" w:rsidRPr="009631A3">
        <w:rPr>
          <w:sz w:val="23"/>
          <w:szCs w:val="23"/>
        </w:rPr>
        <w:t xml:space="preserve"> </w:t>
      </w:r>
      <w:r w:rsidR="007A4071">
        <w:rPr>
          <w:sz w:val="23"/>
          <w:szCs w:val="23"/>
        </w:rPr>
        <w:t xml:space="preserve">y la </w:t>
      </w:r>
      <w:r w:rsidR="00E37E68" w:rsidRPr="006E1F2D">
        <w:rPr>
          <w:sz w:val="23"/>
          <w:szCs w:val="23"/>
        </w:rPr>
        <w:t>disrupción</w:t>
      </w:r>
      <w:r w:rsidR="007A4071">
        <w:rPr>
          <w:sz w:val="23"/>
          <w:szCs w:val="23"/>
        </w:rPr>
        <w:t xml:space="preserve"> de la cadena de suministro </w:t>
      </w:r>
      <w:r w:rsidRPr="009631A3">
        <w:rPr>
          <w:sz w:val="23"/>
          <w:szCs w:val="23"/>
        </w:rPr>
        <w:t xml:space="preserve">motivada entre otros, por la falta de buques en operación, </w:t>
      </w:r>
      <w:r w:rsidR="00E37E68">
        <w:rPr>
          <w:sz w:val="23"/>
          <w:szCs w:val="23"/>
        </w:rPr>
        <w:t xml:space="preserve">el </w:t>
      </w:r>
      <w:r w:rsidRPr="009631A3">
        <w:rPr>
          <w:sz w:val="23"/>
          <w:szCs w:val="23"/>
        </w:rPr>
        <w:t xml:space="preserve">cierre intermitente en puertos por el </w:t>
      </w:r>
      <w:r w:rsidR="005A4191" w:rsidRPr="009631A3">
        <w:rPr>
          <w:sz w:val="23"/>
          <w:szCs w:val="23"/>
        </w:rPr>
        <w:t>C</w:t>
      </w:r>
      <w:r w:rsidRPr="009631A3">
        <w:rPr>
          <w:sz w:val="23"/>
          <w:szCs w:val="23"/>
        </w:rPr>
        <w:t>ovid-1</w:t>
      </w:r>
      <w:r w:rsidR="005A4191" w:rsidRPr="009631A3">
        <w:rPr>
          <w:sz w:val="23"/>
          <w:szCs w:val="23"/>
        </w:rPr>
        <w:t>9</w:t>
      </w:r>
      <w:r w:rsidR="00B30E55">
        <w:rPr>
          <w:sz w:val="23"/>
          <w:szCs w:val="23"/>
        </w:rPr>
        <w:t>,</w:t>
      </w:r>
      <w:r w:rsidR="00D228DB">
        <w:rPr>
          <w:sz w:val="23"/>
          <w:szCs w:val="23"/>
        </w:rPr>
        <w:t xml:space="preserve"> </w:t>
      </w:r>
      <w:r w:rsidR="00E37E68">
        <w:rPr>
          <w:sz w:val="23"/>
          <w:szCs w:val="23"/>
        </w:rPr>
        <w:t xml:space="preserve">el </w:t>
      </w:r>
      <w:r w:rsidR="00AC71F6">
        <w:rPr>
          <w:sz w:val="23"/>
          <w:szCs w:val="23"/>
        </w:rPr>
        <w:t>congestionamiento de puertos</w:t>
      </w:r>
      <w:r w:rsidR="00845013">
        <w:rPr>
          <w:sz w:val="23"/>
          <w:szCs w:val="23"/>
        </w:rPr>
        <w:t xml:space="preserve"> </w:t>
      </w:r>
      <w:r w:rsidRPr="009631A3">
        <w:rPr>
          <w:sz w:val="23"/>
          <w:szCs w:val="23"/>
        </w:rPr>
        <w:t>y la escasez de contenedores,</w:t>
      </w:r>
      <w:r w:rsidR="00F3248F">
        <w:rPr>
          <w:sz w:val="23"/>
          <w:szCs w:val="23"/>
        </w:rPr>
        <w:t xml:space="preserve"> </w:t>
      </w:r>
      <w:r w:rsidRPr="009631A3">
        <w:rPr>
          <w:sz w:val="23"/>
          <w:szCs w:val="23"/>
        </w:rPr>
        <w:t>ha conllevado al incremento de las tarifas de los fletes internacionales, generando sobrecostos a los productores y a su vez en el incremento del precio de los bienes finales al consumidor final</w:t>
      </w:r>
      <w:r w:rsidR="005A4191" w:rsidRPr="009631A3">
        <w:rPr>
          <w:sz w:val="23"/>
          <w:szCs w:val="23"/>
        </w:rPr>
        <w:t>;</w:t>
      </w:r>
    </w:p>
    <w:p w14:paraId="1E7769E0" w14:textId="77777777" w:rsidR="00F971A3" w:rsidRDefault="00F971A3" w:rsidP="00CE2562">
      <w:pPr>
        <w:pStyle w:val="Default"/>
        <w:jc w:val="both"/>
        <w:rPr>
          <w:sz w:val="23"/>
          <w:szCs w:val="23"/>
        </w:rPr>
      </w:pPr>
    </w:p>
    <w:p w14:paraId="5915380E" w14:textId="52D02BC3" w:rsidR="00CE2562" w:rsidRPr="009631A3" w:rsidRDefault="00CE2562" w:rsidP="00CE2562">
      <w:pPr>
        <w:pStyle w:val="Default"/>
        <w:jc w:val="both"/>
        <w:rPr>
          <w:sz w:val="23"/>
          <w:szCs w:val="23"/>
        </w:rPr>
      </w:pPr>
      <w:r w:rsidRPr="009631A3">
        <w:rPr>
          <w:sz w:val="23"/>
          <w:szCs w:val="23"/>
        </w:rPr>
        <w:t xml:space="preserve">Que, en la reunión </w:t>
      </w:r>
      <w:r w:rsidR="002F2953" w:rsidRPr="009631A3">
        <w:rPr>
          <w:sz w:val="23"/>
          <w:szCs w:val="23"/>
        </w:rPr>
        <w:t xml:space="preserve">del Período Extraordinario 154 </w:t>
      </w:r>
      <w:r w:rsidRPr="009631A3">
        <w:rPr>
          <w:sz w:val="23"/>
          <w:szCs w:val="23"/>
        </w:rPr>
        <w:t>del 21 de octubre de</w:t>
      </w:r>
      <w:r w:rsidR="00A72B39" w:rsidRPr="009631A3">
        <w:rPr>
          <w:sz w:val="23"/>
          <w:szCs w:val="23"/>
        </w:rPr>
        <w:t xml:space="preserve"> 2021</w:t>
      </w:r>
      <w:r w:rsidRPr="009631A3">
        <w:rPr>
          <w:sz w:val="23"/>
          <w:szCs w:val="23"/>
        </w:rPr>
        <w:t xml:space="preserve">, la Comisión </w:t>
      </w:r>
      <w:r w:rsidR="000262F2" w:rsidRPr="009631A3">
        <w:rPr>
          <w:sz w:val="23"/>
          <w:szCs w:val="23"/>
        </w:rPr>
        <w:t xml:space="preserve">determinó que el tema sea analizado por </w:t>
      </w:r>
      <w:r w:rsidRPr="009631A3">
        <w:rPr>
          <w:sz w:val="23"/>
          <w:szCs w:val="23"/>
        </w:rPr>
        <w:t>el Comité de Asuntos Aduaneros, Expertos en Valoración en Aduanas</w:t>
      </w:r>
      <w:r w:rsidR="00467F4F" w:rsidRPr="009631A3">
        <w:rPr>
          <w:sz w:val="23"/>
          <w:szCs w:val="23"/>
        </w:rPr>
        <w:t>;</w:t>
      </w:r>
      <w:r w:rsidRPr="009631A3">
        <w:rPr>
          <w:sz w:val="23"/>
          <w:szCs w:val="23"/>
        </w:rPr>
        <w:t xml:space="preserve"> </w:t>
      </w:r>
    </w:p>
    <w:p w14:paraId="1E14671A" w14:textId="77777777" w:rsidR="00510C94" w:rsidRPr="009631A3" w:rsidRDefault="00510C94" w:rsidP="00CE2562">
      <w:pPr>
        <w:pStyle w:val="Default"/>
        <w:jc w:val="both"/>
        <w:rPr>
          <w:sz w:val="23"/>
          <w:szCs w:val="23"/>
        </w:rPr>
      </w:pPr>
    </w:p>
    <w:p w14:paraId="0FC40725" w14:textId="77777777" w:rsidR="002F2953" w:rsidRPr="009631A3" w:rsidRDefault="002F2953" w:rsidP="002F2953">
      <w:pPr>
        <w:pStyle w:val="Default"/>
        <w:jc w:val="both"/>
        <w:rPr>
          <w:sz w:val="23"/>
          <w:szCs w:val="23"/>
        </w:rPr>
      </w:pPr>
      <w:r w:rsidRPr="009631A3">
        <w:rPr>
          <w:sz w:val="23"/>
          <w:szCs w:val="23"/>
        </w:rPr>
        <w:t xml:space="preserve">Que, en la reunión del periodo ordinario 125 de la Comisión celebrada el de 13 de diciembre de 2021, se ratificó el compromiso de tratar el tema del incremento del flete internacional de carga por vía marítima en el Comité de Asuntos Aduaneros, Expertos en Valoración en Aduanas, con el objeto de atender oportunamente desde la normativa andina a esa problemática; </w:t>
      </w:r>
    </w:p>
    <w:p w14:paraId="6E52E0D8" w14:textId="77777777" w:rsidR="002F2953" w:rsidRDefault="002F2953" w:rsidP="00177D30">
      <w:pPr>
        <w:pStyle w:val="Default"/>
        <w:jc w:val="both"/>
        <w:rPr>
          <w:rFonts w:ascii="Segoe UI" w:hAnsi="Segoe UI" w:cs="Segoe UI"/>
          <w:color w:val="FF0000"/>
          <w:sz w:val="22"/>
          <w:szCs w:val="22"/>
          <w:highlight w:val="yellow"/>
          <w:shd w:val="clear" w:color="auto" w:fill="FFFFFF"/>
        </w:rPr>
      </w:pPr>
    </w:p>
    <w:p w14:paraId="7C88A677" w14:textId="6D5BD6B5" w:rsidR="00177D30" w:rsidRDefault="00177D30" w:rsidP="00177D30">
      <w:pPr>
        <w:pStyle w:val="Default"/>
        <w:jc w:val="both"/>
        <w:rPr>
          <w:b/>
          <w:bCs/>
          <w:sz w:val="23"/>
          <w:szCs w:val="23"/>
        </w:rPr>
      </w:pPr>
      <w:r>
        <w:rPr>
          <w:sz w:val="23"/>
          <w:szCs w:val="23"/>
        </w:rPr>
        <w:t>Que, el Grupo de Expertos</w:t>
      </w:r>
      <w:r w:rsidR="0046561C">
        <w:rPr>
          <w:sz w:val="23"/>
          <w:szCs w:val="23"/>
        </w:rPr>
        <w:t xml:space="preserve"> </w:t>
      </w:r>
      <w:r w:rsidR="0046561C" w:rsidRPr="00554FF7">
        <w:rPr>
          <w:sz w:val="23"/>
          <w:szCs w:val="23"/>
        </w:rPr>
        <w:t>de Valoración</w:t>
      </w:r>
      <w:r>
        <w:rPr>
          <w:sz w:val="23"/>
          <w:szCs w:val="23"/>
        </w:rPr>
        <w:t xml:space="preserve"> del Comité de Asuntos Aduaneros en su reunión </w:t>
      </w:r>
      <w:r w:rsidR="00554FF7" w:rsidRPr="00554FF7">
        <w:rPr>
          <w:sz w:val="23"/>
          <w:szCs w:val="23"/>
        </w:rPr>
        <w:t>realizada por videoconferencia </w:t>
      </w:r>
      <w:r w:rsidR="00554FF7">
        <w:rPr>
          <w:sz w:val="23"/>
          <w:szCs w:val="23"/>
        </w:rPr>
        <w:t>el</w:t>
      </w:r>
      <w:r>
        <w:rPr>
          <w:sz w:val="23"/>
          <w:szCs w:val="23"/>
        </w:rPr>
        <w:t xml:space="preserve"> </w:t>
      </w:r>
      <w:r w:rsidR="00641723">
        <w:t>15</w:t>
      </w:r>
      <w:r w:rsidR="00554FF7">
        <w:t xml:space="preserve"> de </w:t>
      </w:r>
      <w:r w:rsidR="00641723">
        <w:t>marzo</w:t>
      </w:r>
      <w:r w:rsidR="00554FF7">
        <w:t xml:space="preserve"> de 202</w:t>
      </w:r>
      <w:r w:rsidR="00641723">
        <w:t>2</w:t>
      </w:r>
      <w:r>
        <w:rPr>
          <w:sz w:val="23"/>
          <w:szCs w:val="23"/>
        </w:rPr>
        <w:t xml:space="preserve">, acordaron elaborar una propuesta de </w:t>
      </w:r>
      <w:r w:rsidR="00B32626">
        <w:rPr>
          <w:sz w:val="23"/>
          <w:szCs w:val="23"/>
        </w:rPr>
        <w:t xml:space="preserve">aplicación temporal de reducción de un porcentaje de los gastos transporte y/o gastos conexos, comprendidos en el </w:t>
      </w:r>
      <w:r>
        <w:rPr>
          <w:sz w:val="23"/>
          <w:szCs w:val="23"/>
        </w:rPr>
        <w:t>primer párrafo del artículo 6 de la Decisión 571;</w:t>
      </w:r>
    </w:p>
    <w:p w14:paraId="216727EE" w14:textId="77777777" w:rsidR="00177D30" w:rsidRDefault="00177D30" w:rsidP="00177D30">
      <w:pPr>
        <w:pStyle w:val="Default"/>
        <w:jc w:val="both"/>
        <w:rPr>
          <w:b/>
          <w:bCs/>
          <w:sz w:val="23"/>
          <w:szCs w:val="23"/>
        </w:rPr>
      </w:pPr>
    </w:p>
    <w:p w14:paraId="0D73A351" w14:textId="382F0D37" w:rsidR="00554FF7" w:rsidRPr="0005665D" w:rsidRDefault="00554FF7" w:rsidP="0005665D">
      <w:pPr>
        <w:pStyle w:val="Default"/>
        <w:jc w:val="both"/>
        <w:rPr>
          <w:sz w:val="23"/>
          <w:szCs w:val="23"/>
        </w:rPr>
      </w:pPr>
      <w:r w:rsidRPr="0005665D">
        <w:rPr>
          <w:sz w:val="23"/>
          <w:szCs w:val="23"/>
        </w:rPr>
        <w:t xml:space="preserve">Que, en tal sentido, el Comité Andino de Asuntos Aduaneros en su reunión realizada por videoconferencia el </w:t>
      </w:r>
      <w:r w:rsidR="00641723">
        <w:rPr>
          <w:sz w:val="23"/>
          <w:szCs w:val="23"/>
        </w:rPr>
        <w:t>15</w:t>
      </w:r>
      <w:r w:rsidRPr="0005665D">
        <w:rPr>
          <w:sz w:val="23"/>
          <w:szCs w:val="23"/>
        </w:rPr>
        <w:t xml:space="preserve"> de </w:t>
      </w:r>
      <w:r w:rsidR="00641723">
        <w:rPr>
          <w:sz w:val="23"/>
          <w:szCs w:val="23"/>
        </w:rPr>
        <w:t>marzo</w:t>
      </w:r>
      <w:r w:rsidRPr="0005665D">
        <w:rPr>
          <w:sz w:val="23"/>
          <w:szCs w:val="23"/>
        </w:rPr>
        <w:t xml:space="preserve"> de 202</w:t>
      </w:r>
      <w:r w:rsidR="00641723">
        <w:rPr>
          <w:sz w:val="23"/>
          <w:szCs w:val="23"/>
        </w:rPr>
        <w:t>2</w:t>
      </w:r>
      <w:r w:rsidRPr="0005665D">
        <w:rPr>
          <w:sz w:val="23"/>
          <w:szCs w:val="23"/>
        </w:rPr>
        <w:t>, acordaron aprobar la propuesta del Grupo de Expertos en Valoración;  </w:t>
      </w:r>
    </w:p>
    <w:p w14:paraId="2D85DAD4" w14:textId="77777777" w:rsidR="009631A3" w:rsidRPr="00641723" w:rsidRDefault="009631A3" w:rsidP="00177D30">
      <w:pPr>
        <w:pStyle w:val="Default"/>
        <w:jc w:val="both"/>
        <w:rPr>
          <w:b/>
          <w:bCs/>
          <w:sz w:val="23"/>
          <w:szCs w:val="23"/>
          <w:lang w:val="es-PE"/>
        </w:rPr>
      </w:pPr>
    </w:p>
    <w:p w14:paraId="0328AFAA" w14:textId="77777777" w:rsidR="006D02A2" w:rsidRDefault="006D02A2" w:rsidP="007115A7">
      <w:pPr>
        <w:pStyle w:val="Default"/>
        <w:jc w:val="center"/>
        <w:rPr>
          <w:b/>
          <w:bCs/>
          <w:sz w:val="23"/>
          <w:szCs w:val="23"/>
        </w:rPr>
      </w:pPr>
      <w:r>
        <w:rPr>
          <w:b/>
          <w:bCs/>
          <w:sz w:val="23"/>
          <w:szCs w:val="23"/>
        </w:rPr>
        <w:t>DECIDE:</w:t>
      </w:r>
    </w:p>
    <w:p w14:paraId="6B13545F" w14:textId="5F98C07D" w:rsidR="00BE5A94" w:rsidRDefault="00BE5A94" w:rsidP="00520340">
      <w:pPr>
        <w:pStyle w:val="Default"/>
        <w:jc w:val="both"/>
        <w:rPr>
          <w:color w:val="auto"/>
          <w:sz w:val="23"/>
          <w:szCs w:val="23"/>
        </w:rPr>
      </w:pPr>
    </w:p>
    <w:p w14:paraId="2D24B5FF" w14:textId="405AD729" w:rsidR="00DD6F8B" w:rsidRPr="001D4392" w:rsidRDefault="00DD6F8B" w:rsidP="00DD6F8B">
      <w:pPr>
        <w:pStyle w:val="xmsonospacing"/>
        <w:shd w:val="clear" w:color="auto" w:fill="FFFFFF"/>
        <w:spacing w:before="0" w:beforeAutospacing="0" w:after="0" w:afterAutospacing="0"/>
        <w:jc w:val="both"/>
        <w:rPr>
          <w:rFonts w:ascii="Arial" w:eastAsiaTheme="minorHAnsi" w:hAnsi="Arial" w:cs="Arial"/>
          <w:strike/>
          <w:color w:val="000000"/>
          <w:sz w:val="23"/>
          <w:szCs w:val="23"/>
          <w:lang w:val="es-EC" w:eastAsia="en-US"/>
        </w:rPr>
      </w:pPr>
      <w:bookmarkStart w:id="2" w:name="_Hlk98171816"/>
      <w:r w:rsidRPr="001D4392">
        <w:rPr>
          <w:rFonts w:ascii="Arial" w:hAnsi="Arial" w:cs="Arial"/>
          <w:b/>
          <w:bCs/>
          <w:color w:val="201F1E"/>
          <w:sz w:val="23"/>
          <w:szCs w:val="23"/>
          <w:bdr w:val="none" w:sz="0" w:space="0" w:color="auto" w:frame="1"/>
          <w:shd w:val="clear" w:color="auto" w:fill="FFFFFF"/>
          <w:lang w:val="es-EC"/>
        </w:rPr>
        <w:t>Artículo 1.- </w:t>
      </w:r>
      <w:r w:rsidRPr="001D4392">
        <w:rPr>
          <w:rFonts w:ascii="Arial" w:hAnsi="Arial" w:cs="Arial"/>
          <w:color w:val="201F1E"/>
          <w:sz w:val="23"/>
          <w:szCs w:val="23"/>
          <w:bdr w:val="none" w:sz="0" w:space="0" w:color="auto" w:frame="1"/>
          <w:shd w:val="clear" w:color="auto" w:fill="FFFFFF"/>
          <w:lang w:val="es-EC"/>
        </w:rPr>
        <w:t xml:space="preserve">Cada País Miembro puede aplicar temporalmente, para las subpartidas arancelarias que determine, la reducción de un porcentaje de los gastos de transporte y/o gastos conexos, </w:t>
      </w:r>
      <w:r>
        <w:rPr>
          <w:rFonts w:ascii="Arial" w:hAnsi="Arial" w:cs="Arial"/>
          <w:color w:val="201F1E"/>
          <w:sz w:val="23"/>
          <w:szCs w:val="23"/>
          <w:bdr w:val="none" w:sz="0" w:space="0" w:color="auto" w:frame="1"/>
          <w:shd w:val="clear" w:color="auto" w:fill="FFFFFF"/>
          <w:lang w:val="es-EC"/>
        </w:rPr>
        <w:t>comprendidos en</w:t>
      </w:r>
      <w:r w:rsidRPr="001D4392">
        <w:rPr>
          <w:rFonts w:ascii="Arial" w:hAnsi="Arial" w:cs="Arial"/>
          <w:color w:val="201F1E"/>
          <w:sz w:val="23"/>
          <w:szCs w:val="23"/>
          <w:bdr w:val="none" w:sz="0" w:space="0" w:color="auto" w:frame="1"/>
          <w:shd w:val="clear" w:color="auto" w:fill="FFFFFF"/>
          <w:lang w:val="es-EC"/>
        </w:rPr>
        <w:t xml:space="preserve"> el primer párrafo del artículo 6 de la Decisión 571.</w:t>
      </w:r>
      <w:r w:rsidRPr="001D4392">
        <w:rPr>
          <w:rFonts w:ascii="Arial" w:hAnsi="Arial" w:cs="Arial"/>
          <w:b/>
          <w:bCs/>
          <w:color w:val="201F1E"/>
          <w:sz w:val="23"/>
          <w:szCs w:val="23"/>
          <w:bdr w:val="none" w:sz="0" w:space="0" w:color="auto" w:frame="1"/>
          <w:shd w:val="clear" w:color="auto" w:fill="FFFFFF"/>
          <w:lang w:val="es-EC"/>
        </w:rPr>
        <w:t> </w:t>
      </w:r>
    </w:p>
    <w:bookmarkEnd w:id="2"/>
    <w:p w14:paraId="5B9B2C62" w14:textId="77777777" w:rsidR="00D72906" w:rsidRDefault="00D72906" w:rsidP="00177D30">
      <w:pPr>
        <w:pStyle w:val="Default"/>
        <w:jc w:val="both"/>
        <w:rPr>
          <w:sz w:val="23"/>
          <w:szCs w:val="23"/>
        </w:rPr>
      </w:pPr>
    </w:p>
    <w:p w14:paraId="613ADE61" w14:textId="48EEA551" w:rsidR="00DB3D23" w:rsidRDefault="00DB3D23" w:rsidP="00DB3D23">
      <w:pPr>
        <w:pStyle w:val="Default"/>
        <w:jc w:val="both"/>
        <w:rPr>
          <w:sz w:val="23"/>
          <w:szCs w:val="23"/>
        </w:rPr>
      </w:pPr>
      <w:r>
        <w:rPr>
          <w:b/>
          <w:bCs/>
          <w:sz w:val="23"/>
          <w:szCs w:val="23"/>
        </w:rPr>
        <w:t xml:space="preserve">Artículo 2.- </w:t>
      </w:r>
      <w:r>
        <w:rPr>
          <w:sz w:val="23"/>
          <w:szCs w:val="23"/>
        </w:rPr>
        <w:t>El</w:t>
      </w:r>
      <w:r w:rsidRPr="000F73B4">
        <w:rPr>
          <w:sz w:val="23"/>
          <w:szCs w:val="23"/>
        </w:rPr>
        <w:t xml:space="preserve"> </w:t>
      </w:r>
      <w:r>
        <w:rPr>
          <w:sz w:val="23"/>
          <w:szCs w:val="23"/>
        </w:rPr>
        <w:t>P</w:t>
      </w:r>
      <w:r w:rsidRPr="000F73B4">
        <w:rPr>
          <w:sz w:val="23"/>
          <w:szCs w:val="23"/>
        </w:rPr>
        <w:t xml:space="preserve">aís </w:t>
      </w:r>
      <w:r>
        <w:rPr>
          <w:sz w:val="23"/>
          <w:szCs w:val="23"/>
        </w:rPr>
        <w:t xml:space="preserve">Miembro </w:t>
      </w:r>
      <w:r w:rsidRPr="000F73B4">
        <w:rPr>
          <w:sz w:val="23"/>
          <w:szCs w:val="23"/>
        </w:rPr>
        <w:t xml:space="preserve">que </w:t>
      </w:r>
      <w:r w:rsidRPr="004B6D90">
        <w:rPr>
          <w:sz w:val="23"/>
          <w:szCs w:val="23"/>
        </w:rPr>
        <w:t>adopte la medida</w:t>
      </w:r>
      <w:r>
        <w:rPr>
          <w:sz w:val="23"/>
          <w:szCs w:val="23"/>
        </w:rPr>
        <w:t xml:space="preserve"> a la que se hace mención en el Artículo 1 de la presente Decisión, debe comunicarlo </w:t>
      </w:r>
      <w:r w:rsidRPr="007C492F">
        <w:rPr>
          <w:sz w:val="23"/>
          <w:szCs w:val="23"/>
        </w:rPr>
        <w:t xml:space="preserve">a la Secretaría General de la Comunidad Andina, </w:t>
      </w:r>
      <w:r>
        <w:rPr>
          <w:sz w:val="23"/>
          <w:szCs w:val="23"/>
        </w:rPr>
        <w:t xml:space="preserve">dentro de los </w:t>
      </w:r>
      <w:r w:rsidR="00BA1CD8">
        <w:rPr>
          <w:sz w:val="23"/>
          <w:szCs w:val="23"/>
        </w:rPr>
        <w:t>9</w:t>
      </w:r>
      <w:r>
        <w:rPr>
          <w:sz w:val="23"/>
          <w:szCs w:val="23"/>
        </w:rPr>
        <w:t xml:space="preserve">0 días </w:t>
      </w:r>
      <w:r w:rsidR="006E118F">
        <w:rPr>
          <w:sz w:val="23"/>
          <w:szCs w:val="23"/>
        </w:rPr>
        <w:t>hábiles</w:t>
      </w:r>
      <w:r w:rsidR="00593A8C">
        <w:rPr>
          <w:sz w:val="23"/>
          <w:szCs w:val="23"/>
        </w:rPr>
        <w:t xml:space="preserve"> </w:t>
      </w:r>
      <w:r w:rsidR="00A156A8">
        <w:rPr>
          <w:sz w:val="23"/>
          <w:szCs w:val="23"/>
        </w:rPr>
        <w:t>a partir de su entrada en vigencia</w:t>
      </w:r>
      <w:r w:rsidR="00593A8C">
        <w:rPr>
          <w:sz w:val="23"/>
          <w:szCs w:val="23"/>
        </w:rPr>
        <w:t>,</w:t>
      </w:r>
      <w:r w:rsidRPr="007C492F">
        <w:rPr>
          <w:sz w:val="23"/>
          <w:szCs w:val="23"/>
        </w:rPr>
        <w:t xml:space="preserve"> a fin de que sea puesta en conocimiento de los demás Países Miembros</w:t>
      </w:r>
      <w:r w:rsidR="00A156A8">
        <w:rPr>
          <w:sz w:val="23"/>
          <w:szCs w:val="23"/>
        </w:rPr>
        <w:t>.</w:t>
      </w:r>
    </w:p>
    <w:p w14:paraId="04C02040" w14:textId="77777777" w:rsidR="007C492F" w:rsidRDefault="007C492F" w:rsidP="00177D30">
      <w:pPr>
        <w:pStyle w:val="Default"/>
        <w:jc w:val="both"/>
        <w:rPr>
          <w:b/>
          <w:bCs/>
          <w:sz w:val="23"/>
          <w:szCs w:val="23"/>
        </w:rPr>
      </w:pPr>
    </w:p>
    <w:p w14:paraId="68DFC7CA" w14:textId="5F3C4EF5" w:rsidR="00177D30" w:rsidRDefault="00177D30" w:rsidP="00177D30">
      <w:pPr>
        <w:pStyle w:val="Default"/>
        <w:jc w:val="both"/>
        <w:rPr>
          <w:sz w:val="23"/>
          <w:szCs w:val="23"/>
        </w:rPr>
      </w:pPr>
      <w:r>
        <w:rPr>
          <w:b/>
          <w:bCs/>
          <w:sz w:val="23"/>
          <w:szCs w:val="23"/>
        </w:rPr>
        <w:t xml:space="preserve">Artículo 3.- </w:t>
      </w:r>
      <w:r>
        <w:rPr>
          <w:sz w:val="23"/>
          <w:szCs w:val="23"/>
        </w:rPr>
        <w:t xml:space="preserve">La </w:t>
      </w:r>
      <w:r w:rsidR="009001DD">
        <w:rPr>
          <w:sz w:val="23"/>
          <w:szCs w:val="23"/>
        </w:rPr>
        <w:t xml:space="preserve">aplicación del porcentaje </w:t>
      </w:r>
      <w:r>
        <w:rPr>
          <w:sz w:val="23"/>
          <w:szCs w:val="23"/>
        </w:rPr>
        <w:t>a</w:t>
      </w:r>
      <w:r w:rsidR="009001DD">
        <w:rPr>
          <w:sz w:val="23"/>
          <w:szCs w:val="23"/>
        </w:rPr>
        <w:t>l</w:t>
      </w:r>
      <w:r>
        <w:rPr>
          <w:sz w:val="23"/>
          <w:szCs w:val="23"/>
        </w:rPr>
        <w:t xml:space="preserve"> que hace referencia el </w:t>
      </w:r>
      <w:r w:rsidR="009F61C0">
        <w:rPr>
          <w:sz w:val="23"/>
          <w:szCs w:val="23"/>
        </w:rPr>
        <w:t>A</w:t>
      </w:r>
      <w:r>
        <w:rPr>
          <w:sz w:val="23"/>
          <w:szCs w:val="23"/>
        </w:rPr>
        <w:t>rtículo 1 de la presente Decisión</w:t>
      </w:r>
      <w:r w:rsidR="009001DD">
        <w:rPr>
          <w:sz w:val="23"/>
          <w:szCs w:val="23"/>
        </w:rPr>
        <w:t>,</w:t>
      </w:r>
      <w:r>
        <w:rPr>
          <w:sz w:val="23"/>
          <w:szCs w:val="23"/>
        </w:rPr>
        <w:t xml:space="preserve"> tendrá vigencia hasta el 31 de diciembre de</w:t>
      </w:r>
      <w:r w:rsidR="00D849D4">
        <w:rPr>
          <w:sz w:val="23"/>
          <w:szCs w:val="23"/>
        </w:rPr>
        <w:t xml:space="preserve"> </w:t>
      </w:r>
      <w:r w:rsidR="00D849D4" w:rsidRPr="00D849D4">
        <w:rPr>
          <w:sz w:val="23"/>
          <w:szCs w:val="23"/>
        </w:rPr>
        <w:t>202</w:t>
      </w:r>
      <w:r w:rsidR="006063A4">
        <w:rPr>
          <w:sz w:val="23"/>
          <w:szCs w:val="23"/>
        </w:rPr>
        <w:t>3</w:t>
      </w:r>
      <w:r w:rsidR="00D849D4" w:rsidRPr="00D849D4">
        <w:rPr>
          <w:sz w:val="23"/>
          <w:szCs w:val="23"/>
        </w:rPr>
        <w:t>. A solicitud de los Países Miembros</w:t>
      </w:r>
      <w:r w:rsidR="003D5C9F">
        <w:rPr>
          <w:sz w:val="23"/>
          <w:szCs w:val="23"/>
        </w:rPr>
        <w:t>,</w:t>
      </w:r>
      <w:r w:rsidR="00D849D4" w:rsidRPr="00D849D4">
        <w:rPr>
          <w:sz w:val="23"/>
          <w:szCs w:val="23"/>
        </w:rPr>
        <w:t xml:space="preserve"> se podrá evaluar la prórroga de la presente Decisión</w:t>
      </w:r>
      <w:r w:rsidR="00287BC1">
        <w:rPr>
          <w:sz w:val="23"/>
          <w:szCs w:val="23"/>
        </w:rPr>
        <w:t>,</w:t>
      </w:r>
      <w:r w:rsidR="008C22DA">
        <w:rPr>
          <w:sz w:val="23"/>
          <w:szCs w:val="23"/>
        </w:rPr>
        <w:t xml:space="preserve"> </w:t>
      </w:r>
      <w:r w:rsidR="00092A8F" w:rsidRPr="0028527B">
        <w:rPr>
          <w:color w:val="000000" w:themeColor="text1"/>
          <w:sz w:val="23"/>
          <w:szCs w:val="23"/>
        </w:rPr>
        <w:t>por única vez</w:t>
      </w:r>
      <w:r w:rsidR="00287BC1" w:rsidRPr="00167D9D">
        <w:rPr>
          <w:color w:val="000000" w:themeColor="text1"/>
          <w:sz w:val="23"/>
          <w:szCs w:val="23"/>
        </w:rPr>
        <w:t>,</w:t>
      </w:r>
      <w:r w:rsidR="00092A8F" w:rsidRPr="00167D9D">
        <w:rPr>
          <w:color w:val="000000" w:themeColor="text1"/>
          <w:sz w:val="23"/>
          <w:szCs w:val="23"/>
        </w:rPr>
        <w:t xml:space="preserve"> </w:t>
      </w:r>
      <w:r w:rsidR="00520340" w:rsidRPr="00832019">
        <w:rPr>
          <w:sz w:val="23"/>
          <w:szCs w:val="23"/>
        </w:rPr>
        <w:t xml:space="preserve">por </w:t>
      </w:r>
      <w:r w:rsidR="00412824" w:rsidRPr="00832019">
        <w:rPr>
          <w:sz w:val="23"/>
          <w:szCs w:val="23"/>
        </w:rPr>
        <w:t>un</w:t>
      </w:r>
      <w:r w:rsidR="00520340" w:rsidRPr="00832019">
        <w:rPr>
          <w:sz w:val="23"/>
          <w:szCs w:val="23"/>
        </w:rPr>
        <w:t xml:space="preserve"> (</w:t>
      </w:r>
      <w:r w:rsidR="00412824" w:rsidRPr="00832019">
        <w:rPr>
          <w:sz w:val="23"/>
          <w:szCs w:val="23"/>
        </w:rPr>
        <w:t>1</w:t>
      </w:r>
      <w:r w:rsidR="00520340" w:rsidRPr="00832019">
        <w:rPr>
          <w:sz w:val="23"/>
          <w:szCs w:val="23"/>
        </w:rPr>
        <w:t>) año adicional</w:t>
      </w:r>
      <w:r w:rsidRPr="00832019">
        <w:rPr>
          <w:sz w:val="23"/>
          <w:szCs w:val="23"/>
        </w:rPr>
        <w:t>.</w:t>
      </w:r>
      <w:r w:rsidR="00D849D4">
        <w:rPr>
          <w:sz w:val="23"/>
          <w:szCs w:val="23"/>
        </w:rPr>
        <w:t xml:space="preserve"> </w:t>
      </w:r>
    </w:p>
    <w:p w14:paraId="50AEB888" w14:textId="77777777" w:rsidR="007C492F" w:rsidRDefault="007C492F" w:rsidP="006D02A2">
      <w:pPr>
        <w:pStyle w:val="Default"/>
        <w:jc w:val="both"/>
        <w:rPr>
          <w:sz w:val="23"/>
          <w:szCs w:val="23"/>
        </w:rPr>
      </w:pPr>
    </w:p>
    <w:p w14:paraId="682B708A" w14:textId="0A61455D" w:rsidR="00177D30" w:rsidRDefault="00177D30" w:rsidP="006D02A2">
      <w:pPr>
        <w:pStyle w:val="Default"/>
        <w:jc w:val="both"/>
        <w:rPr>
          <w:sz w:val="23"/>
          <w:szCs w:val="23"/>
        </w:rPr>
      </w:pPr>
      <w:r>
        <w:rPr>
          <w:sz w:val="23"/>
          <w:szCs w:val="23"/>
        </w:rPr>
        <w:t>La presente Decisión entrará en vigencia a partir de la fecha de su publicación en la Gaceta O</w:t>
      </w:r>
      <w:r w:rsidR="006D02A2">
        <w:rPr>
          <w:sz w:val="23"/>
          <w:szCs w:val="23"/>
        </w:rPr>
        <w:t>ficial del Acuerdo de Cartagena.</w:t>
      </w:r>
    </w:p>
    <w:p w14:paraId="65894B00" w14:textId="77777777" w:rsidR="006D02A2" w:rsidRDefault="006D02A2" w:rsidP="006D02A2">
      <w:pPr>
        <w:pStyle w:val="Default"/>
        <w:jc w:val="both"/>
        <w:rPr>
          <w:sz w:val="23"/>
          <w:szCs w:val="23"/>
        </w:rPr>
      </w:pPr>
    </w:p>
    <w:p w14:paraId="5F0F3C47" w14:textId="487E49AC" w:rsidR="005C3759" w:rsidRDefault="006D02A2" w:rsidP="00177D30">
      <w:pPr>
        <w:jc w:val="both"/>
        <w:rPr>
          <w:rFonts w:ascii="Arial" w:hAnsi="Arial" w:cs="Arial"/>
          <w:color w:val="000000"/>
          <w:sz w:val="23"/>
          <w:szCs w:val="23"/>
        </w:rPr>
      </w:pPr>
      <w:r w:rsidRPr="006D02A2">
        <w:rPr>
          <w:rFonts w:ascii="Arial" w:hAnsi="Arial" w:cs="Arial"/>
          <w:color w:val="000000"/>
          <w:sz w:val="23"/>
          <w:szCs w:val="23"/>
        </w:rPr>
        <w:t xml:space="preserve">Dada en la ciudad de </w:t>
      </w:r>
      <w:r w:rsidR="0005665D">
        <w:rPr>
          <w:rFonts w:ascii="Arial" w:hAnsi="Arial" w:cs="Arial"/>
          <w:color w:val="000000"/>
          <w:sz w:val="23"/>
          <w:szCs w:val="23"/>
        </w:rPr>
        <w:t>Lima</w:t>
      </w:r>
      <w:r w:rsidRPr="006D02A2">
        <w:rPr>
          <w:rFonts w:ascii="Arial" w:hAnsi="Arial" w:cs="Arial"/>
          <w:color w:val="000000"/>
          <w:sz w:val="23"/>
          <w:szCs w:val="23"/>
        </w:rPr>
        <w:t xml:space="preserve">, Perú, a los </w:t>
      </w:r>
      <w:r w:rsidR="008C4A19">
        <w:rPr>
          <w:rFonts w:ascii="Arial" w:hAnsi="Arial" w:cs="Arial"/>
          <w:color w:val="000000"/>
          <w:sz w:val="23"/>
          <w:szCs w:val="23"/>
        </w:rPr>
        <w:t>dieciséis</w:t>
      </w:r>
      <w:r w:rsidRPr="006D02A2">
        <w:rPr>
          <w:rFonts w:ascii="Arial" w:hAnsi="Arial" w:cs="Arial"/>
          <w:color w:val="000000"/>
          <w:sz w:val="23"/>
          <w:szCs w:val="23"/>
        </w:rPr>
        <w:t xml:space="preserve"> días del mes de </w:t>
      </w:r>
      <w:r w:rsidR="008C4A19">
        <w:rPr>
          <w:rFonts w:ascii="Arial" w:hAnsi="Arial" w:cs="Arial"/>
          <w:color w:val="000000"/>
          <w:sz w:val="23"/>
          <w:szCs w:val="23"/>
        </w:rPr>
        <w:t>marzo</w:t>
      </w:r>
      <w:r w:rsidRPr="006D02A2">
        <w:rPr>
          <w:rFonts w:ascii="Arial" w:hAnsi="Arial" w:cs="Arial"/>
          <w:color w:val="000000"/>
          <w:sz w:val="23"/>
          <w:szCs w:val="23"/>
        </w:rPr>
        <w:t xml:space="preserve"> del año dos mil </w:t>
      </w:r>
      <w:r w:rsidR="008C4A19">
        <w:rPr>
          <w:rFonts w:ascii="Arial" w:hAnsi="Arial" w:cs="Arial"/>
          <w:color w:val="000000"/>
          <w:sz w:val="23"/>
          <w:szCs w:val="23"/>
        </w:rPr>
        <w:t>veintidós</w:t>
      </w:r>
      <w:r w:rsidRPr="006D02A2">
        <w:rPr>
          <w:rFonts w:ascii="Arial" w:hAnsi="Arial" w:cs="Arial"/>
          <w:color w:val="000000"/>
          <w:sz w:val="23"/>
          <w:szCs w:val="23"/>
        </w:rPr>
        <w:t>.</w:t>
      </w:r>
    </w:p>
    <w:sectPr w:rsidR="005C3759" w:rsidSect="000E2BF3">
      <w:pgSz w:w="11906" w:h="16838"/>
      <w:pgMar w:top="1417"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1844BD"/>
    <w:multiLevelType w:val="hybridMultilevel"/>
    <w:tmpl w:val="BD74AB6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749C530C"/>
    <w:multiLevelType w:val="hybridMultilevel"/>
    <w:tmpl w:val="3A6228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D30"/>
    <w:rsid w:val="00000830"/>
    <w:rsid w:val="00000A26"/>
    <w:rsid w:val="000262F2"/>
    <w:rsid w:val="00034305"/>
    <w:rsid w:val="0005665D"/>
    <w:rsid w:val="00085ECC"/>
    <w:rsid w:val="00092A8F"/>
    <w:rsid w:val="000B45CA"/>
    <w:rsid w:val="000D491A"/>
    <w:rsid w:val="000E0FF5"/>
    <w:rsid w:val="000E2BF3"/>
    <w:rsid w:val="000E71FC"/>
    <w:rsid w:val="000F73B4"/>
    <w:rsid w:val="00103BD1"/>
    <w:rsid w:val="00114DF4"/>
    <w:rsid w:val="00166E67"/>
    <w:rsid w:val="00167D9D"/>
    <w:rsid w:val="00177D30"/>
    <w:rsid w:val="00182DE0"/>
    <w:rsid w:val="0018363E"/>
    <w:rsid w:val="001C277A"/>
    <w:rsid w:val="001D4392"/>
    <w:rsid w:val="001E05C1"/>
    <w:rsid w:val="001F2B13"/>
    <w:rsid w:val="001F43DE"/>
    <w:rsid w:val="001F6072"/>
    <w:rsid w:val="001F6BD8"/>
    <w:rsid w:val="00212A57"/>
    <w:rsid w:val="00235790"/>
    <w:rsid w:val="0028527B"/>
    <w:rsid w:val="00287BC1"/>
    <w:rsid w:val="00295319"/>
    <w:rsid w:val="002F2953"/>
    <w:rsid w:val="00303BA8"/>
    <w:rsid w:val="00321F09"/>
    <w:rsid w:val="00365265"/>
    <w:rsid w:val="00377BB0"/>
    <w:rsid w:val="003C370F"/>
    <w:rsid w:val="003D5C9F"/>
    <w:rsid w:val="003F4D08"/>
    <w:rsid w:val="00400BDA"/>
    <w:rsid w:val="00412824"/>
    <w:rsid w:val="00426B1B"/>
    <w:rsid w:val="00445820"/>
    <w:rsid w:val="0046561C"/>
    <w:rsid w:val="00467F4F"/>
    <w:rsid w:val="00471352"/>
    <w:rsid w:val="004A2A72"/>
    <w:rsid w:val="004B6D90"/>
    <w:rsid w:val="004E02C3"/>
    <w:rsid w:val="004E7CCB"/>
    <w:rsid w:val="00504118"/>
    <w:rsid w:val="005068B5"/>
    <w:rsid w:val="00510C94"/>
    <w:rsid w:val="00520340"/>
    <w:rsid w:val="00526489"/>
    <w:rsid w:val="00531BE2"/>
    <w:rsid w:val="00536141"/>
    <w:rsid w:val="00553821"/>
    <w:rsid w:val="00554FF7"/>
    <w:rsid w:val="005616BB"/>
    <w:rsid w:val="00593A8C"/>
    <w:rsid w:val="005A4191"/>
    <w:rsid w:val="005A6C4D"/>
    <w:rsid w:val="005B11F8"/>
    <w:rsid w:val="005B3279"/>
    <w:rsid w:val="005C3759"/>
    <w:rsid w:val="005F249E"/>
    <w:rsid w:val="006042DC"/>
    <w:rsid w:val="006063A4"/>
    <w:rsid w:val="00641723"/>
    <w:rsid w:val="0065549B"/>
    <w:rsid w:val="00693BC5"/>
    <w:rsid w:val="006A28AD"/>
    <w:rsid w:val="006B0C59"/>
    <w:rsid w:val="006B2A8D"/>
    <w:rsid w:val="006D02A2"/>
    <w:rsid w:val="006D3566"/>
    <w:rsid w:val="006D64E3"/>
    <w:rsid w:val="006E118F"/>
    <w:rsid w:val="006E1F2D"/>
    <w:rsid w:val="007115A7"/>
    <w:rsid w:val="00717A17"/>
    <w:rsid w:val="00736382"/>
    <w:rsid w:val="00755700"/>
    <w:rsid w:val="00777B1D"/>
    <w:rsid w:val="007935B1"/>
    <w:rsid w:val="007A2F5A"/>
    <w:rsid w:val="007A4071"/>
    <w:rsid w:val="007B0F5B"/>
    <w:rsid w:val="007B7114"/>
    <w:rsid w:val="007C28A3"/>
    <w:rsid w:val="007C492F"/>
    <w:rsid w:val="007E46BF"/>
    <w:rsid w:val="007E480F"/>
    <w:rsid w:val="00832019"/>
    <w:rsid w:val="0083566B"/>
    <w:rsid w:val="00845013"/>
    <w:rsid w:val="00847161"/>
    <w:rsid w:val="00851BA1"/>
    <w:rsid w:val="00876D90"/>
    <w:rsid w:val="008974B9"/>
    <w:rsid w:val="008A783A"/>
    <w:rsid w:val="008C22DA"/>
    <w:rsid w:val="008C4A19"/>
    <w:rsid w:val="008E6737"/>
    <w:rsid w:val="009001DD"/>
    <w:rsid w:val="00915659"/>
    <w:rsid w:val="009512C7"/>
    <w:rsid w:val="009631A3"/>
    <w:rsid w:val="00983999"/>
    <w:rsid w:val="0098672B"/>
    <w:rsid w:val="00992F92"/>
    <w:rsid w:val="009F2088"/>
    <w:rsid w:val="009F61C0"/>
    <w:rsid w:val="009F6CC6"/>
    <w:rsid w:val="00A156A8"/>
    <w:rsid w:val="00A2078F"/>
    <w:rsid w:val="00A24F7F"/>
    <w:rsid w:val="00A30868"/>
    <w:rsid w:val="00A50473"/>
    <w:rsid w:val="00A72B39"/>
    <w:rsid w:val="00A73246"/>
    <w:rsid w:val="00AB660C"/>
    <w:rsid w:val="00AC71F6"/>
    <w:rsid w:val="00AD3EED"/>
    <w:rsid w:val="00AE2C24"/>
    <w:rsid w:val="00B15DE2"/>
    <w:rsid w:val="00B269E1"/>
    <w:rsid w:val="00B3099F"/>
    <w:rsid w:val="00B30E55"/>
    <w:rsid w:val="00B32626"/>
    <w:rsid w:val="00B515DB"/>
    <w:rsid w:val="00B52E2E"/>
    <w:rsid w:val="00BA1CD8"/>
    <w:rsid w:val="00BA7C52"/>
    <w:rsid w:val="00BB5E3C"/>
    <w:rsid w:val="00BB6B35"/>
    <w:rsid w:val="00BE1A8A"/>
    <w:rsid w:val="00BE5A94"/>
    <w:rsid w:val="00BF2C4C"/>
    <w:rsid w:val="00C378F8"/>
    <w:rsid w:val="00C97B3E"/>
    <w:rsid w:val="00CB4759"/>
    <w:rsid w:val="00CE2562"/>
    <w:rsid w:val="00D228DB"/>
    <w:rsid w:val="00D46F96"/>
    <w:rsid w:val="00D512A9"/>
    <w:rsid w:val="00D6577D"/>
    <w:rsid w:val="00D72906"/>
    <w:rsid w:val="00D849D4"/>
    <w:rsid w:val="00DB3D23"/>
    <w:rsid w:val="00DC6E10"/>
    <w:rsid w:val="00DD6F8B"/>
    <w:rsid w:val="00DE54D2"/>
    <w:rsid w:val="00E05C07"/>
    <w:rsid w:val="00E17FBB"/>
    <w:rsid w:val="00E215A4"/>
    <w:rsid w:val="00E37E68"/>
    <w:rsid w:val="00E75589"/>
    <w:rsid w:val="00EC4BC3"/>
    <w:rsid w:val="00EE419A"/>
    <w:rsid w:val="00F3248F"/>
    <w:rsid w:val="00F42EE7"/>
    <w:rsid w:val="00F45A42"/>
    <w:rsid w:val="00F561EA"/>
    <w:rsid w:val="00F92024"/>
    <w:rsid w:val="00F962E9"/>
    <w:rsid w:val="00F97077"/>
    <w:rsid w:val="00F971A3"/>
    <w:rsid w:val="00FA1171"/>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7B88"/>
  <w15:docId w15:val="{0E84BAFD-A4C5-48E5-8C2D-037954E7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77D30"/>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177D30"/>
    <w:rPr>
      <w:sz w:val="16"/>
      <w:szCs w:val="16"/>
    </w:rPr>
  </w:style>
  <w:style w:type="paragraph" w:styleId="Textocomentario">
    <w:name w:val="annotation text"/>
    <w:basedOn w:val="Normal"/>
    <w:link w:val="TextocomentarioCar"/>
    <w:uiPriority w:val="99"/>
    <w:unhideWhenUsed/>
    <w:rsid w:val="00177D30"/>
    <w:pPr>
      <w:spacing w:line="240" w:lineRule="auto"/>
    </w:pPr>
    <w:rPr>
      <w:sz w:val="20"/>
      <w:szCs w:val="20"/>
    </w:rPr>
  </w:style>
  <w:style w:type="character" w:customStyle="1" w:styleId="TextocomentarioCar">
    <w:name w:val="Texto comentario Car"/>
    <w:basedOn w:val="Fuentedeprrafopredeter"/>
    <w:link w:val="Textocomentario"/>
    <w:uiPriority w:val="99"/>
    <w:rsid w:val="00177D30"/>
    <w:rPr>
      <w:sz w:val="20"/>
      <w:szCs w:val="20"/>
    </w:rPr>
  </w:style>
  <w:style w:type="paragraph" w:styleId="Asuntodelcomentario">
    <w:name w:val="annotation subject"/>
    <w:basedOn w:val="Textocomentario"/>
    <w:next w:val="Textocomentario"/>
    <w:link w:val="AsuntodelcomentarioCar"/>
    <w:uiPriority w:val="99"/>
    <w:semiHidden/>
    <w:unhideWhenUsed/>
    <w:rsid w:val="00177D30"/>
    <w:rPr>
      <w:b/>
      <w:bCs/>
    </w:rPr>
  </w:style>
  <w:style w:type="character" w:customStyle="1" w:styleId="AsuntodelcomentarioCar">
    <w:name w:val="Asunto del comentario Car"/>
    <w:basedOn w:val="TextocomentarioCar"/>
    <w:link w:val="Asuntodelcomentario"/>
    <w:uiPriority w:val="99"/>
    <w:semiHidden/>
    <w:rsid w:val="00177D30"/>
    <w:rPr>
      <w:b/>
      <w:bCs/>
      <w:sz w:val="20"/>
      <w:szCs w:val="20"/>
    </w:rPr>
  </w:style>
  <w:style w:type="paragraph" w:styleId="Textodeglobo">
    <w:name w:val="Balloon Text"/>
    <w:basedOn w:val="Normal"/>
    <w:link w:val="TextodegloboCar"/>
    <w:uiPriority w:val="99"/>
    <w:semiHidden/>
    <w:unhideWhenUsed/>
    <w:rsid w:val="00177D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7D30"/>
    <w:rPr>
      <w:rFonts w:ascii="Tahoma" w:hAnsi="Tahoma" w:cs="Tahoma"/>
      <w:sz w:val="16"/>
      <w:szCs w:val="16"/>
    </w:rPr>
  </w:style>
  <w:style w:type="paragraph" w:styleId="Revisin">
    <w:name w:val="Revision"/>
    <w:hidden/>
    <w:uiPriority w:val="99"/>
    <w:semiHidden/>
    <w:rsid w:val="00B15DE2"/>
    <w:pPr>
      <w:spacing w:after="0" w:line="240" w:lineRule="auto"/>
    </w:pPr>
  </w:style>
  <w:style w:type="paragraph" w:customStyle="1" w:styleId="xdefault">
    <w:name w:val="x_default"/>
    <w:basedOn w:val="Normal"/>
    <w:rsid w:val="00554FF7"/>
    <w:pPr>
      <w:spacing w:before="100" w:beforeAutospacing="1" w:after="100" w:afterAutospacing="1" w:line="240" w:lineRule="auto"/>
    </w:pPr>
    <w:rPr>
      <w:rFonts w:ascii="Times New Roman" w:eastAsia="Times New Roman" w:hAnsi="Times New Roman" w:cs="Times New Roman"/>
      <w:sz w:val="24"/>
      <w:szCs w:val="24"/>
      <w:lang w:val="es-PE" w:eastAsia="ja-JP"/>
    </w:rPr>
  </w:style>
  <w:style w:type="paragraph" w:customStyle="1" w:styleId="xmsonospacing">
    <w:name w:val="x_msonospacing"/>
    <w:basedOn w:val="Normal"/>
    <w:rsid w:val="000E0FF5"/>
    <w:pPr>
      <w:spacing w:before="100" w:beforeAutospacing="1" w:after="100" w:afterAutospacing="1" w:line="240" w:lineRule="auto"/>
    </w:pPr>
    <w:rPr>
      <w:rFonts w:ascii="Times New Roman" w:eastAsia="Times New Roman" w:hAnsi="Times New Roman" w:cs="Times New Roman"/>
      <w:sz w:val="24"/>
      <w:szCs w:val="24"/>
      <w:lang w:val="es-PE" w:eastAsia="ja-JP"/>
    </w:rPr>
  </w:style>
  <w:style w:type="paragraph" w:styleId="NormalWeb">
    <w:name w:val="Normal (Web)"/>
    <w:basedOn w:val="Normal"/>
    <w:uiPriority w:val="99"/>
    <w:semiHidden/>
    <w:unhideWhenUsed/>
    <w:rsid w:val="00504118"/>
    <w:pPr>
      <w:spacing w:before="100" w:beforeAutospacing="1" w:after="100" w:afterAutospacing="1" w:line="240" w:lineRule="auto"/>
    </w:pPr>
    <w:rPr>
      <w:rFonts w:ascii="Times New Roman" w:eastAsia="Times New Roman" w:hAnsi="Times New Roman" w:cs="Times New Roman"/>
      <w:sz w:val="24"/>
      <w:szCs w:val="24"/>
      <w:lang w:val="es-PE" w:eastAsia="ja-JP"/>
    </w:rPr>
  </w:style>
  <w:style w:type="paragraph" w:styleId="Sinespaciado">
    <w:name w:val="No Spacing"/>
    <w:uiPriority w:val="1"/>
    <w:qFormat/>
    <w:rsid w:val="007C492F"/>
    <w:pPr>
      <w:spacing w:after="0" w:line="240" w:lineRule="auto"/>
    </w:pPr>
  </w:style>
  <w:style w:type="paragraph" w:customStyle="1" w:styleId="default0">
    <w:name w:val="default"/>
    <w:basedOn w:val="Normal"/>
    <w:rsid w:val="00693BC5"/>
    <w:pPr>
      <w:spacing w:before="100" w:beforeAutospacing="1" w:after="100" w:afterAutospacing="1" w:line="240" w:lineRule="auto"/>
    </w:pPr>
    <w:rPr>
      <w:rFonts w:ascii="Times New Roman" w:eastAsia="Times New Roman" w:hAnsi="Times New Roman" w:cs="Times New Roman"/>
      <w:sz w:val="24"/>
      <w:szCs w:val="24"/>
      <w:lang w:val="es-PE" w:eastAsia="ja-JP"/>
    </w:rPr>
  </w:style>
  <w:style w:type="paragraph" w:styleId="Ttulo">
    <w:name w:val="Title"/>
    <w:basedOn w:val="Normal"/>
    <w:link w:val="TtuloCar"/>
    <w:qFormat/>
    <w:rsid w:val="008C4A19"/>
    <w:pPr>
      <w:spacing w:after="0" w:line="240" w:lineRule="auto"/>
      <w:jc w:val="center"/>
    </w:pPr>
    <w:rPr>
      <w:rFonts w:ascii="Times New Roman" w:eastAsia="Times New Roman" w:hAnsi="Times New Roman" w:cs="Times New Roman"/>
      <w:sz w:val="40"/>
      <w:szCs w:val="20"/>
      <w:lang w:val="es-ES_tradnl" w:eastAsia="es-ES"/>
    </w:rPr>
  </w:style>
  <w:style w:type="character" w:customStyle="1" w:styleId="TtuloCar">
    <w:name w:val="Título Car"/>
    <w:basedOn w:val="Fuentedeprrafopredeter"/>
    <w:link w:val="Ttulo"/>
    <w:rsid w:val="008C4A19"/>
    <w:rPr>
      <w:rFonts w:ascii="Times New Roman" w:eastAsia="Times New Roman" w:hAnsi="Times New Roman" w:cs="Times New Roman"/>
      <w:sz w:val="4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67377">
      <w:bodyDiv w:val="1"/>
      <w:marLeft w:val="0"/>
      <w:marRight w:val="0"/>
      <w:marTop w:val="0"/>
      <w:marBottom w:val="0"/>
      <w:divBdr>
        <w:top w:val="none" w:sz="0" w:space="0" w:color="auto"/>
        <w:left w:val="none" w:sz="0" w:space="0" w:color="auto"/>
        <w:bottom w:val="none" w:sz="0" w:space="0" w:color="auto"/>
        <w:right w:val="none" w:sz="0" w:space="0" w:color="auto"/>
      </w:divBdr>
    </w:div>
    <w:div w:id="264701150">
      <w:bodyDiv w:val="1"/>
      <w:marLeft w:val="0"/>
      <w:marRight w:val="0"/>
      <w:marTop w:val="0"/>
      <w:marBottom w:val="0"/>
      <w:divBdr>
        <w:top w:val="none" w:sz="0" w:space="0" w:color="auto"/>
        <w:left w:val="none" w:sz="0" w:space="0" w:color="auto"/>
        <w:bottom w:val="none" w:sz="0" w:space="0" w:color="auto"/>
        <w:right w:val="none" w:sz="0" w:space="0" w:color="auto"/>
      </w:divBdr>
      <w:divsChild>
        <w:div w:id="772365712">
          <w:marLeft w:val="0"/>
          <w:marRight w:val="0"/>
          <w:marTop w:val="0"/>
          <w:marBottom w:val="0"/>
          <w:divBdr>
            <w:top w:val="none" w:sz="0" w:space="0" w:color="auto"/>
            <w:left w:val="none" w:sz="0" w:space="0" w:color="auto"/>
            <w:bottom w:val="none" w:sz="0" w:space="0" w:color="auto"/>
            <w:right w:val="none" w:sz="0" w:space="0" w:color="auto"/>
          </w:divBdr>
        </w:div>
        <w:div w:id="2007123139">
          <w:marLeft w:val="0"/>
          <w:marRight w:val="0"/>
          <w:marTop w:val="0"/>
          <w:marBottom w:val="0"/>
          <w:divBdr>
            <w:top w:val="none" w:sz="0" w:space="0" w:color="auto"/>
            <w:left w:val="none" w:sz="0" w:space="0" w:color="auto"/>
            <w:bottom w:val="none" w:sz="0" w:space="0" w:color="auto"/>
            <w:right w:val="none" w:sz="0" w:space="0" w:color="auto"/>
          </w:divBdr>
        </w:div>
      </w:divsChild>
    </w:div>
    <w:div w:id="740256744">
      <w:bodyDiv w:val="1"/>
      <w:marLeft w:val="0"/>
      <w:marRight w:val="0"/>
      <w:marTop w:val="0"/>
      <w:marBottom w:val="0"/>
      <w:divBdr>
        <w:top w:val="none" w:sz="0" w:space="0" w:color="auto"/>
        <w:left w:val="none" w:sz="0" w:space="0" w:color="auto"/>
        <w:bottom w:val="none" w:sz="0" w:space="0" w:color="auto"/>
        <w:right w:val="none" w:sz="0" w:space="0" w:color="auto"/>
      </w:divBdr>
    </w:div>
    <w:div w:id="917136004">
      <w:bodyDiv w:val="1"/>
      <w:marLeft w:val="0"/>
      <w:marRight w:val="0"/>
      <w:marTop w:val="0"/>
      <w:marBottom w:val="0"/>
      <w:divBdr>
        <w:top w:val="none" w:sz="0" w:space="0" w:color="auto"/>
        <w:left w:val="none" w:sz="0" w:space="0" w:color="auto"/>
        <w:bottom w:val="none" w:sz="0" w:space="0" w:color="auto"/>
        <w:right w:val="none" w:sz="0" w:space="0" w:color="auto"/>
      </w:divBdr>
      <w:divsChild>
        <w:div w:id="1047991127">
          <w:marLeft w:val="0"/>
          <w:marRight w:val="0"/>
          <w:marTop w:val="0"/>
          <w:marBottom w:val="0"/>
          <w:divBdr>
            <w:top w:val="none" w:sz="0" w:space="0" w:color="auto"/>
            <w:left w:val="none" w:sz="0" w:space="0" w:color="auto"/>
            <w:bottom w:val="none" w:sz="0" w:space="0" w:color="auto"/>
            <w:right w:val="none" w:sz="0" w:space="0" w:color="auto"/>
          </w:divBdr>
          <w:divsChild>
            <w:div w:id="118759431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2114395991">
          <w:marLeft w:val="0"/>
          <w:marRight w:val="0"/>
          <w:marTop w:val="0"/>
          <w:marBottom w:val="0"/>
          <w:divBdr>
            <w:top w:val="none" w:sz="0" w:space="0" w:color="auto"/>
            <w:left w:val="none" w:sz="0" w:space="0" w:color="auto"/>
            <w:bottom w:val="none" w:sz="0" w:space="0" w:color="auto"/>
            <w:right w:val="none" w:sz="0" w:space="0" w:color="auto"/>
          </w:divBdr>
        </w:div>
        <w:div w:id="1576472088">
          <w:marLeft w:val="0"/>
          <w:marRight w:val="0"/>
          <w:marTop w:val="0"/>
          <w:marBottom w:val="0"/>
          <w:divBdr>
            <w:top w:val="none" w:sz="0" w:space="0" w:color="auto"/>
            <w:left w:val="none" w:sz="0" w:space="0" w:color="auto"/>
            <w:bottom w:val="none" w:sz="0" w:space="0" w:color="auto"/>
            <w:right w:val="none" w:sz="0" w:space="0" w:color="auto"/>
          </w:divBdr>
        </w:div>
        <w:div w:id="869148756">
          <w:marLeft w:val="0"/>
          <w:marRight w:val="0"/>
          <w:marTop w:val="0"/>
          <w:marBottom w:val="0"/>
          <w:divBdr>
            <w:top w:val="none" w:sz="0" w:space="0" w:color="auto"/>
            <w:left w:val="none" w:sz="0" w:space="0" w:color="auto"/>
            <w:bottom w:val="none" w:sz="0" w:space="0" w:color="auto"/>
            <w:right w:val="none" w:sz="0" w:space="0" w:color="auto"/>
          </w:divBdr>
          <w:divsChild>
            <w:div w:id="1291328487">
              <w:blockQuote w:val="1"/>
              <w:marLeft w:val="720"/>
              <w:marRight w:val="720"/>
              <w:marTop w:val="0"/>
              <w:marBottom w:val="0"/>
              <w:divBdr>
                <w:top w:val="none" w:sz="0" w:space="0" w:color="auto"/>
                <w:left w:val="none" w:sz="0" w:space="0" w:color="auto"/>
                <w:bottom w:val="none" w:sz="0" w:space="0" w:color="auto"/>
                <w:right w:val="none" w:sz="0" w:space="0" w:color="auto"/>
              </w:divBdr>
            </w:div>
            <w:div w:id="21681816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 w:id="160572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E9CC3-D52C-4D49-A396-6AE163996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767</Words>
  <Characters>4375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Suarez Manuel - DPA GYE</dc:creator>
  <cp:lastModifiedBy>Miguel Hinostroza Villafuerte</cp:lastModifiedBy>
  <cp:revision>7</cp:revision>
  <dcterms:created xsi:type="dcterms:W3CDTF">2022-03-16T10:14:00Z</dcterms:created>
  <dcterms:modified xsi:type="dcterms:W3CDTF">2022-03-16T21:40:00Z</dcterms:modified>
</cp:coreProperties>
</file>