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8400D" w14:textId="07914C52" w:rsidR="002254D2" w:rsidRPr="002254D2" w:rsidRDefault="00FB1074" w:rsidP="002254D2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  <w:bookmarkStart w:id="0" w:name="_Hlk63183341"/>
      <w:r w:rsidRPr="001C47D1">
        <w:rPr>
          <w:rFonts w:ascii="Arial" w:hAnsi="Arial" w:cs="Arial"/>
          <w:noProof/>
          <w:sz w:val="24"/>
          <w:szCs w:val="24"/>
          <w:highlight w:val="yellow"/>
          <w:lang w:val="en-US" w:eastAsia="en-US"/>
        </w:rPr>
        <w:drawing>
          <wp:anchor distT="0" distB="0" distL="114300" distR="114300" simplePos="0" relativeHeight="251654656" behindDoc="0" locked="0" layoutInCell="1" allowOverlap="1" wp14:anchorId="1742DAD8" wp14:editId="7811B1B7">
            <wp:simplePos x="0" y="0"/>
            <wp:positionH relativeFrom="margin">
              <wp:posOffset>0</wp:posOffset>
            </wp:positionH>
            <wp:positionV relativeFrom="paragraph">
              <wp:posOffset>27322</wp:posOffset>
            </wp:positionV>
            <wp:extent cx="2103120" cy="504190"/>
            <wp:effectExtent l="0" t="0" r="0" b="0"/>
            <wp:wrapSquare wrapText="bothSides"/>
            <wp:docPr id="1" name="0 Imagen" descr="LOGO_SG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GC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4D2" w:rsidRPr="002254D2">
        <w:rPr>
          <w:rFonts w:ascii="Arial" w:eastAsia="Calibri" w:hAnsi="Arial" w:cs="Arial"/>
          <w:sz w:val="20"/>
          <w:szCs w:val="20"/>
        </w:rPr>
        <w:t>PERÍODO 125 DE SESIONES</w:t>
      </w:r>
    </w:p>
    <w:p w14:paraId="6B2E2BA8" w14:textId="4E6D078E" w:rsidR="002254D2" w:rsidRDefault="002254D2" w:rsidP="002254D2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  <w:r w:rsidRPr="002254D2">
        <w:rPr>
          <w:rFonts w:ascii="Arial" w:eastAsia="Calibri" w:hAnsi="Arial" w:cs="Arial"/>
          <w:sz w:val="20"/>
          <w:szCs w:val="20"/>
        </w:rPr>
        <w:t>ORDINARIAS DE LA COMISIÓN</w:t>
      </w:r>
    </w:p>
    <w:p w14:paraId="47C7C3E1" w14:textId="7A9423B1" w:rsidR="00710F37" w:rsidRPr="002254D2" w:rsidRDefault="00710F37" w:rsidP="002254D2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  <w:r w:rsidRPr="00710F37">
        <w:rPr>
          <w:rFonts w:ascii="Arial" w:eastAsia="Calibri" w:hAnsi="Arial" w:cs="Arial"/>
          <w:sz w:val="20"/>
          <w:szCs w:val="20"/>
        </w:rPr>
        <w:t>DE LA COMUNIDAD ANDINA</w:t>
      </w:r>
    </w:p>
    <w:p w14:paraId="654DAC50" w14:textId="3C1165C9" w:rsidR="002254D2" w:rsidRPr="002254D2" w:rsidRDefault="00AC0621" w:rsidP="002254D2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  <w:r w:rsidRPr="002254D2">
        <w:rPr>
          <w:rFonts w:ascii="Arial" w:eastAsia="Calibri" w:hAnsi="Arial" w:cs="Arial"/>
          <w:sz w:val="20"/>
          <w:szCs w:val="20"/>
        </w:rPr>
        <w:t>13 de diciembre de 2021</w:t>
      </w:r>
    </w:p>
    <w:p w14:paraId="0DA91990" w14:textId="5B4CDE6E" w:rsidR="008B74D6" w:rsidRPr="00FB161A" w:rsidRDefault="002254D2" w:rsidP="002254D2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  <w:r w:rsidRPr="002254D2">
        <w:rPr>
          <w:rFonts w:ascii="Arial" w:eastAsia="Calibri" w:hAnsi="Arial" w:cs="Arial"/>
          <w:sz w:val="20"/>
          <w:szCs w:val="20"/>
        </w:rPr>
        <w:t>Modalidad Videoconferencia</w:t>
      </w:r>
    </w:p>
    <w:p w14:paraId="60257895" w14:textId="416D27FD" w:rsidR="00226844" w:rsidRDefault="00226844" w:rsidP="00036363">
      <w:pPr>
        <w:tabs>
          <w:tab w:val="left" w:pos="426"/>
        </w:tabs>
        <w:spacing w:after="0" w:line="240" w:lineRule="auto"/>
        <w:jc w:val="both"/>
      </w:pPr>
    </w:p>
    <w:p w14:paraId="13A3FDAA" w14:textId="77777777" w:rsidR="00036363" w:rsidRPr="001C47D1" w:rsidRDefault="00036363" w:rsidP="00036363">
      <w:pPr>
        <w:tabs>
          <w:tab w:val="left" w:pos="426"/>
        </w:tabs>
        <w:spacing w:after="0" w:line="240" w:lineRule="auto"/>
        <w:jc w:val="both"/>
      </w:pPr>
    </w:p>
    <w:p w14:paraId="188FD448" w14:textId="5ACC08A1" w:rsidR="00226844" w:rsidRPr="001A4B21" w:rsidRDefault="008B279E" w:rsidP="002254D2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bookmarkStart w:id="1" w:name="_Hlk62579256"/>
      <w:r w:rsidRPr="001A4B21">
        <w:rPr>
          <w:rFonts w:ascii="Arial" w:hAnsi="Arial" w:cs="Arial"/>
          <w:b/>
          <w:sz w:val="24"/>
          <w:szCs w:val="24"/>
          <w:u w:val="single"/>
          <w:lang w:val="es-ES_tradnl"/>
        </w:rPr>
        <w:t>DECISIÓN</w:t>
      </w:r>
      <w:r w:rsidR="00EB57D6" w:rsidRPr="001A4B21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bookmarkEnd w:id="0"/>
      <w:bookmarkEnd w:id="1"/>
      <w:r w:rsidR="002254D2" w:rsidRPr="001A4B21">
        <w:rPr>
          <w:rFonts w:ascii="Arial" w:hAnsi="Arial" w:cs="Arial"/>
          <w:b/>
          <w:sz w:val="24"/>
          <w:szCs w:val="24"/>
          <w:u w:val="single"/>
          <w:lang w:val="es-ES_tradnl"/>
        </w:rPr>
        <w:t>889</w:t>
      </w:r>
    </w:p>
    <w:p w14:paraId="60CF9410" w14:textId="6C29DECA" w:rsidR="00226844" w:rsidRPr="001C47D1" w:rsidRDefault="00226844" w:rsidP="00036363">
      <w:pPr>
        <w:tabs>
          <w:tab w:val="left" w:pos="426"/>
        </w:tabs>
        <w:spacing w:after="0" w:line="240" w:lineRule="auto"/>
        <w:jc w:val="both"/>
      </w:pPr>
    </w:p>
    <w:p w14:paraId="167015B6" w14:textId="04A38BF5" w:rsidR="00226844" w:rsidRPr="001C47D1" w:rsidRDefault="007D153B" w:rsidP="002254D2">
      <w:pPr>
        <w:keepNext/>
        <w:tabs>
          <w:tab w:val="left" w:pos="426"/>
        </w:tabs>
        <w:spacing w:after="0" w:line="240" w:lineRule="auto"/>
        <w:ind w:left="4820"/>
        <w:jc w:val="both"/>
        <w:outlineLvl w:val="4"/>
        <w:rPr>
          <w:rFonts w:ascii="Arial" w:hAnsi="Arial" w:cs="Arial"/>
          <w:sz w:val="24"/>
          <w:szCs w:val="24"/>
          <w:lang w:val="es-ES_tradnl"/>
        </w:rPr>
      </w:pPr>
      <w:bookmarkStart w:id="2" w:name="_Hlk64038909"/>
      <w:r w:rsidRPr="001C47D1">
        <w:rPr>
          <w:rFonts w:ascii="Arial" w:hAnsi="Arial" w:cs="Arial"/>
          <w:sz w:val="24"/>
          <w:szCs w:val="24"/>
          <w:lang w:val="es-ES_tradnl"/>
        </w:rPr>
        <w:t>Modificación de la Decisió</w:t>
      </w:r>
      <w:bookmarkStart w:id="3" w:name="_GoBack"/>
      <w:bookmarkEnd w:id="3"/>
      <w:r w:rsidRPr="001C47D1">
        <w:rPr>
          <w:rFonts w:ascii="Arial" w:hAnsi="Arial" w:cs="Arial"/>
          <w:sz w:val="24"/>
          <w:szCs w:val="24"/>
          <w:lang w:val="es-ES_tradnl"/>
        </w:rPr>
        <w:t>n 870 por la cual se prorroga la d</w:t>
      </w:r>
      <w:r w:rsidR="00B97FF6" w:rsidRPr="001C47D1">
        <w:rPr>
          <w:rFonts w:ascii="Arial" w:hAnsi="Arial" w:cs="Arial"/>
          <w:sz w:val="24"/>
          <w:szCs w:val="24"/>
          <w:lang w:val="es-ES_tradnl"/>
        </w:rPr>
        <w:t>isposición</w:t>
      </w:r>
      <w:r w:rsidR="006250BD" w:rsidRPr="001C47D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26844" w:rsidRPr="001C47D1">
        <w:rPr>
          <w:rFonts w:ascii="Arial" w:hAnsi="Arial" w:cs="Arial"/>
          <w:sz w:val="24"/>
          <w:szCs w:val="24"/>
          <w:lang w:val="es-ES_tradnl"/>
        </w:rPr>
        <w:t>temporal para el cumplimiento del requisito de presentación del Certificado de Libre Venta o autorización similar para productos de higiene doméstica y productos absorbentes de higiene personal</w:t>
      </w:r>
      <w:bookmarkEnd w:id="2"/>
      <w:r w:rsidRPr="001C47D1">
        <w:rPr>
          <w:rFonts w:ascii="Arial" w:hAnsi="Arial" w:cs="Arial"/>
          <w:sz w:val="24"/>
          <w:szCs w:val="24"/>
          <w:lang w:val="es-ES_tradnl"/>
        </w:rPr>
        <w:t xml:space="preserve"> establecido en la Decisión 706</w:t>
      </w:r>
    </w:p>
    <w:p w14:paraId="6F8FFE44" w14:textId="77777777" w:rsidR="000868D2" w:rsidRPr="001C47D1" w:rsidRDefault="000868D2" w:rsidP="0022684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4" w:name="_Hlk63183405"/>
    </w:p>
    <w:p w14:paraId="735C65A4" w14:textId="0BA788D6" w:rsidR="00226844" w:rsidRPr="001C47D1" w:rsidRDefault="00226844" w:rsidP="0022684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C47D1">
        <w:rPr>
          <w:rFonts w:ascii="Arial" w:hAnsi="Arial" w:cs="Arial"/>
          <w:b/>
          <w:sz w:val="24"/>
          <w:szCs w:val="24"/>
          <w:lang w:val="es-ES_tradnl"/>
        </w:rPr>
        <w:t>LA COMISIÓN DE LA COMUNIDAD ANDINA</w:t>
      </w:r>
    </w:p>
    <w:bookmarkEnd w:id="4"/>
    <w:p w14:paraId="288A1970" w14:textId="77777777" w:rsidR="00FB1074" w:rsidRPr="001C47D1" w:rsidRDefault="00FB1074" w:rsidP="0022684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10A3B0B" w14:textId="59F346E9" w:rsidR="00226844" w:rsidRPr="001C47D1" w:rsidRDefault="00226844" w:rsidP="0022684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C47D1">
        <w:rPr>
          <w:rFonts w:ascii="Arial" w:hAnsi="Arial" w:cs="Arial"/>
          <w:b/>
          <w:sz w:val="24"/>
          <w:szCs w:val="24"/>
          <w:lang w:val="es-ES_tradnl"/>
        </w:rPr>
        <w:t>VISTOS: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Los artículos 3) literales b) y d), 22 y 72 del Acuerdo de Cartagena; la</w:t>
      </w:r>
      <w:r w:rsidR="00F1478D" w:rsidRPr="001C47D1">
        <w:rPr>
          <w:rFonts w:ascii="Arial" w:hAnsi="Arial" w:cs="Arial"/>
          <w:sz w:val="24"/>
          <w:szCs w:val="24"/>
          <w:lang w:val="es-ES_tradnl"/>
        </w:rPr>
        <w:t>s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Decisi</w:t>
      </w:r>
      <w:r w:rsidR="00F1478D" w:rsidRPr="001C47D1">
        <w:rPr>
          <w:rFonts w:ascii="Arial" w:hAnsi="Arial" w:cs="Arial"/>
          <w:sz w:val="24"/>
          <w:szCs w:val="24"/>
          <w:lang w:val="es-ES_tradnl"/>
        </w:rPr>
        <w:t>o</w:t>
      </w:r>
      <w:r w:rsidRPr="001C47D1">
        <w:rPr>
          <w:rFonts w:ascii="Arial" w:hAnsi="Arial" w:cs="Arial"/>
          <w:sz w:val="24"/>
          <w:szCs w:val="24"/>
          <w:lang w:val="es-ES_tradnl"/>
        </w:rPr>
        <w:t>n</w:t>
      </w:r>
      <w:r w:rsidR="00F1478D" w:rsidRPr="001C47D1">
        <w:rPr>
          <w:rFonts w:ascii="Arial" w:hAnsi="Arial" w:cs="Arial"/>
          <w:sz w:val="24"/>
          <w:szCs w:val="24"/>
          <w:lang w:val="es-ES_tradnl"/>
        </w:rPr>
        <w:t>es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706</w:t>
      </w:r>
      <w:r w:rsidR="0021305A" w:rsidRPr="001C47D1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EB57D6" w:rsidRPr="001C47D1">
        <w:rPr>
          <w:rFonts w:ascii="Arial" w:hAnsi="Arial" w:cs="Arial"/>
          <w:sz w:val="24"/>
          <w:szCs w:val="24"/>
          <w:lang w:val="es-ES_tradnl"/>
        </w:rPr>
        <w:t>866</w:t>
      </w:r>
      <w:r w:rsidR="0021305A" w:rsidRPr="001C47D1">
        <w:rPr>
          <w:rFonts w:ascii="Arial" w:hAnsi="Arial" w:cs="Arial"/>
          <w:sz w:val="24"/>
          <w:szCs w:val="24"/>
          <w:lang w:val="es-ES_tradnl"/>
        </w:rPr>
        <w:t xml:space="preserve"> y 870</w:t>
      </w:r>
      <w:r w:rsidR="00F1478D" w:rsidRPr="001C47D1">
        <w:rPr>
          <w:rFonts w:ascii="Arial" w:hAnsi="Arial" w:cs="Arial"/>
          <w:sz w:val="24"/>
          <w:szCs w:val="24"/>
          <w:lang w:val="es-ES_tradnl"/>
        </w:rPr>
        <w:t xml:space="preserve"> de la Comisión de la Comunidad Andina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y la Resolución</w:t>
      </w:r>
      <w:r w:rsidR="00C20FB9" w:rsidRPr="001C47D1">
        <w:rPr>
          <w:rFonts w:ascii="Arial" w:hAnsi="Arial" w:cs="Arial"/>
          <w:sz w:val="24"/>
          <w:szCs w:val="24"/>
          <w:lang w:val="es-ES_tradnl"/>
        </w:rPr>
        <w:t xml:space="preserve"> N°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1370</w:t>
      </w:r>
      <w:r w:rsidR="00F1478D" w:rsidRPr="001C47D1">
        <w:rPr>
          <w:rFonts w:ascii="Arial" w:hAnsi="Arial" w:cs="Arial"/>
          <w:sz w:val="24"/>
          <w:szCs w:val="24"/>
          <w:lang w:val="es-ES_tradnl"/>
        </w:rPr>
        <w:t xml:space="preserve"> de la Secretaría General</w:t>
      </w:r>
      <w:r w:rsidR="00D064CA" w:rsidRPr="001C47D1">
        <w:rPr>
          <w:rFonts w:ascii="Arial" w:hAnsi="Arial" w:cs="Arial"/>
          <w:sz w:val="24"/>
          <w:szCs w:val="24"/>
          <w:lang w:val="es-ES_tradnl"/>
        </w:rPr>
        <w:t xml:space="preserve"> de la Comunidad Andina</w:t>
      </w:r>
      <w:r w:rsidRPr="001C47D1">
        <w:rPr>
          <w:rFonts w:ascii="Arial" w:hAnsi="Arial" w:cs="Arial"/>
          <w:sz w:val="24"/>
          <w:szCs w:val="24"/>
          <w:lang w:val="es-ES_tradnl"/>
        </w:rPr>
        <w:t>; y,</w:t>
      </w:r>
    </w:p>
    <w:p w14:paraId="7087D6EE" w14:textId="77777777" w:rsidR="00226844" w:rsidRPr="001C47D1" w:rsidRDefault="00226844" w:rsidP="0022684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64D62AC" w14:textId="54FEA492" w:rsidR="00226844" w:rsidRPr="001C47D1" w:rsidRDefault="00226844" w:rsidP="0022684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C47D1">
        <w:rPr>
          <w:rFonts w:ascii="Arial" w:hAnsi="Arial" w:cs="Arial"/>
          <w:b/>
          <w:sz w:val="24"/>
          <w:szCs w:val="24"/>
          <w:lang w:val="es-ES_tradnl"/>
        </w:rPr>
        <w:t>CONSIDERANDO: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Que, </w:t>
      </w:r>
      <w:bookmarkStart w:id="5" w:name="_Hlk49501793"/>
      <w:r w:rsidRPr="001C47D1">
        <w:rPr>
          <w:rFonts w:ascii="Arial" w:hAnsi="Arial" w:cs="Arial"/>
          <w:sz w:val="24"/>
          <w:szCs w:val="24"/>
          <w:lang w:val="es-ES_tradnl"/>
        </w:rPr>
        <w:t>la Decisión 706 regula los regímenes sanitarios, de control de calidad y vigilancia sanitaria en relación con la producción, procesamiento, envasado, expendio, importación, almacenamiento y comercialización de los productos de higiene doméstica y productos absorbentes de higiene personal</w:t>
      </w:r>
      <w:bookmarkEnd w:id="5"/>
      <w:r w:rsidRPr="001C47D1">
        <w:rPr>
          <w:rFonts w:ascii="Arial" w:hAnsi="Arial" w:cs="Arial"/>
          <w:sz w:val="24"/>
          <w:szCs w:val="24"/>
          <w:lang w:val="es-ES_tradnl"/>
        </w:rPr>
        <w:t xml:space="preserve">; </w:t>
      </w:r>
    </w:p>
    <w:p w14:paraId="01CF1DDB" w14:textId="77777777" w:rsidR="00226844" w:rsidRPr="001C47D1" w:rsidRDefault="00226844" w:rsidP="0022684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1B904F9" w14:textId="1BD00343" w:rsidR="00226844" w:rsidRPr="001C47D1" w:rsidRDefault="00226844" w:rsidP="0022684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C47D1">
        <w:rPr>
          <w:rFonts w:ascii="Arial" w:hAnsi="Arial" w:cs="Arial"/>
          <w:sz w:val="24"/>
          <w:szCs w:val="24"/>
          <w:lang w:val="es-ES_tradnl"/>
        </w:rPr>
        <w:tab/>
        <w:t xml:space="preserve">Que, </w:t>
      </w:r>
      <w:bookmarkStart w:id="6" w:name="_Hlk49502132"/>
      <w:r w:rsidRPr="001C47D1">
        <w:rPr>
          <w:rFonts w:ascii="Arial" w:hAnsi="Arial" w:cs="Arial"/>
          <w:sz w:val="24"/>
          <w:szCs w:val="24"/>
          <w:lang w:val="es-ES_tradnl"/>
        </w:rPr>
        <w:t xml:space="preserve">la citada Decisión señala que los productos de higiene doméstica y productos absorbentes de higiene personal requieren para su comercialización o expendio en la Subregión </w:t>
      </w:r>
      <w:r w:rsidR="00FB1074" w:rsidRPr="001C47D1">
        <w:rPr>
          <w:rFonts w:ascii="Arial" w:hAnsi="Arial" w:cs="Arial"/>
          <w:sz w:val="24"/>
          <w:szCs w:val="24"/>
          <w:lang w:val="es-ES_tradnl"/>
        </w:rPr>
        <w:t xml:space="preserve">Andina </w:t>
      </w:r>
      <w:r w:rsidRPr="001C47D1">
        <w:rPr>
          <w:rFonts w:ascii="Arial" w:hAnsi="Arial" w:cs="Arial"/>
          <w:sz w:val="24"/>
          <w:szCs w:val="24"/>
          <w:lang w:val="es-ES_tradnl"/>
        </w:rPr>
        <w:t>de una Notificación Sanitaria Obligatoria (NSO), la cual deberá ser presentada a la Autoridad Nacional Competente</w:t>
      </w:r>
      <w:r w:rsidR="006463A8" w:rsidRPr="001C47D1">
        <w:rPr>
          <w:rFonts w:ascii="Arial" w:hAnsi="Arial" w:cs="Arial"/>
          <w:sz w:val="24"/>
          <w:szCs w:val="24"/>
          <w:lang w:val="es-ES_tradnl"/>
        </w:rPr>
        <w:t xml:space="preserve"> (ANC)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del primer País Miembro de comercialización</w:t>
      </w:r>
      <w:bookmarkEnd w:id="6"/>
      <w:r w:rsidRPr="001C47D1">
        <w:rPr>
          <w:rFonts w:ascii="Arial" w:hAnsi="Arial" w:cs="Arial"/>
          <w:sz w:val="24"/>
          <w:szCs w:val="24"/>
          <w:lang w:val="es-ES_tradnl"/>
        </w:rPr>
        <w:t>;</w:t>
      </w:r>
    </w:p>
    <w:p w14:paraId="32007098" w14:textId="77777777" w:rsidR="00226844" w:rsidRPr="001C47D1" w:rsidRDefault="00226844" w:rsidP="0022684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5EC412B" w14:textId="553ABF15" w:rsidR="00226844" w:rsidRPr="001C47D1" w:rsidRDefault="00226844" w:rsidP="0022684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C47D1">
        <w:rPr>
          <w:rFonts w:ascii="Arial" w:hAnsi="Arial" w:cs="Arial"/>
          <w:sz w:val="24"/>
          <w:szCs w:val="24"/>
          <w:lang w:val="es-ES_tradnl"/>
        </w:rPr>
        <w:tab/>
      </w:r>
      <w:r w:rsidRPr="001C47D1">
        <w:rPr>
          <w:rFonts w:ascii="Arial" w:hAnsi="Arial" w:cs="Arial"/>
          <w:sz w:val="24"/>
          <w:szCs w:val="24"/>
          <w:lang w:val="es-ES_tradnl"/>
        </w:rPr>
        <w:tab/>
      </w:r>
      <w:bookmarkStart w:id="7" w:name="_Hlk64020836"/>
      <w:r w:rsidRPr="001C47D1">
        <w:rPr>
          <w:rFonts w:ascii="Arial" w:hAnsi="Arial" w:cs="Arial"/>
          <w:sz w:val="24"/>
          <w:szCs w:val="24"/>
          <w:lang w:val="es-ES_tradnl"/>
        </w:rPr>
        <w:t xml:space="preserve">Que, </w:t>
      </w:r>
      <w:bookmarkStart w:id="8" w:name="_Hlk49516013"/>
      <w:r w:rsidRPr="001C47D1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C746E1" w:rsidRPr="001C47D1">
        <w:rPr>
          <w:rFonts w:ascii="Arial" w:hAnsi="Arial" w:cs="Arial"/>
          <w:sz w:val="24"/>
          <w:szCs w:val="24"/>
          <w:lang w:val="es-ES_tradnl"/>
        </w:rPr>
        <w:t>citad</w:t>
      </w:r>
      <w:r w:rsidR="006250BD" w:rsidRPr="001C47D1">
        <w:rPr>
          <w:rFonts w:ascii="Arial" w:hAnsi="Arial" w:cs="Arial"/>
          <w:sz w:val="24"/>
          <w:szCs w:val="24"/>
          <w:lang w:val="es-ES_tradnl"/>
        </w:rPr>
        <w:t>a</w:t>
      </w:r>
      <w:r w:rsidR="001D312F" w:rsidRPr="001C47D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Decisión y la Resolución N° 1370, regulan los requisitos y procedimientos para la Notificación Sanitaria Obligatoria de los productos de higiene doméstica y productos absorbentes de higiene personal, su renovación, el reconocimiento del código de identificación de la NSO y </w:t>
      </w:r>
      <w:r w:rsidR="00C746E1" w:rsidRPr="001C47D1">
        <w:rPr>
          <w:rFonts w:ascii="Arial" w:hAnsi="Arial" w:cs="Arial"/>
          <w:sz w:val="24"/>
          <w:szCs w:val="24"/>
          <w:lang w:val="es-ES_tradnl"/>
        </w:rPr>
        <w:t xml:space="preserve">sobre </w:t>
      </w:r>
      <w:r w:rsidRPr="001C47D1">
        <w:rPr>
          <w:rFonts w:ascii="Arial" w:hAnsi="Arial" w:cs="Arial"/>
          <w:sz w:val="24"/>
          <w:szCs w:val="24"/>
          <w:lang w:val="es-ES_tradnl"/>
        </w:rPr>
        <w:t>la información de cambios</w:t>
      </w:r>
      <w:bookmarkEnd w:id="7"/>
      <w:bookmarkEnd w:id="8"/>
      <w:r w:rsidRPr="001C47D1">
        <w:rPr>
          <w:rFonts w:ascii="Arial" w:hAnsi="Arial" w:cs="Arial"/>
          <w:sz w:val="24"/>
          <w:szCs w:val="24"/>
          <w:lang w:val="es-ES_tradnl"/>
        </w:rPr>
        <w:t xml:space="preserve">;  </w:t>
      </w:r>
    </w:p>
    <w:p w14:paraId="638CEB88" w14:textId="77777777" w:rsidR="00226844" w:rsidRPr="001C47D1" w:rsidRDefault="00226844" w:rsidP="0022684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034A33D" w14:textId="1FB88E7C" w:rsidR="00226844" w:rsidRPr="001C47D1" w:rsidRDefault="00226844" w:rsidP="0022684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C47D1">
        <w:rPr>
          <w:rFonts w:ascii="Arial" w:hAnsi="Arial" w:cs="Arial"/>
          <w:sz w:val="24"/>
          <w:szCs w:val="24"/>
          <w:lang w:val="es-ES_tradnl"/>
        </w:rPr>
        <w:tab/>
      </w:r>
      <w:r w:rsidRPr="001C47D1">
        <w:rPr>
          <w:rFonts w:ascii="Arial" w:hAnsi="Arial" w:cs="Arial"/>
          <w:sz w:val="24"/>
          <w:szCs w:val="24"/>
          <w:lang w:val="es-ES_tradnl"/>
        </w:rPr>
        <w:tab/>
      </w:r>
      <w:bookmarkStart w:id="9" w:name="_Hlk46508824"/>
      <w:r w:rsidRPr="001C47D1">
        <w:rPr>
          <w:rFonts w:ascii="Arial" w:hAnsi="Arial" w:cs="Arial"/>
          <w:sz w:val="24"/>
          <w:szCs w:val="24"/>
          <w:lang w:val="es-ES_tradnl"/>
        </w:rPr>
        <w:t xml:space="preserve">Que, </w:t>
      </w:r>
      <w:bookmarkStart w:id="10" w:name="_Hlk49516104"/>
      <w:r w:rsidRPr="001C47D1">
        <w:rPr>
          <w:rFonts w:ascii="Arial" w:hAnsi="Arial" w:cs="Arial"/>
          <w:sz w:val="24"/>
          <w:szCs w:val="24"/>
          <w:lang w:val="es-ES_tradnl"/>
        </w:rPr>
        <w:t xml:space="preserve">para el caso de productos de higiene doméstica y productos absorbentes de higiene personal fabricados fuera de la Subregión Andina, se requiere la presentación del Certificado de Libre Venta (CLV) del producto o una autorización similar expedida por la autoridad competente del país de origen para </w:t>
      </w:r>
      <w:r w:rsidRPr="001C47D1">
        <w:rPr>
          <w:rFonts w:ascii="Arial" w:hAnsi="Arial" w:cs="Arial"/>
          <w:sz w:val="24"/>
          <w:szCs w:val="24"/>
          <w:lang w:val="es-ES_tradnl"/>
        </w:rPr>
        <w:lastRenderedPageBreak/>
        <w:t xml:space="preserve">efectos de la NSO; y cuando la </w:t>
      </w:r>
      <w:r w:rsidR="006463A8" w:rsidRPr="001C47D1">
        <w:rPr>
          <w:rFonts w:ascii="Arial" w:hAnsi="Arial" w:cs="Arial"/>
          <w:sz w:val="24"/>
          <w:szCs w:val="24"/>
          <w:lang w:val="es-ES_tradnl"/>
        </w:rPr>
        <w:t>ANC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no expide este tipo de certificados, se acepta la declaración </w:t>
      </w:r>
      <w:proofErr w:type="spellStart"/>
      <w:r w:rsidRPr="001C47D1">
        <w:rPr>
          <w:rFonts w:ascii="Arial" w:hAnsi="Arial" w:cs="Arial"/>
          <w:sz w:val="24"/>
          <w:szCs w:val="24"/>
          <w:lang w:val="es-ES_tradnl"/>
        </w:rPr>
        <w:t>consularizada</w:t>
      </w:r>
      <w:proofErr w:type="spellEnd"/>
      <w:r w:rsidRPr="001C47D1">
        <w:rPr>
          <w:rFonts w:ascii="Arial" w:hAnsi="Arial" w:cs="Arial"/>
          <w:sz w:val="24"/>
          <w:szCs w:val="24"/>
          <w:lang w:val="es-ES_tradnl"/>
        </w:rPr>
        <w:t xml:space="preserve"> o</w:t>
      </w:r>
      <w:r w:rsidRPr="001C47D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1C47D1">
        <w:rPr>
          <w:rFonts w:ascii="Arial" w:hAnsi="Arial" w:cs="Arial"/>
          <w:sz w:val="24"/>
          <w:szCs w:val="24"/>
          <w:lang w:val="es-ES_tradnl"/>
        </w:rPr>
        <w:t>apostillada</w:t>
      </w:r>
      <w:r w:rsidRPr="001C47D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1C47D1">
        <w:rPr>
          <w:rFonts w:ascii="Arial" w:hAnsi="Arial" w:cs="Arial"/>
          <w:sz w:val="24"/>
          <w:szCs w:val="24"/>
          <w:lang w:val="es-ES_tradnl"/>
        </w:rPr>
        <w:t>del responsable del producto en el país de origen</w:t>
      </w:r>
      <w:bookmarkEnd w:id="10"/>
      <w:r w:rsidRPr="001C47D1">
        <w:rPr>
          <w:rFonts w:ascii="Arial" w:hAnsi="Arial" w:cs="Arial"/>
          <w:sz w:val="24"/>
          <w:szCs w:val="24"/>
          <w:lang w:val="es-ES_tradnl"/>
        </w:rPr>
        <w:t>;</w:t>
      </w:r>
      <w:bookmarkEnd w:id="9"/>
      <w:r w:rsidRPr="001C47D1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6E672509" w14:textId="77777777" w:rsidR="00226844" w:rsidRPr="001C47D1" w:rsidRDefault="00226844" w:rsidP="0022684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604CE39" w14:textId="3EED567A" w:rsidR="00226844" w:rsidRPr="001C47D1" w:rsidRDefault="00226844" w:rsidP="00226844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1C47D1">
        <w:rPr>
          <w:rFonts w:ascii="Arial" w:hAnsi="Arial" w:cs="Arial"/>
          <w:sz w:val="24"/>
          <w:szCs w:val="24"/>
        </w:rPr>
        <w:t>Que, la Organización Mundial de la Salud ha calificado, con fecha 11 de marzo de 2020, el brote de la COVID-19 como una pandemia al haberse extendido en más de cien países del mundo de manera simultánea;</w:t>
      </w:r>
    </w:p>
    <w:p w14:paraId="01680F3E" w14:textId="77777777" w:rsidR="00226844" w:rsidRPr="001C47D1" w:rsidRDefault="00226844" w:rsidP="00226844">
      <w:pPr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</w:rPr>
      </w:pPr>
    </w:p>
    <w:p w14:paraId="101D6949" w14:textId="35E5DD5E" w:rsidR="00226844" w:rsidRPr="001C47D1" w:rsidRDefault="00226844" w:rsidP="00226844">
      <w:pPr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  <w:bookmarkStart w:id="11" w:name="_Hlk46511767"/>
      <w:r w:rsidRPr="001C47D1">
        <w:rPr>
          <w:rFonts w:ascii="Arial" w:hAnsi="Arial" w:cs="Arial"/>
          <w:snapToGrid w:val="0"/>
          <w:sz w:val="24"/>
          <w:szCs w:val="24"/>
          <w:lang w:val="es-ES_tradnl"/>
        </w:rPr>
        <w:t xml:space="preserve">Que, </w:t>
      </w:r>
      <w:bookmarkStart w:id="12" w:name="_Hlk49516363"/>
      <w:r w:rsidRPr="001C47D1">
        <w:rPr>
          <w:rFonts w:ascii="Arial" w:hAnsi="Arial" w:cs="Arial"/>
          <w:snapToGrid w:val="0"/>
          <w:sz w:val="24"/>
          <w:szCs w:val="24"/>
          <w:lang w:val="es-ES_tradnl"/>
        </w:rPr>
        <w:t>los Países Miembros</w:t>
      </w:r>
      <w:r w:rsidR="006463A8" w:rsidRPr="001C47D1">
        <w:rPr>
          <w:rFonts w:ascii="Arial" w:hAnsi="Arial" w:cs="Arial"/>
          <w:snapToGrid w:val="0"/>
          <w:sz w:val="24"/>
          <w:szCs w:val="24"/>
          <w:lang w:val="es-ES_tradnl"/>
        </w:rPr>
        <w:t>,</w:t>
      </w:r>
      <w:r w:rsidRPr="001C47D1">
        <w:rPr>
          <w:rFonts w:ascii="Arial" w:hAnsi="Arial" w:cs="Arial"/>
          <w:snapToGrid w:val="0"/>
          <w:sz w:val="24"/>
          <w:szCs w:val="24"/>
          <w:lang w:val="es-ES_tradnl"/>
        </w:rPr>
        <w:t xml:space="preserve"> así como terceros Países que mantienen un fluido comercio con la Subregión Andina, con el objetivo de evitar la propagación de la COVID-19 </w:t>
      </w:r>
      <w:r w:rsidR="00C746E1" w:rsidRPr="001C47D1">
        <w:rPr>
          <w:rFonts w:ascii="Arial" w:hAnsi="Arial" w:cs="Arial"/>
          <w:snapToGrid w:val="0"/>
          <w:sz w:val="24"/>
          <w:szCs w:val="24"/>
          <w:lang w:val="es-ES_tradnl"/>
        </w:rPr>
        <w:t>y mitigar sus efectos,</w:t>
      </w:r>
      <w:r w:rsidR="001D312F" w:rsidRPr="001C47D1">
        <w:rPr>
          <w:rFonts w:ascii="Arial" w:hAnsi="Arial" w:cs="Arial"/>
          <w:snapToGrid w:val="0"/>
          <w:sz w:val="24"/>
          <w:szCs w:val="24"/>
          <w:lang w:val="es-ES_tradnl"/>
        </w:rPr>
        <w:t xml:space="preserve"> </w:t>
      </w:r>
      <w:r w:rsidRPr="001C47D1">
        <w:rPr>
          <w:rFonts w:ascii="Arial" w:hAnsi="Arial" w:cs="Arial"/>
          <w:snapToGrid w:val="0"/>
          <w:sz w:val="24"/>
          <w:szCs w:val="24"/>
          <w:lang w:val="es-ES_tradnl"/>
        </w:rPr>
        <w:t>han adoptado medidas excepcionales y temporales en sus respectivos territorios, tales como</w:t>
      </w:r>
      <w:r w:rsidR="0070234F" w:rsidRPr="001C47D1">
        <w:rPr>
          <w:rFonts w:ascii="Arial" w:hAnsi="Arial" w:cs="Arial"/>
          <w:snapToGrid w:val="0"/>
          <w:sz w:val="24"/>
          <w:szCs w:val="24"/>
          <w:lang w:val="es-ES_tradnl"/>
        </w:rPr>
        <w:t>,</w:t>
      </w:r>
      <w:r w:rsidRPr="001C47D1">
        <w:rPr>
          <w:rFonts w:ascii="Arial" w:hAnsi="Arial" w:cs="Arial"/>
          <w:snapToGrid w:val="0"/>
          <w:sz w:val="24"/>
          <w:szCs w:val="24"/>
          <w:lang w:val="es-ES_tradnl"/>
        </w:rPr>
        <w:t xml:space="preserve"> la declaratoria de emergencia sanitaria, restricciones de movilidad de las personas, implementación de protocolos de seguridad sanitaria y el aislamiento preventivo obligatorio</w:t>
      </w:r>
      <w:bookmarkEnd w:id="11"/>
      <w:bookmarkEnd w:id="12"/>
      <w:r w:rsidRPr="001C47D1">
        <w:rPr>
          <w:rFonts w:ascii="Arial" w:hAnsi="Arial" w:cs="Arial"/>
          <w:snapToGrid w:val="0"/>
          <w:sz w:val="24"/>
          <w:szCs w:val="24"/>
          <w:lang w:val="es-ES_tradnl"/>
        </w:rPr>
        <w:t xml:space="preserve">; </w:t>
      </w:r>
    </w:p>
    <w:p w14:paraId="535CCBFE" w14:textId="77777777" w:rsidR="00226844" w:rsidRPr="001C47D1" w:rsidRDefault="00226844" w:rsidP="00226844">
      <w:pPr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</w:p>
    <w:p w14:paraId="2A0AB6A4" w14:textId="7B1B574B" w:rsidR="00226844" w:rsidRPr="001C47D1" w:rsidRDefault="00226844" w:rsidP="0022684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C47D1">
        <w:rPr>
          <w:rFonts w:ascii="Arial" w:hAnsi="Arial" w:cs="Arial"/>
          <w:sz w:val="24"/>
          <w:szCs w:val="24"/>
          <w:lang w:val="es-ES_tradnl"/>
        </w:rPr>
        <w:tab/>
      </w:r>
      <w:r w:rsidRPr="001C47D1">
        <w:rPr>
          <w:rFonts w:ascii="Arial" w:hAnsi="Arial" w:cs="Arial"/>
          <w:sz w:val="24"/>
          <w:szCs w:val="24"/>
          <w:lang w:val="es-ES_tradnl"/>
        </w:rPr>
        <w:tab/>
        <w:t xml:space="preserve">Que, </w:t>
      </w:r>
      <w:bookmarkStart w:id="13" w:name="_Hlk49516462"/>
      <w:r w:rsidRPr="001C47D1">
        <w:rPr>
          <w:rFonts w:ascii="Arial" w:hAnsi="Arial" w:cs="Arial"/>
          <w:sz w:val="24"/>
          <w:szCs w:val="24"/>
          <w:lang w:val="es-ES_tradnl"/>
        </w:rPr>
        <w:t xml:space="preserve">como resultado de las medidas adoptadas para evitar la propagación de la COVID-19, resulta </w:t>
      </w:r>
      <w:r w:rsidR="00263D7D" w:rsidRPr="001C47D1">
        <w:rPr>
          <w:rFonts w:ascii="Arial" w:hAnsi="Arial" w:cs="Arial"/>
          <w:sz w:val="24"/>
          <w:szCs w:val="24"/>
          <w:lang w:val="es-ES_tradnl"/>
        </w:rPr>
        <w:t xml:space="preserve">difícil 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y, en ciertos casos, imposible para los interesados obtener el CLV del producto o la autorización similar expedida por la </w:t>
      </w:r>
      <w:r w:rsidR="006463A8" w:rsidRPr="001C47D1">
        <w:rPr>
          <w:rFonts w:ascii="Arial" w:hAnsi="Arial" w:cs="Arial"/>
          <w:sz w:val="24"/>
          <w:szCs w:val="24"/>
          <w:lang w:val="es-ES_tradnl"/>
        </w:rPr>
        <w:t>ANC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del país de origen. De igual manera, en los casos en los que la </w:t>
      </w:r>
      <w:r w:rsidR="006463A8" w:rsidRPr="001C47D1">
        <w:rPr>
          <w:rFonts w:ascii="Arial" w:hAnsi="Arial" w:cs="Arial"/>
          <w:sz w:val="24"/>
          <w:szCs w:val="24"/>
          <w:lang w:val="es-ES_tradnl"/>
        </w:rPr>
        <w:t>ANC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no expide este tipo de certificados, no es posible o es difícil la obtención de la declaración </w:t>
      </w:r>
      <w:proofErr w:type="spellStart"/>
      <w:r w:rsidRPr="001C47D1">
        <w:rPr>
          <w:rFonts w:ascii="Arial" w:hAnsi="Arial" w:cs="Arial"/>
          <w:sz w:val="24"/>
          <w:szCs w:val="24"/>
          <w:lang w:val="es-ES_tradnl"/>
        </w:rPr>
        <w:t>consularizada</w:t>
      </w:r>
      <w:proofErr w:type="spellEnd"/>
      <w:r w:rsidRPr="001C47D1">
        <w:rPr>
          <w:rFonts w:ascii="Arial" w:hAnsi="Arial" w:cs="Arial"/>
          <w:sz w:val="24"/>
          <w:szCs w:val="24"/>
          <w:lang w:val="es-ES_tradnl"/>
        </w:rPr>
        <w:t xml:space="preserve"> o apostillada del responsable del producto en el país de origen;</w:t>
      </w:r>
      <w:bookmarkEnd w:id="13"/>
    </w:p>
    <w:p w14:paraId="780D67D3" w14:textId="77777777" w:rsidR="00226844" w:rsidRPr="001C47D1" w:rsidRDefault="00226844" w:rsidP="0022684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7013F91" w14:textId="12122D82" w:rsidR="00FA4F41" w:rsidRPr="001C47D1" w:rsidRDefault="00EB57D6" w:rsidP="00EB57D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bookmarkStart w:id="14" w:name="_Hlk64021091"/>
      <w:bookmarkStart w:id="15" w:name="_Hlk46515254"/>
      <w:r w:rsidRPr="001C47D1">
        <w:rPr>
          <w:rFonts w:ascii="Arial" w:hAnsi="Arial" w:cs="Arial"/>
          <w:sz w:val="24"/>
          <w:szCs w:val="24"/>
        </w:rPr>
        <w:t xml:space="preserve">Que, </w:t>
      </w:r>
      <w:r w:rsidR="00C746E1" w:rsidRPr="001C47D1">
        <w:rPr>
          <w:rFonts w:ascii="Arial" w:hAnsi="Arial" w:cs="Arial"/>
          <w:sz w:val="24"/>
          <w:szCs w:val="24"/>
        </w:rPr>
        <w:t>en ese contexto</w:t>
      </w:r>
      <w:r w:rsidR="001D312F" w:rsidRPr="001C47D1">
        <w:rPr>
          <w:rFonts w:ascii="Arial" w:hAnsi="Arial" w:cs="Arial"/>
          <w:sz w:val="24"/>
          <w:szCs w:val="24"/>
        </w:rPr>
        <w:t xml:space="preserve"> </w:t>
      </w:r>
      <w:r w:rsidR="00950409" w:rsidRPr="001C47D1">
        <w:rPr>
          <w:rFonts w:ascii="Arial" w:hAnsi="Arial" w:cs="Arial"/>
          <w:sz w:val="24"/>
          <w:szCs w:val="24"/>
        </w:rPr>
        <w:t xml:space="preserve">la Decisión 866, </w:t>
      </w:r>
      <w:r w:rsidR="00883701" w:rsidRPr="001C47D1">
        <w:rPr>
          <w:rFonts w:ascii="Arial" w:hAnsi="Arial" w:cs="Arial"/>
          <w:sz w:val="24"/>
          <w:szCs w:val="24"/>
        </w:rPr>
        <w:t>estable</w:t>
      </w:r>
      <w:r w:rsidR="006850C2" w:rsidRPr="001C47D1">
        <w:rPr>
          <w:rFonts w:ascii="Arial" w:hAnsi="Arial" w:cs="Arial"/>
          <w:sz w:val="24"/>
          <w:szCs w:val="24"/>
        </w:rPr>
        <w:t xml:space="preserve">ció </w:t>
      </w:r>
      <w:r w:rsidR="00883701" w:rsidRPr="001C47D1">
        <w:rPr>
          <w:rFonts w:ascii="Arial" w:hAnsi="Arial" w:cs="Arial"/>
          <w:sz w:val="24"/>
          <w:szCs w:val="24"/>
        </w:rPr>
        <w:t>medidas temporales</w:t>
      </w:r>
      <w:bookmarkStart w:id="16" w:name="_Hlk49530893"/>
      <w:r w:rsidR="006850C2" w:rsidRPr="001C47D1">
        <w:rPr>
          <w:rFonts w:ascii="Arial" w:hAnsi="Arial" w:cs="Arial"/>
          <w:sz w:val="24"/>
          <w:szCs w:val="24"/>
        </w:rPr>
        <w:t xml:space="preserve"> y</w:t>
      </w:r>
      <w:r w:rsidR="00C746E1" w:rsidRPr="001C47D1">
        <w:rPr>
          <w:rFonts w:ascii="Arial" w:hAnsi="Arial" w:cs="Arial"/>
          <w:sz w:val="24"/>
          <w:szCs w:val="24"/>
        </w:rPr>
        <w:t xml:space="preserve"> se</w:t>
      </w:r>
      <w:r w:rsidR="006850C2" w:rsidRPr="001C47D1">
        <w:rPr>
          <w:rFonts w:ascii="Arial" w:hAnsi="Arial" w:cs="Arial"/>
          <w:sz w:val="24"/>
          <w:szCs w:val="24"/>
        </w:rPr>
        <w:t xml:space="preserve"> facultó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a las </w:t>
      </w:r>
      <w:r w:rsidR="00950409" w:rsidRPr="001C47D1">
        <w:rPr>
          <w:rFonts w:ascii="Arial" w:hAnsi="Arial" w:cs="Arial"/>
          <w:sz w:val="24"/>
          <w:szCs w:val="24"/>
          <w:lang w:val="es-ES_tradnl"/>
        </w:rPr>
        <w:t>A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NC de los Países Miembros para que puedan, hasta el 31 de diciembre de 2020, aceptar una carta de compromiso en lugar de la presentación del </w:t>
      </w:r>
      <w:r w:rsidR="006850C2" w:rsidRPr="001C47D1">
        <w:rPr>
          <w:rFonts w:ascii="Arial" w:hAnsi="Arial" w:cs="Arial"/>
          <w:sz w:val="24"/>
          <w:szCs w:val="24"/>
          <w:lang w:val="es-ES_tradnl"/>
        </w:rPr>
        <w:t>CLV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del producto o de la autorización similar expedida por la ANC del país de origen o de la declaración </w:t>
      </w:r>
      <w:proofErr w:type="spellStart"/>
      <w:r w:rsidRPr="001C47D1">
        <w:rPr>
          <w:rFonts w:ascii="Arial" w:hAnsi="Arial" w:cs="Arial"/>
          <w:sz w:val="24"/>
          <w:szCs w:val="24"/>
          <w:lang w:val="es-ES_tradnl"/>
        </w:rPr>
        <w:t>consularizada</w:t>
      </w:r>
      <w:proofErr w:type="spellEnd"/>
      <w:r w:rsidRPr="001C47D1">
        <w:rPr>
          <w:rFonts w:ascii="Arial" w:hAnsi="Arial" w:cs="Arial"/>
          <w:sz w:val="24"/>
          <w:szCs w:val="24"/>
          <w:lang w:val="es-ES_tradnl"/>
        </w:rPr>
        <w:t xml:space="preserve"> o apostillada del responsable del producto en el país de origen</w:t>
      </w:r>
      <w:bookmarkEnd w:id="16"/>
      <w:r w:rsidRPr="001C47D1">
        <w:rPr>
          <w:rFonts w:ascii="Arial" w:hAnsi="Arial" w:cs="Arial"/>
          <w:sz w:val="24"/>
          <w:szCs w:val="24"/>
          <w:lang w:val="es-ES_tradnl"/>
        </w:rPr>
        <w:t>, para la emisión, renovación y solicitud de cambios de la NSO de los productos de higiene doméstica y productos absorbentes de higiene personal fabricados fuera de la Subregión Andina</w:t>
      </w:r>
      <w:r w:rsidR="00FA4F41" w:rsidRPr="001C47D1">
        <w:rPr>
          <w:rFonts w:ascii="Arial" w:hAnsi="Arial" w:cs="Arial"/>
          <w:sz w:val="24"/>
          <w:szCs w:val="24"/>
          <w:lang w:val="es-ES_tradnl"/>
        </w:rPr>
        <w:t>;</w:t>
      </w:r>
      <w:bookmarkEnd w:id="14"/>
      <w:r w:rsidR="00FA4F41" w:rsidRPr="001C47D1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4550F2AF" w14:textId="77777777" w:rsidR="00FA4F41" w:rsidRPr="001C47D1" w:rsidRDefault="00FA4F41" w:rsidP="00EB57D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B472790" w14:textId="126189FC" w:rsidR="00EB57D6" w:rsidRPr="001C47D1" w:rsidRDefault="00FA4F41" w:rsidP="00EB57D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1C47D1">
        <w:rPr>
          <w:rFonts w:ascii="Arial" w:hAnsi="Arial" w:cs="Arial"/>
          <w:sz w:val="24"/>
          <w:szCs w:val="24"/>
          <w:lang w:val="es-ES_tradnl"/>
        </w:rPr>
        <w:t xml:space="preserve">Que, </w:t>
      </w:r>
      <w:r w:rsidR="00C746E1" w:rsidRPr="001C47D1">
        <w:rPr>
          <w:rFonts w:ascii="Arial" w:hAnsi="Arial" w:cs="Arial"/>
          <w:sz w:val="24"/>
          <w:szCs w:val="24"/>
          <w:lang w:val="es-ES_tradnl"/>
        </w:rPr>
        <w:t xml:space="preserve">además 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la citada Decisión </w:t>
      </w:r>
      <w:r w:rsidR="00661214" w:rsidRPr="001C47D1">
        <w:rPr>
          <w:rFonts w:ascii="Arial" w:hAnsi="Arial" w:cs="Arial"/>
          <w:sz w:val="24"/>
          <w:szCs w:val="24"/>
          <w:lang w:val="es-ES_tradnl"/>
        </w:rPr>
        <w:t>e</w:t>
      </w:r>
      <w:r w:rsidR="00C746E1" w:rsidRPr="001C47D1">
        <w:rPr>
          <w:rFonts w:ascii="Arial" w:hAnsi="Arial" w:cs="Arial"/>
          <w:sz w:val="24"/>
          <w:szCs w:val="24"/>
          <w:lang w:val="es-ES_tradnl"/>
        </w:rPr>
        <w:t>stableció</w:t>
      </w:r>
      <w:r w:rsidR="00A156FB" w:rsidRPr="001C47D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que, en un plazo no mayor de seis (6) meses contados a partir de la fecha de emisión de la NSO o la renovación de la NSO o la comunicación del cambio de la NSO, el interesado se compromete a entregar a la ANC el </w:t>
      </w:r>
      <w:r w:rsidR="00580476" w:rsidRPr="001C47D1">
        <w:rPr>
          <w:rFonts w:ascii="Arial" w:hAnsi="Arial" w:cs="Arial"/>
          <w:sz w:val="24"/>
          <w:szCs w:val="24"/>
          <w:lang w:val="es-ES_tradnl"/>
        </w:rPr>
        <w:t>CLV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del producto o la autorización similar expedida por la ANC del país de origen o la declaración </w:t>
      </w:r>
      <w:proofErr w:type="spellStart"/>
      <w:r w:rsidRPr="001C47D1">
        <w:rPr>
          <w:rFonts w:ascii="Arial" w:hAnsi="Arial" w:cs="Arial"/>
          <w:sz w:val="24"/>
          <w:szCs w:val="24"/>
          <w:lang w:val="es-ES_tradnl"/>
        </w:rPr>
        <w:t>consularizada</w:t>
      </w:r>
      <w:proofErr w:type="spellEnd"/>
      <w:r w:rsidRPr="001C47D1">
        <w:rPr>
          <w:rFonts w:ascii="Arial" w:hAnsi="Arial" w:cs="Arial"/>
          <w:sz w:val="24"/>
          <w:szCs w:val="24"/>
          <w:lang w:val="es-ES_tradnl"/>
        </w:rPr>
        <w:t xml:space="preserve"> o apostillada del responsable del producto en el país de origen, y en caso de incumplimiento, la ANC podrá suspender o cancelar la NSO; </w:t>
      </w:r>
    </w:p>
    <w:p w14:paraId="77EA9A83" w14:textId="77777777" w:rsidR="004E6AAE" w:rsidRPr="001C47D1" w:rsidRDefault="004E6AAE" w:rsidP="00EB57D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0DB4A62" w14:textId="2966925F" w:rsidR="00530268" w:rsidRPr="001C47D1" w:rsidRDefault="00530268" w:rsidP="00EB57D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_Hlk64023954"/>
      <w:bookmarkStart w:id="18" w:name="_Hlk64021253"/>
      <w:bookmarkStart w:id="19" w:name="_Hlk62579640"/>
      <w:r w:rsidRPr="001C47D1">
        <w:rPr>
          <w:rFonts w:ascii="Arial" w:hAnsi="Arial" w:cs="Arial"/>
          <w:sz w:val="24"/>
          <w:szCs w:val="24"/>
          <w:lang w:val="es-ES_tradnl"/>
        </w:rPr>
        <w:t>Que</w:t>
      </w:r>
      <w:r w:rsidR="00C746E1" w:rsidRPr="001C47D1">
        <w:rPr>
          <w:rFonts w:ascii="Arial" w:hAnsi="Arial" w:cs="Arial"/>
          <w:sz w:val="24"/>
          <w:szCs w:val="24"/>
          <w:lang w:val="es-ES_tradnl"/>
        </w:rPr>
        <w:t>,</w:t>
      </w:r>
      <w:r w:rsidR="00C746E1" w:rsidRPr="001C47D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C746E1" w:rsidRPr="001C47D1">
        <w:rPr>
          <w:rFonts w:ascii="Arial" w:hAnsi="Arial" w:cs="Arial"/>
          <w:sz w:val="24"/>
          <w:szCs w:val="24"/>
          <w:lang w:val="es-ES_tradnl"/>
        </w:rPr>
        <w:t>con fecha</w:t>
      </w:r>
      <w:r w:rsidR="00A156FB" w:rsidRPr="001C47D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1C47D1">
        <w:rPr>
          <w:rFonts w:ascii="Arial" w:hAnsi="Arial" w:cs="Arial"/>
          <w:sz w:val="24"/>
          <w:szCs w:val="24"/>
          <w:lang w:val="es-ES_tradnl"/>
        </w:rPr>
        <w:t>29 de octubre de 2020, el Director General de la OMS declar</w:t>
      </w:r>
      <w:r w:rsidR="008B279E" w:rsidRPr="001C47D1">
        <w:rPr>
          <w:rFonts w:ascii="Arial" w:hAnsi="Arial" w:cs="Arial"/>
          <w:sz w:val="24"/>
          <w:szCs w:val="24"/>
          <w:lang w:val="es-ES_tradnl"/>
        </w:rPr>
        <w:t>ó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que el brote de </w:t>
      </w:r>
      <w:r w:rsidR="00D30B35" w:rsidRPr="001C47D1">
        <w:rPr>
          <w:rFonts w:ascii="Arial" w:hAnsi="Arial" w:cs="Arial"/>
          <w:sz w:val="24"/>
          <w:szCs w:val="24"/>
          <w:lang w:val="es-ES_tradnl"/>
        </w:rPr>
        <w:t xml:space="preserve">la 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COVID-19 sigue constituyendo una </w:t>
      </w:r>
      <w:r w:rsidRPr="001C47D1">
        <w:rPr>
          <w:rFonts w:ascii="Arial" w:hAnsi="Arial" w:cs="Arial"/>
          <w:sz w:val="24"/>
          <w:szCs w:val="24"/>
        </w:rPr>
        <w:t>emergencia de salud pública de importancia internacional (ESPII)</w:t>
      </w:r>
      <w:r w:rsidR="003B7EE3" w:rsidRPr="001C47D1">
        <w:rPr>
          <w:rFonts w:ascii="Arial" w:hAnsi="Arial" w:cs="Arial"/>
          <w:sz w:val="24"/>
          <w:szCs w:val="24"/>
        </w:rPr>
        <w:t xml:space="preserve"> y destacó la importancia que las administraciones públicas y los ciudadanos se mantengan centrados en la interrupción de las cadenas de transmisión, entre otras recomendaciones para que los gobiernos continúen con el fortalecimiento de los sistemas de salud y su preparación para el despliegue de la vacunación</w:t>
      </w:r>
      <w:bookmarkEnd w:id="17"/>
      <w:r w:rsidR="003B7EE3" w:rsidRPr="001C47D1">
        <w:rPr>
          <w:rFonts w:ascii="Arial" w:hAnsi="Arial" w:cs="Arial"/>
          <w:sz w:val="24"/>
          <w:szCs w:val="24"/>
        </w:rPr>
        <w:t>;</w:t>
      </w:r>
      <w:bookmarkEnd w:id="18"/>
      <w:r w:rsidR="003B7EE3" w:rsidRPr="001C47D1">
        <w:rPr>
          <w:rFonts w:ascii="Arial" w:hAnsi="Arial" w:cs="Arial"/>
          <w:sz w:val="24"/>
          <w:szCs w:val="24"/>
        </w:rPr>
        <w:t xml:space="preserve"> </w:t>
      </w:r>
    </w:p>
    <w:p w14:paraId="727C4F2E" w14:textId="77777777" w:rsidR="003B7EE3" w:rsidRPr="00036363" w:rsidRDefault="003B7EE3" w:rsidP="00EB57D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C1E99D" w14:textId="384DDF28" w:rsidR="00A07D21" w:rsidRPr="001C47D1" w:rsidRDefault="00F946ED" w:rsidP="00EB57D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bookmarkStart w:id="20" w:name="_Hlk64021282"/>
      <w:r w:rsidRPr="001C47D1">
        <w:rPr>
          <w:rFonts w:ascii="Arial" w:hAnsi="Arial" w:cs="Arial"/>
          <w:sz w:val="24"/>
          <w:szCs w:val="24"/>
          <w:lang w:val="es-ES_tradnl"/>
        </w:rPr>
        <w:t>Que, los Países Miembros</w:t>
      </w:r>
      <w:r w:rsidR="00DF0193" w:rsidRPr="001C47D1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A27649" w:rsidRPr="001C47D1">
        <w:rPr>
          <w:rFonts w:ascii="Arial" w:hAnsi="Arial" w:cs="Arial"/>
          <w:sz w:val="24"/>
          <w:szCs w:val="24"/>
          <w:lang w:val="es-ES_tradnl"/>
        </w:rPr>
        <w:t xml:space="preserve">como consecuencia de la permanencia y </w:t>
      </w:r>
      <w:r w:rsidR="00260443" w:rsidRPr="001C47D1">
        <w:rPr>
          <w:rFonts w:ascii="Arial" w:hAnsi="Arial" w:cs="Arial"/>
          <w:sz w:val="24"/>
          <w:szCs w:val="24"/>
          <w:lang w:val="es-ES_tradnl"/>
        </w:rPr>
        <w:t xml:space="preserve">el rebrote de los </w:t>
      </w:r>
      <w:r w:rsidR="00A27649" w:rsidRPr="001C47D1">
        <w:rPr>
          <w:rFonts w:ascii="Arial" w:hAnsi="Arial" w:cs="Arial"/>
          <w:sz w:val="24"/>
          <w:szCs w:val="24"/>
          <w:lang w:val="es-ES_tradnl"/>
        </w:rPr>
        <w:t xml:space="preserve">contagios </w:t>
      </w:r>
      <w:r w:rsidR="00C746E1" w:rsidRPr="001C47D1">
        <w:rPr>
          <w:rFonts w:ascii="Arial" w:hAnsi="Arial" w:cs="Arial"/>
          <w:sz w:val="24"/>
          <w:szCs w:val="24"/>
          <w:lang w:val="es-ES_tradnl"/>
        </w:rPr>
        <w:t xml:space="preserve">y las nuevas variantes </w:t>
      </w:r>
      <w:r w:rsidR="00A27649" w:rsidRPr="001C47D1">
        <w:rPr>
          <w:rFonts w:ascii="Arial" w:hAnsi="Arial" w:cs="Arial"/>
          <w:sz w:val="24"/>
          <w:szCs w:val="24"/>
          <w:lang w:val="es-ES_tradnl"/>
        </w:rPr>
        <w:t xml:space="preserve">de la COVID-19 </w:t>
      </w:r>
      <w:r w:rsidR="00DF0193" w:rsidRPr="001C47D1">
        <w:rPr>
          <w:rFonts w:ascii="Arial" w:hAnsi="Arial" w:cs="Arial"/>
          <w:sz w:val="24"/>
          <w:szCs w:val="24"/>
          <w:lang w:val="es-ES_tradnl"/>
        </w:rPr>
        <w:t xml:space="preserve">en sus </w:t>
      </w:r>
      <w:r w:rsidR="00A11BB6" w:rsidRPr="001C47D1">
        <w:rPr>
          <w:rFonts w:ascii="Arial" w:hAnsi="Arial" w:cs="Arial"/>
          <w:sz w:val="24"/>
          <w:szCs w:val="24"/>
          <w:lang w:val="es-ES_tradnl"/>
        </w:rPr>
        <w:t>territorios,</w:t>
      </w:r>
      <w:r w:rsidR="00A07D21" w:rsidRPr="001C47D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07D21" w:rsidRPr="001C47D1">
        <w:rPr>
          <w:rFonts w:ascii="Arial" w:hAnsi="Arial" w:cs="Arial"/>
          <w:sz w:val="24"/>
          <w:szCs w:val="24"/>
          <w:lang w:val="es-ES_tradnl"/>
        </w:rPr>
        <w:lastRenderedPageBreak/>
        <w:t xml:space="preserve">así como la imposibilidad de calcular y determinar </w:t>
      </w:r>
      <w:r w:rsidR="00A11BB6" w:rsidRPr="001C47D1">
        <w:rPr>
          <w:rFonts w:ascii="Arial" w:hAnsi="Arial" w:cs="Arial"/>
          <w:sz w:val="24"/>
          <w:szCs w:val="24"/>
          <w:lang w:val="es-ES_tradnl"/>
        </w:rPr>
        <w:t xml:space="preserve">con certeza </w:t>
      </w:r>
      <w:r w:rsidR="00A07D21" w:rsidRPr="001C47D1">
        <w:rPr>
          <w:rFonts w:ascii="Arial" w:hAnsi="Arial" w:cs="Arial"/>
          <w:sz w:val="24"/>
          <w:szCs w:val="24"/>
          <w:lang w:val="es-ES_tradnl"/>
        </w:rPr>
        <w:t xml:space="preserve">el progreso </w:t>
      </w:r>
      <w:r w:rsidR="00A11BB6" w:rsidRPr="001C47D1">
        <w:rPr>
          <w:rFonts w:ascii="Arial" w:hAnsi="Arial" w:cs="Arial"/>
          <w:sz w:val="24"/>
          <w:szCs w:val="24"/>
          <w:lang w:val="es-ES_tradnl"/>
        </w:rPr>
        <w:t xml:space="preserve">y fin </w:t>
      </w:r>
      <w:r w:rsidR="00A07D21" w:rsidRPr="001C47D1">
        <w:rPr>
          <w:rFonts w:ascii="Arial" w:hAnsi="Arial" w:cs="Arial"/>
          <w:sz w:val="24"/>
          <w:szCs w:val="24"/>
          <w:lang w:val="es-ES_tradnl"/>
        </w:rPr>
        <w:t>de la pandemia</w:t>
      </w:r>
      <w:r w:rsidR="00D23719" w:rsidRPr="001C47D1">
        <w:rPr>
          <w:rFonts w:ascii="Arial" w:hAnsi="Arial" w:cs="Arial"/>
          <w:sz w:val="24"/>
          <w:szCs w:val="24"/>
          <w:lang w:val="es-ES_tradnl"/>
        </w:rPr>
        <w:t xml:space="preserve">¸ </w:t>
      </w:r>
      <w:r w:rsidR="00F1478D" w:rsidRPr="001C47D1">
        <w:rPr>
          <w:rFonts w:ascii="Arial" w:hAnsi="Arial" w:cs="Arial"/>
          <w:sz w:val="24"/>
          <w:szCs w:val="24"/>
          <w:lang w:val="es-ES_tradnl"/>
        </w:rPr>
        <w:t xml:space="preserve">han </w:t>
      </w:r>
      <w:r w:rsidR="00D23719" w:rsidRPr="001C47D1">
        <w:rPr>
          <w:rFonts w:ascii="Arial" w:hAnsi="Arial" w:cs="Arial"/>
          <w:sz w:val="24"/>
          <w:szCs w:val="24"/>
          <w:lang w:val="es-ES_tradnl"/>
        </w:rPr>
        <w:t>emiti</w:t>
      </w:r>
      <w:r w:rsidR="00F1478D" w:rsidRPr="001C47D1">
        <w:rPr>
          <w:rFonts w:ascii="Arial" w:hAnsi="Arial" w:cs="Arial"/>
          <w:sz w:val="24"/>
          <w:szCs w:val="24"/>
          <w:lang w:val="es-ES_tradnl"/>
        </w:rPr>
        <w:t>do</w:t>
      </w:r>
      <w:r w:rsidR="00D23719" w:rsidRPr="001C47D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07D21" w:rsidRPr="001C47D1">
        <w:rPr>
          <w:rFonts w:ascii="Arial" w:hAnsi="Arial" w:cs="Arial"/>
          <w:sz w:val="24"/>
          <w:szCs w:val="24"/>
          <w:lang w:val="es-ES_tradnl"/>
        </w:rPr>
        <w:t xml:space="preserve">diversas </w:t>
      </w:r>
      <w:r w:rsidR="00D23719" w:rsidRPr="001C47D1">
        <w:rPr>
          <w:rFonts w:ascii="Arial" w:hAnsi="Arial" w:cs="Arial"/>
          <w:sz w:val="24"/>
          <w:szCs w:val="24"/>
          <w:lang w:val="es-ES_tradnl"/>
        </w:rPr>
        <w:t xml:space="preserve">prórrogas </w:t>
      </w:r>
      <w:r w:rsidR="00C746E1" w:rsidRPr="001C47D1">
        <w:rPr>
          <w:rFonts w:ascii="Arial" w:hAnsi="Arial" w:cs="Arial"/>
          <w:sz w:val="24"/>
          <w:szCs w:val="24"/>
          <w:lang w:val="es-ES_tradnl"/>
        </w:rPr>
        <w:t xml:space="preserve">sobre las medidas dictadas en el marco </w:t>
      </w:r>
      <w:r w:rsidR="00D23719" w:rsidRPr="001C47D1">
        <w:rPr>
          <w:rFonts w:ascii="Arial" w:hAnsi="Arial" w:cs="Arial"/>
          <w:sz w:val="24"/>
          <w:szCs w:val="24"/>
          <w:lang w:val="es-ES_tradnl"/>
        </w:rPr>
        <w:t>de la</w:t>
      </w:r>
      <w:r w:rsidR="00DF564C" w:rsidRPr="001C47D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23719" w:rsidRPr="001C47D1">
        <w:rPr>
          <w:rFonts w:ascii="Arial" w:hAnsi="Arial" w:cs="Arial"/>
          <w:sz w:val="24"/>
          <w:szCs w:val="24"/>
          <w:lang w:val="es-ES_tradnl"/>
        </w:rPr>
        <w:t>emergencia sanitaria</w:t>
      </w:r>
      <w:r w:rsidR="00DF0193" w:rsidRPr="001C47D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30B35" w:rsidRPr="001C47D1">
        <w:rPr>
          <w:rFonts w:ascii="Arial" w:hAnsi="Arial" w:cs="Arial"/>
          <w:sz w:val="24"/>
          <w:szCs w:val="24"/>
          <w:lang w:val="es-ES_tradnl"/>
        </w:rPr>
        <w:t>para</w:t>
      </w:r>
      <w:r w:rsidR="00FC4738" w:rsidRPr="001C47D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C46FE" w:rsidRPr="001C47D1">
        <w:rPr>
          <w:rFonts w:ascii="Arial" w:hAnsi="Arial" w:cs="Arial"/>
          <w:sz w:val="24"/>
          <w:szCs w:val="24"/>
          <w:lang w:val="es-ES_tradnl"/>
        </w:rPr>
        <w:t>fortalecer las</w:t>
      </w:r>
      <w:r w:rsidR="00DF0193" w:rsidRPr="001C47D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23719" w:rsidRPr="001C47D1">
        <w:rPr>
          <w:rFonts w:ascii="Arial" w:hAnsi="Arial" w:cs="Arial"/>
          <w:sz w:val="24"/>
          <w:szCs w:val="24"/>
          <w:lang w:val="es-ES_tradnl"/>
        </w:rPr>
        <w:t>acciones</w:t>
      </w:r>
      <w:r w:rsidR="00DF0193" w:rsidRPr="001C47D1">
        <w:rPr>
          <w:rFonts w:ascii="Arial" w:hAnsi="Arial" w:cs="Arial"/>
          <w:sz w:val="24"/>
          <w:szCs w:val="24"/>
          <w:lang w:val="es-ES_tradnl"/>
        </w:rPr>
        <w:t xml:space="preserve"> que permitan la contención y reducción de contagios</w:t>
      </w:r>
      <w:r w:rsidR="00A07D21" w:rsidRPr="001C47D1">
        <w:rPr>
          <w:rFonts w:ascii="Arial" w:hAnsi="Arial" w:cs="Arial"/>
          <w:sz w:val="24"/>
          <w:szCs w:val="24"/>
          <w:lang w:val="es-ES_tradnl"/>
        </w:rPr>
        <w:t xml:space="preserve"> en salvaguarda </w:t>
      </w:r>
      <w:r w:rsidR="00112502" w:rsidRPr="001C47D1">
        <w:rPr>
          <w:rFonts w:ascii="Arial" w:hAnsi="Arial" w:cs="Arial"/>
          <w:sz w:val="24"/>
          <w:szCs w:val="24"/>
          <w:lang w:val="es-ES_tradnl"/>
        </w:rPr>
        <w:t xml:space="preserve">de la vida y </w:t>
      </w:r>
      <w:r w:rsidR="00A07D21" w:rsidRPr="001C47D1">
        <w:rPr>
          <w:rFonts w:ascii="Arial" w:hAnsi="Arial" w:cs="Arial"/>
          <w:sz w:val="24"/>
          <w:szCs w:val="24"/>
          <w:lang w:val="es-ES_tradnl"/>
        </w:rPr>
        <w:t xml:space="preserve">salud </w:t>
      </w:r>
      <w:r w:rsidR="009C46FE" w:rsidRPr="001C47D1">
        <w:rPr>
          <w:rFonts w:ascii="Arial" w:hAnsi="Arial" w:cs="Arial"/>
          <w:sz w:val="24"/>
          <w:szCs w:val="24"/>
          <w:lang w:val="es-ES_tradnl"/>
        </w:rPr>
        <w:t>de la población</w:t>
      </w:r>
      <w:r w:rsidR="00A07D21" w:rsidRPr="001C47D1">
        <w:rPr>
          <w:rFonts w:ascii="Arial" w:hAnsi="Arial" w:cs="Arial"/>
          <w:sz w:val="24"/>
          <w:szCs w:val="24"/>
          <w:lang w:val="es-ES_tradnl"/>
        </w:rPr>
        <w:t>;</w:t>
      </w:r>
    </w:p>
    <w:bookmarkEnd w:id="19"/>
    <w:bookmarkEnd w:id="20"/>
    <w:p w14:paraId="1FA4B702" w14:textId="42A34AFF" w:rsidR="003D046D" w:rsidRPr="001C47D1" w:rsidRDefault="003D046D" w:rsidP="00EB57D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D7AAC2F" w14:textId="77777777" w:rsidR="0035395F" w:rsidRPr="001C47D1" w:rsidRDefault="0035395F" w:rsidP="0035395F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bookmarkStart w:id="21" w:name="_Hlk88846503"/>
      <w:bookmarkStart w:id="22" w:name="_Hlk88843692"/>
      <w:r w:rsidRPr="001C47D1">
        <w:rPr>
          <w:rFonts w:ascii="Arial" w:hAnsi="Arial" w:cs="Arial"/>
          <w:sz w:val="24"/>
          <w:szCs w:val="24"/>
        </w:rPr>
        <w:t>Que, mediante la Decisión 870, se estableció medidas temporales y se facultó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a las ANC de los Países Miembros para que puedan, hasta el 31 de diciembre de 2021, aceptar una carta de compromiso en lugar de la presentación del CLV del producto o de la autorización similar expedida por la ANC del país de origen o de la declaración </w:t>
      </w:r>
      <w:proofErr w:type="spellStart"/>
      <w:r w:rsidRPr="001C47D1">
        <w:rPr>
          <w:rFonts w:ascii="Arial" w:hAnsi="Arial" w:cs="Arial"/>
          <w:sz w:val="24"/>
          <w:szCs w:val="24"/>
          <w:lang w:val="es-ES_tradnl"/>
        </w:rPr>
        <w:t>consularizada</w:t>
      </w:r>
      <w:proofErr w:type="spellEnd"/>
      <w:r w:rsidRPr="001C47D1">
        <w:rPr>
          <w:rFonts w:ascii="Arial" w:hAnsi="Arial" w:cs="Arial"/>
          <w:sz w:val="24"/>
          <w:szCs w:val="24"/>
          <w:lang w:val="es-ES_tradnl"/>
        </w:rPr>
        <w:t xml:space="preserve"> o apostillada del responsable del producto en el país de origen, para la emisión, renovación y solicitud de cambios de la NSO de los productos de higiene doméstica y productos absorbentes de higiene personal fabricados fuera de la Subregión Andina. </w:t>
      </w:r>
    </w:p>
    <w:p w14:paraId="41520E60" w14:textId="77777777" w:rsidR="0035395F" w:rsidRPr="001C47D1" w:rsidRDefault="0035395F" w:rsidP="00EB57D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215F675" w14:textId="162C6CAE" w:rsidR="00D87B16" w:rsidRPr="001C47D1" w:rsidRDefault="009E6929" w:rsidP="00EB57D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1C47D1">
        <w:rPr>
          <w:rFonts w:ascii="Arial" w:hAnsi="Arial" w:cs="Arial"/>
          <w:sz w:val="24"/>
          <w:szCs w:val="24"/>
          <w:lang w:val="es-ES_tradnl"/>
        </w:rPr>
        <w:t xml:space="preserve">Que, el 12 y 26 de noviembre de 2021, la OMS señaló, entre otros, el incremento del número de casos de </w:t>
      </w:r>
      <w:r w:rsidR="000B2B2D" w:rsidRPr="001C47D1">
        <w:rPr>
          <w:rFonts w:ascii="Arial" w:hAnsi="Arial" w:cs="Arial"/>
          <w:sz w:val="24"/>
          <w:szCs w:val="24"/>
          <w:lang w:val="es-ES_tradnl"/>
        </w:rPr>
        <w:t xml:space="preserve">la 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COVID-19 principalmente en países con menor tasa de vacunación, debido a que la vacunación es una medida que no sustituye la necesidad de tomar otras precauciones, dado que estas reducen la hospitalización, el desarrollo de la enfermedad grave y fallecimiento, pero no evitan la transmisión; asimismo, con la aparición de la nueva cepa </w:t>
      </w:r>
      <w:r w:rsidR="00D87B16" w:rsidRPr="001C47D1">
        <w:rPr>
          <w:rFonts w:ascii="Arial" w:hAnsi="Arial" w:cs="Arial"/>
          <w:sz w:val="24"/>
          <w:szCs w:val="24"/>
          <w:lang w:val="es-ES_tradnl"/>
        </w:rPr>
        <w:t>calificada como una variante del SarsCov</w:t>
      </w:r>
      <w:r w:rsidR="003C73AA" w:rsidRPr="001C47D1">
        <w:rPr>
          <w:rFonts w:ascii="Arial" w:hAnsi="Arial" w:cs="Arial"/>
          <w:sz w:val="24"/>
          <w:szCs w:val="24"/>
          <w:lang w:val="es-ES_tradnl"/>
        </w:rPr>
        <w:t>-</w:t>
      </w:r>
      <w:r w:rsidR="00D87B16" w:rsidRPr="001C47D1">
        <w:rPr>
          <w:rFonts w:ascii="Arial" w:hAnsi="Arial" w:cs="Arial"/>
          <w:sz w:val="24"/>
          <w:szCs w:val="24"/>
          <w:lang w:val="es-ES_tradnl"/>
        </w:rPr>
        <w:t xml:space="preserve">2 “de preocupación” </w:t>
      </w:r>
      <w:r w:rsidR="003C73AA" w:rsidRPr="001C47D1">
        <w:rPr>
          <w:rFonts w:ascii="Arial" w:hAnsi="Arial" w:cs="Arial"/>
          <w:sz w:val="24"/>
          <w:szCs w:val="24"/>
          <w:lang w:val="es-ES_tradnl"/>
        </w:rPr>
        <w:t>denominada “</w:t>
      </w:r>
      <w:proofErr w:type="spellStart"/>
      <w:r w:rsidR="003C73AA" w:rsidRPr="001C47D1">
        <w:rPr>
          <w:rFonts w:ascii="Arial" w:hAnsi="Arial" w:cs="Arial"/>
          <w:sz w:val="24"/>
          <w:szCs w:val="24"/>
          <w:lang w:val="es-ES_tradnl"/>
        </w:rPr>
        <w:t>Omicron</w:t>
      </w:r>
      <w:proofErr w:type="spellEnd"/>
      <w:r w:rsidR="003C73AA" w:rsidRPr="001C47D1">
        <w:rPr>
          <w:rFonts w:ascii="Arial" w:hAnsi="Arial" w:cs="Arial"/>
          <w:sz w:val="24"/>
          <w:szCs w:val="24"/>
          <w:lang w:val="es-ES_tradnl"/>
        </w:rPr>
        <w:t xml:space="preserve">” </w:t>
      </w:r>
      <w:r w:rsidR="00D87B16" w:rsidRPr="001C47D1">
        <w:rPr>
          <w:rFonts w:ascii="Arial" w:hAnsi="Arial" w:cs="Arial"/>
          <w:sz w:val="24"/>
          <w:szCs w:val="24"/>
          <w:lang w:val="es-ES_tradnl"/>
        </w:rPr>
        <w:t>la cual sugiere un mayor riesgo de reinfección que otras, por lo que reiteraron en mantener las medidas de vigilancia y de salud pública como el uso adaptado y proporcionado de las pruebas, mascarillas</w:t>
      </w:r>
      <w:r w:rsidR="003C73AA" w:rsidRPr="001C47D1">
        <w:rPr>
          <w:rFonts w:ascii="Arial" w:hAnsi="Arial" w:cs="Arial"/>
          <w:sz w:val="24"/>
          <w:szCs w:val="24"/>
          <w:lang w:val="es-ES_tradnl"/>
        </w:rPr>
        <w:t>, lavado de manos,</w:t>
      </w:r>
      <w:r w:rsidR="00D87B16" w:rsidRPr="001C47D1">
        <w:rPr>
          <w:rFonts w:ascii="Arial" w:hAnsi="Arial" w:cs="Arial"/>
          <w:sz w:val="24"/>
          <w:szCs w:val="24"/>
          <w:lang w:val="es-ES_tradnl"/>
        </w:rPr>
        <w:t xml:space="preserve"> distanciamiento</w:t>
      </w:r>
      <w:r w:rsidR="003C73AA" w:rsidRPr="001C47D1">
        <w:rPr>
          <w:rFonts w:ascii="Arial" w:hAnsi="Arial" w:cs="Arial"/>
          <w:sz w:val="24"/>
          <w:szCs w:val="24"/>
          <w:lang w:val="es-ES_tradnl"/>
        </w:rPr>
        <w:t>, evitar aglomeraciones</w:t>
      </w:r>
      <w:r w:rsidR="00D87B16" w:rsidRPr="001C47D1">
        <w:rPr>
          <w:rFonts w:ascii="Arial" w:hAnsi="Arial" w:cs="Arial"/>
          <w:sz w:val="24"/>
          <w:szCs w:val="24"/>
          <w:lang w:val="es-ES_tradnl"/>
        </w:rPr>
        <w:t>,</w:t>
      </w:r>
      <w:r w:rsidR="003C73AA" w:rsidRPr="001C47D1">
        <w:rPr>
          <w:rFonts w:ascii="Arial" w:hAnsi="Arial" w:cs="Arial"/>
          <w:sz w:val="24"/>
          <w:szCs w:val="24"/>
          <w:lang w:val="es-ES_tradnl"/>
        </w:rPr>
        <w:t xml:space="preserve"> entre otras medidas comprobadas. </w:t>
      </w:r>
      <w:bookmarkEnd w:id="21"/>
    </w:p>
    <w:p w14:paraId="25844F96" w14:textId="09DD5257" w:rsidR="00A9023D" w:rsidRPr="001C47D1" w:rsidRDefault="00A9023D" w:rsidP="00EB57D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718AC64" w14:textId="77777777" w:rsidR="00A9023D" w:rsidRPr="001C47D1" w:rsidRDefault="00A9023D" w:rsidP="00A9023D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1C47D1">
        <w:rPr>
          <w:rFonts w:ascii="Arial" w:hAnsi="Arial" w:cs="Arial"/>
          <w:sz w:val="24"/>
          <w:szCs w:val="24"/>
          <w:lang w:val="es-ES_tradnl"/>
        </w:rPr>
        <w:t>Que, en ese orden, se advierte que aún se mantienen las condiciones que dificultan que</w:t>
      </w:r>
      <w:r w:rsidRPr="001C47D1" w:rsidDel="009C46F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los interesados puedan tramitar y obtener el CLV del producto o la autorización similar expedida por la ANC del país de origen o cuando corresponda la declaración </w:t>
      </w:r>
      <w:proofErr w:type="spellStart"/>
      <w:r w:rsidRPr="001C47D1">
        <w:rPr>
          <w:rFonts w:ascii="Arial" w:hAnsi="Arial" w:cs="Arial"/>
          <w:sz w:val="24"/>
          <w:szCs w:val="24"/>
          <w:lang w:val="es-ES_tradnl"/>
        </w:rPr>
        <w:t>consularizada</w:t>
      </w:r>
      <w:proofErr w:type="spellEnd"/>
      <w:r w:rsidRPr="001C47D1">
        <w:rPr>
          <w:rFonts w:ascii="Arial" w:hAnsi="Arial" w:cs="Arial"/>
          <w:sz w:val="24"/>
          <w:szCs w:val="24"/>
          <w:lang w:val="es-ES_tradnl"/>
        </w:rPr>
        <w:t xml:space="preserve"> o apostillada del responsable del producto en el país de origen;</w:t>
      </w:r>
    </w:p>
    <w:bookmarkEnd w:id="22"/>
    <w:p w14:paraId="1DDE6B80" w14:textId="78CEC4CB" w:rsidR="003C73AA" w:rsidRPr="001C47D1" w:rsidRDefault="003C73AA" w:rsidP="00EB57D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D55C282" w14:textId="67E596D4" w:rsidR="003C73AA" w:rsidRPr="001C47D1" w:rsidRDefault="003C73AA" w:rsidP="003C73AA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1C47D1">
        <w:rPr>
          <w:rFonts w:ascii="Arial" w:hAnsi="Arial" w:cs="Arial"/>
          <w:sz w:val="24"/>
          <w:szCs w:val="24"/>
          <w:lang w:val="es-ES_tradnl"/>
        </w:rPr>
        <w:t>Que,</w:t>
      </w:r>
      <w:r w:rsidRPr="001C47D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1C47D1">
        <w:rPr>
          <w:rFonts w:ascii="Arial" w:hAnsi="Arial" w:cs="Arial"/>
          <w:sz w:val="24"/>
          <w:szCs w:val="24"/>
          <w:lang w:val="es-ES_tradnl"/>
        </w:rPr>
        <w:t>las medidas adoptadas mediante las Decisiones 866 y 870, permitieron la agilización de trámites para las gestiones de las NSO, por lo que los Países Miembros</w:t>
      </w:r>
      <w:r w:rsidR="00A218BD" w:rsidRPr="001C47D1">
        <w:rPr>
          <w:rFonts w:ascii="Arial" w:hAnsi="Arial" w:cs="Arial"/>
          <w:sz w:val="24"/>
          <w:szCs w:val="24"/>
          <w:lang w:val="es-ES_tradnl"/>
        </w:rPr>
        <w:t>, dada la incertidumbre en la evolución de los contagios</w:t>
      </w:r>
      <w:r w:rsidR="00BE5CD8" w:rsidRPr="001C47D1">
        <w:rPr>
          <w:rFonts w:ascii="Arial" w:hAnsi="Arial" w:cs="Arial"/>
          <w:sz w:val="24"/>
          <w:szCs w:val="24"/>
          <w:lang w:val="es-ES_tradnl"/>
        </w:rPr>
        <w:t>,</w:t>
      </w:r>
      <w:r w:rsidR="00A218BD" w:rsidRPr="001C47D1">
        <w:rPr>
          <w:rFonts w:ascii="Arial" w:hAnsi="Arial" w:cs="Arial"/>
          <w:sz w:val="24"/>
          <w:szCs w:val="24"/>
          <w:lang w:val="es-ES_tradnl"/>
        </w:rPr>
        <w:t xml:space="preserve"> nuevas cepas</w:t>
      </w:r>
      <w:r w:rsidR="00BE5CD8" w:rsidRPr="001C47D1">
        <w:rPr>
          <w:rFonts w:ascii="Arial" w:hAnsi="Arial" w:cs="Arial"/>
          <w:sz w:val="24"/>
          <w:szCs w:val="24"/>
          <w:lang w:val="es-ES_tradnl"/>
        </w:rPr>
        <w:t xml:space="preserve"> y la persistencia del rie</w:t>
      </w:r>
      <w:r w:rsidR="000B2B2D" w:rsidRPr="001C47D1">
        <w:rPr>
          <w:rFonts w:ascii="Arial" w:hAnsi="Arial" w:cs="Arial"/>
          <w:sz w:val="24"/>
          <w:szCs w:val="24"/>
          <w:lang w:val="es-ES_tradnl"/>
        </w:rPr>
        <w:t>s</w:t>
      </w:r>
      <w:r w:rsidR="00BE5CD8" w:rsidRPr="001C47D1">
        <w:rPr>
          <w:rFonts w:ascii="Arial" w:hAnsi="Arial" w:cs="Arial"/>
          <w:sz w:val="24"/>
          <w:szCs w:val="24"/>
          <w:lang w:val="es-ES_tradnl"/>
        </w:rPr>
        <w:t>go sanitario en la subregión</w:t>
      </w:r>
      <w:r w:rsidR="00A218BD" w:rsidRPr="001C47D1">
        <w:rPr>
          <w:rFonts w:ascii="Arial" w:hAnsi="Arial" w:cs="Arial"/>
          <w:sz w:val="24"/>
          <w:szCs w:val="24"/>
          <w:lang w:val="es-ES_tradnl"/>
        </w:rPr>
        <w:t>,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consideraron importante mantener dichas medidas para facilitar el comercio y el acceso de productos de higiene doméstica y productos absorbentes de higiene personal alguno</w:t>
      </w:r>
      <w:r w:rsidR="00AB56EF" w:rsidRPr="001C47D1">
        <w:rPr>
          <w:rFonts w:ascii="Arial" w:hAnsi="Arial" w:cs="Arial"/>
          <w:sz w:val="24"/>
          <w:szCs w:val="24"/>
          <w:lang w:val="es-ES_tradnl"/>
        </w:rPr>
        <w:t>s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de éstos indispensables para atender la pandemia.</w:t>
      </w:r>
    </w:p>
    <w:p w14:paraId="0D80F015" w14:textId="69A82164" w:rsidR="009E6929" w:rsidRPr="001C47D1" w:rsidRDefault="00D87B16" w:rsidP="00EB57D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1C47D1">
        <w:rPr>
          <w:rFonts w:ascii="Arial" w:hAnsi="Arial" w:cs="Arial"/>
          <w:sz w:val="24"/>
          <w:szCs w:val="24"/>
          <w:lang w:val="es-ES_tradnl"/>
        </w:rPr>
        <w:t xml:space="preserve">     </w:t>
      </w:r>
    </w:p>
    <w:p w14:paraId="3554F6F9" w14:textId="12A1EAFD" w:rsidR="00226844" w:rsidRPr="001C47D1" w:rsidRDefault="00226844" w:rsidP="00FA4F41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C47D1">
        <w:rPr>
          <w:rFonts w:ascii="Arial" w:hAnsi="Arial" w:cs="Arial"/>
          <w:sz w:val="24"/>
          <w:szCs w:val="24"/>
        </w:rPr>
        <w:t xml:space="preserve">Que, el Grupo de Expertos Gubernamentales para la Armonización de Legislaciones Sanitarias (Sanidad Humana), </w:t>
      </w:r>
      <w:r w:rsidR="006463A8" w:rsidRPr="001C47D1">
        <w:rPr>
          <w:rFonts w:ascii="Arial" w:hAnsi="Arial" w:cs="Arial"/>
          <w:sz w:val="24"/>
          <w:szCs w:val="24"/>
        </w:rPr>
        <w:t xml:space="preserve">en su </w:t>
      </w:r>
      <w:r w:rsidR="00AB56EF" w:rsidRPr="001C47D1">
        <w:rPr>
          <w:rFonts w:ascii="Arial" w:hAnsi="Arial" w:cs="Arial"/>
          <w:sz w:val="24"/>
          <w:szCs w:val="24"/>
        </w:rPr>
        <w:t>XXXIII</w:t>
      </w:r>
      <w:r w:rsidR="003C73AA" w:rsidRPr="001C47D1">
        <w:rPr>
          <w:rFonts w:ascii="Arial" w:hAnsi="Arial" w:cs="Arial"/>
          <w:sz w:val="24"/>
          <w:szCs w:val="24"/>
        </w:rPr>
        <w:t xml:space="preserve"> </w:t>
      </w:r>
      <w:r w:rsidR="006463A8" w:rsidRPr="001C47D1">
        <w:rPr>
          <w:rFonts w:ascii="Arial" w:hAnsi="Arial" w:cs="Arial"/>
          <w:sz w:val="24"/>
          <w:szCs w:val="24"/>
        </w:rPr>
        <w:t xml:space="preserve">Reunión celebrada el </w:t>
      </w:r>
      <w:r w:rsidR="00AB56EF" w:rsidRPr="001C47D1">
        <w:rPr>
          <w:rFonts w:ascii="Arial" w:hAnsi="Arial" w:cs="Arial"/>
          <w:sz w:val="24"/>
          <w:szCs w:val="24"/>
        </w:rPr>
        <w:t>3</w:t>
      </w:r>
      <w:r w:rsidR="003C73AA" w:rsidRPr="001C47D1">
        <w:rPr>
          <w:rFonts w:ascii="Arial" w:hAnsi="Arial" w:cs="Arial"/>
          <w:sz w:val="24"/>
          <w:szCs w:val="24"/>
        </w:rPr>
        <w:t xml:space="preserve"> </w:t>
      </w:r>
      <w:r w:rsidR="006463A8" w:rsidRPr="001C47D1">
        <w:rPr>
          <w:rFonts w:ascii="Arial" w:hAnsi="Arial" w:cs="Arial"/>
          <w:sz w:val="24"/>
          <w:szCs w:val="24"/>
        </w:rPr>
        <w:t xml:space="preserve">de </w:t>
      </w:r>
      <w:r w:rsidR="003C73AA" w:rsidRPr="001C47D1">
        <w:rPr>
          <w:rFonts w:ascii="Arial" w:hAnsi="Arial" w:cs="Arial"/>
          <w:sz w:val="24"/>
          <w:szCs w:val="24"/>
        </w:rPr>
        <w:t xml:space="preserve">diciembre </w:t>
      </w:r>
      <w:r w:rsidR="006463A8" w:rsidRPr="001C47D1">
        <w:rPr>
          <w:rFonts w:ascii="Arial" w:hAnsi="Arial" w:cs="Arial"/>
          <w:sz w:val="24"/>
          <w:szCs w:val="24"/>
        </w:rPr>
        <w:t>de 202</w:t>
      </w:r>
      <w:r w:rsidR="00D91B7B" w:rsidRPr="001C47D1">
        <w:rPr>
          <w:rFonts w:ascii="Arial" w:hAnsi="Arial" w:cs="Arial"/>
          <w:sz w:val="24"/>
          <w:szCs w:val="24"/>
        </w:rPr>
        <w:t>1</w:t>
      </w:r>
      <w:r w:rsidR="006463A8" w:rsidRPr="001C47D1">
        <w:rPr>
          <w:rFonts w:ascii="Arial" w:hAnsi="Arial" w:cs="Arial"/>
          <w:sz w:val="24"/>
          <w:szCs w:val="24"/>
        </w:rPr>
        <w:t xml:space="preserve">, emitió </w:t>
      </w:r>
      <w:r w:rsidRPr="001C47D1">
        <w:rPr>
          <w:rFonts w:ascii="Arial" w:hAnsi="Arial" w:cs="Arial"/>
          <w:sz w:val="24"/>
          <w:szCs w:val="24"/>
        </w:rPr>
        <w:t xml:space="preserve">opinión favorable al proyecto </w:t>
      </w:r>
      <w:r w:rsidR="006463A8" w:rsidRPr="001C47D1">
        <w:rPr>
          <w:rFonts w:ascii="Arial" w:hAnsi="Arial" w:cs="Arial"/>
          <w:sz w:val="24"/>
          <w:szCs w:val="24"/>
        </w:rPr>
        <w:t xml:space="preserve">de Decisión </w:t>
      </w:r>
      <w:r w:rsidRPr="001C47D1">
        <w:rPr>
          <w:rFonts w:ascii="Arial" w:hAnsi="Arial" w:cs="Arial"/>
          <w:sz w:val="24"/>
          <w:szCs w:val="24"/>
        </w:rPr>
        <w:t>que</w:t>
      </w:r>
      <w:r w:rsidR="00A218BD" w:rsidRPr="001C47D1">
        <w:rPr>
          <w:rFonts w:ascii="Arial" w:hAnsi="Arial" w:cs="Arial"/>
          <w:sz w:val="24"/>
          <w:szCs w:val="24"/>
        </w:rPr>
        <w:t xml:space="preserve"> </w:t>
      </w:r>
      <w:r w:rsidRPr="001C47D1">
        <w:rPr>
          <w:rFonts w:ascii="Arial" w:hAnsi="Arial" w:cs="Arial"/>
          <w:sz w:val="24"/>
          <w:szCs w:val="24"/>
        </w:rPr>
        <w:t xml:space="preserve"> </w:t>
      </w:r>
      <w:r w:rsidR="00A218BD" w:rsidRPr="001C47D1">
        <w:rPr>
          <w:rFonts w:ascii="Arial" w:hAnsi="Arial" w:cs="Arial"/>
          <w:sz w:val="24"/>
          <w:szCs w:val="24"/>
          <w:lang w:val="es-ES_tradnl"/>
        </w:rPr>
        <w:t>modifica la Decisión 870 por la cual se prorroga la disposición temporal para el cumplimiento del requisito de presentación del Certificado de Libre Venta o autorización similar para productos de higiene doméstica y productos absorbentes de higiene personal establecido en la Decisión 706</w:t>
      </w:r>
      <w:r w:rsidRPr="001C47D1">
        <w:rPr>
          <w:rFonts w:ascii="Arial" w:hAnsi="Arial" w:cs="Arial"/>
          <w:sz w:val="24"/>
          <w:szCs w:val="24"/>
          <w:lang w:val="es-ES_tradnl"/>
        </w:rPr>
        <w:t xml:space="preserve"> y recomendó su adopción mediante Decisión de la Comisión</w:t>
      </w:r>
      <w:bookmarkEnd w:id="15"/>
      <w:r w:rsidR="001C5E66" w:rsidRPr="001C47D1">
        <w:rPr>
          <w:rFonts w:ascii="Arial" w:hAnsi="Arial" w:cs="Arial"/>
          <w:sz w:val="24"/>
          <w:szCs w:val="24"/>
          <w:lang w:val="es-ES_tradnl"/>
        </w:rPr>
        <w:t xml:space="preserve"> de la Comunidad Andina</w:t>
      </w:r>
      <w:r w:rsidRPr="001C47D1">
        <w:rPr>
          <w:rFonts w:ascii="Arial" w:hAnsi="Arial" w:cs="Arial"/>
          <w:sz w:val="24"/>
          <w:szCs w:val="24"/>
          <w:lang w:val="es-ES_tradnl"/>
        </w:rPr>
        <w:t>;</w:t>
      </w:r>
    </w:p>
    <w:p w14:paraId="179388E6" w14:textId="77777777" w:rsidR="00226844" w:rsidRPr="001C47D1" w:rsidRDefault="00226844" w:rsidP="002268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1F79C40" w14:textId="77777777" w:rsidR="00226844" w:rsidRPr="001C47D1" w:rsidRDefault="00226844" w:rsidP="002268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C47D1">
        <w:rPr>
          <w:rFonts w:ascii="Arial" w:hAnsi="Arial" w:cs="Arial"/>
          <w:b/>
          <w:sz w:val="24"/>
          <w:szCs w:val="24"/>
          <w:lang w:val="es-ES_tradnl"/>
        </w:rPr>
        <w:lastRenderedPageBreak/>
        <w:t>DECIDE:</w:t>
      </w:r>
    </w:p>
    <w:p w14:paraId="6331FBAB" w14:textId="77777777" w:rsidR="00226844" w:rsidRPr="001C47D1" w:rsidRDefault="00226844" w:rsidP="0022684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CBACDE" w14:textId="7E88F8CB" w:rsidR="00A218BD" w:rsidRPr="001C47D1" w:rsidRDefault="00A218BD" w:rsidP="00BF536E">
      <w:pPr>
        <w:pStyle w:val="xmsonormal"/>
        <w:jc w:val="both"/>
        <w:rPr>
          <w:rFonts w:ascii="Arial" w:hAnsi="Arial" w:cs="Arial"/>
          <w:sz w:val="24"/>
          <w:szCs w:val="24"/>
          <w:lang w:val="es-ES_tradnl"/>
        </w:rPr>
      </w:pPr>
      <w:r w:rsidRPr="001C47D1">
        <w:rPr>
          <w:rFonts w:ascii="Arial" w:hAnsi="Arial" w:cs="Arial"/>
          <w:b/>
          <w:bCs/>
          <w:sz w:val="24"/>
          <w:szCs w:val="24"/>
          <w:lang w:val="es-ES_tradnl"/>
        </w:rPr>
        <w:t xml:space="preserve">Artículo 1.- </w:t>
      </w:r>
      <w:r w:rsidRPr="001C47D1">
        <w:rPr>
          <w:rFonts w:ascii="Arial" w:hAnsi="Arial" w:cs="Arial"/>
          <w:sz w:val="24"/>
          <w:szCs w:val="24"/>
          <w:lang w:val="es-ES_tradnl"/>
        </w:rPr>
        <w:t>Modificar el artículo 1 de la Decisión 870 en los siguientes términos:</w:t>
      </w:r>
    </w:p>
    <w:p w14:paraId="4F0305CA" w14:textId="77777777" w:rsidR="00A218BD" w:rsidRPr="001C47D1" w:rsidRDefault="00A218BD" w:rsidP="00BF536E">
      <w:pPr>
        <w:pStyle w:val="xmsonormal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F90C6B6" w14:textId="44F90F8F" w:rsidR="00226844" w:rsidRPr="001C47D1" w:rsidRDefault="00A218BD" w:rsidP="00BF536E">
      <w:pPr>
        <w:pStyle w:val="xmsonormal"/>
        <w:ind w:left="426" w:right="282"/>
        <w:jc w:val="both"/>
        <w:rPr>
          <w:rFonts w:ascii="Arial" w:hAnsi="Arial" w:cs="Arial"/>
          <w:i/>
          <w:iCs/>
          <w:sz w:val="24"/>
          <w:szCs w:val="24"/>
        </w:rPr>
      </w:pPr>
      <w:r w:rsidRPr="001C47D1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>“</w:t>
      </w:r>
      <w:r w:rsidR="00226844" w:rsidRPr="001C47D1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 xml:space="preserve">Artículo </w:t>
      </w:r>
      <w:r w:rsidR="00945F16" w:rsidRPr="001C47D1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>1</w:t>
      </w:r>
      <w:r w:rsidR="00226844" w:rsidRPr="001C47D1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>.-</w:t>
      </w:r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 </w:t>
      </w:r>
      <w:bookmarkStart w:id="23" w:name="_Hlk46519011"/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Las </w:t>
      </w:r>
      <w:bookmarkStart w:id="24" w:name="_Hlk49516711"/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>Autoridades Nacionales Competentes de los Países Miembros podrán, hasta el</w:t>
      </w:r>
      <w:r w:rsidR="00AD4DE4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 31 </w:t>
      </w:r>
      <w:r w:rsidR="00CC3E29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de diciembre de </w:t>
      </w:r>
      <w:r w:rsidR="00AD4DE4" w:rsidRPr="001C47D1">
        <w:rPr>
          <w:rFonts w:ascii="Arial" w:hAnsi="Arial" w:cs="Arial"/>
          <w:i/>
          <w:iCs/>
          <w:sz w:val="24"/>
          <w:szCs w:val="24"/>
          <w:lang w:val="es-ES_tradnl"/>
        </w:rPr>
        <w:t>2022</w:t>
      </w:r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, </w:t>
      </w:r>
      <w:bookmarkStart w:id="25" w:name="_Hlk46515857"/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>aceptar una carta de compromiso en lugar</w:t>
      </w:r>
      <w:bookmarkEnd w:id="25"/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 de la presentación del Certificado de Libre Venta del producto o de la autorización similar expedida por la ANC del país de origen o de la declaración </w:t>
      </w:r>
      <w:proofErr w:type="spellStart"/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>consularizada</w:t>
      </w:r>
      <w:proofErr w:type="spellEnd"/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 o apostillada del responsable del producto en el país de origen, para </w:t>
      </w:r>
      <w:bookmarkStart w:id="26" w:name="_Hlk46516152"/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>la emisión, renovación y solicitud de cambios</w:t>
      </w:r>
      <w:bookmarkEnd w:id="26"/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 de la NSO de los </w:t>
      </w:r>
      <w:bookmarkStart w:id="27" w:name="_Hlk49519504"/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>productos de higiene doméstica y productos absorbentes de higiene personal</w:t>
      </w:r>
      <w:bookmarkEnd w:id="27"/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 fabricados fuera de la Subregión Andina</w:t>
      </w:r>
      <w:bookmarkEnd w:id="24"/>
      <w:r w:rsidR="00226844" w:rsidRPr="001C47D1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>,</w:t>
      </w:r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 a que se refiere el artículo 7 de la Decisión 706</w:t>
      </w:r>
      <w:r w:rsidR="00AD4DE4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 o la normativa que la modifique o sustituya,</w:t>
      </w:r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 en los</w:t>
      </w:r>
      <w:r w:rsidR="00226844" w:rsidRPr="001C47D1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 xml:space="preserve"> </w:t>
      </w:r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>trámites indicados en los numerales 8, 16, 20 y 24 del punto VI del formato único (FNSOHA-001) anexo a la Resolución N° 1370</w:t>
      </w:r>
      <w:bookmarkEnd w:id="23"/>
      <w:r w:rsidR="00226844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. </w:t>
      </w:r>
    </w:p>
    <w:p w14:paraId="4023E3B2" w14:textId="77777777" w:rsidR="00226844" w:rsidRPr="001C47D1" w:rsidRDefault="00226844" w:rsidP="00BF536E">
      <w:pPr>
        <w:pStyle w:val="xmsonormal"/>
        <w:ind w:left="426" w:right="282"/>
        <w:jc w:val="both"/>
        <w:rPr>
          <w:rFonts w:ascii="Arial" w:hAnsi="Arial" w:cs="Arial"/>
          <w:i/>
          <w:iCs/>
          <w:sz w:val="24"/>
          <w:szCs w:val="24"/>
        </w:rPr>
      </w:pPr>
    </w:p>
    <w:p w14:paraId="3BE30A9E" w14:textId="7D334778" w:rsidR="00226844" w:rsidRPr="001C47D1" w:rsidRDefault="00226844" w:rsidP="00BF536E">
      <w:pPr>
        <w:pStyle w:val="xmsonormal"/>
        <w:ind w:left="426" w:right="282"/>
        <w:jc w:val="both"/>
        <w:rPr>
          <w:rFonts w:ascii="Arial" w:hAnsi="Arial" w:cs="Arial"/>
          <w:i/>
          <w:iCs/>
          <w:sz w:val="24"/>
          <w:szCs w:val="24"/>
        </w:rPr>
      </w:pPr>
      <w:r w:rsidRPr="001C47D1">
        <w:rPr>
          <w:rFonts w:ascii="Arial" w:hAnsi="Arial" w:cs="Arial"/>
          <w:i/>
          <w:iCs/>
          <w:sz w:val="24"/>
          <w:szCs w:val="24"/>
        </w:rPr>
        <w:t xml:space="preserve">En la </w:t>
      </w:r>
      <w:r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carta de </w:t>
      </w:r>
      <w:bookmarkStart w:id="28" w:name="_Hlk49517946"/>
      <w:r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compromiso, el interesado se compromete a entregar el Certificado de Libre Venta del producto o la autorización similar expedida por la ANC del país de origen o la declaración </w:t>
      </w:r>
      <w:proofErr w:type="spellStart"/>
      <w:r w:rsidRPr="001C47D1">
        <w:rPr>
          <w:rFonts w:ascii="Arial" w:hAnsi="Arial" w:cs="Arial"/>
          <w:i/>
          <w:iCs/>
          <w:sz w:val="24"/>
          <w:szCs w:val="24"/>
          <w:lang w:val="es-ES_tradnl"/>
        </w:rPr>
        <w:t>consularizada</w:t>
      </w:r>
      <w:proofErr w:type="spellEnd"/>
      <w:r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 o apostillada del responsable del producto en el país de origen a la ANC, en un plazo no mayor de </w:t>
      </w:r>
      <w:r w:rsidR="005F6392" w:rsidRPr="001C47D1">
        <w:rPr>
          <w:rFonts w:ascii="Arial" w:hAnsi="Arial" w:cs="Arial"/>
          <w:i/>
          <w:iCs/>
          <w:sz w:val="24"/>
          <w:szCs w:val="24"/>
          <w:lang w:val="es-ES_tradnl"/>
        </w:rPr>
        <w:t>seis (</w:t>
      </w:r>
      <w:r w:rsidRPr="001C47D1">
        <w:rPr>
          <w:rFonts w:ascii="Arial" w:hAnsi="Arial" w:cs="Arial"/>
          <w:i/>
          <w:iCs/>
          <w:sz w:val="24"/>
          <w:szCs w:val="24"/>
          <w:lang w:val="es-ES_tradnl"/>
        </w:rPr>
        <w:t>6</w:t>
      </w:r>
      <w:r w:rsidR="005F6392" w:rsidRPr="001C47D1">
        <w:rPr>
          <w:rFonts w:ascii="Arial" w:hAnsi="Arial" w:cs="Arial"/>
          <w:i/>
          <w:iCs/>
          <w:sz w:val="24"/>
          <w:szCs w:val="24"/>
          <w:lang w:val="es-ES_tradnl"/>
        </w:rPr>
        <w:t>)</w:t>
      </w:r>
      <w:r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 meses contados a partir de la fecha de emisión de la NSO o la renovación de la NSO o la comunicación del cambio de la NSO</w:t>
      </w:r>
      <w:bookmarkEnd w:id="28"/>
      <w:r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. </w:t>
      </w:r>
    </w:p>
    <w:p w14:paraId="101B18E8" w14:textId="77777777" w:rsidR="00226844" w:rsidRPr="001C47D1" w:rsidRDefault="00226844" w:rsidP="00BF536E">
      <w:pPr>
        <w:pStyle w:val="xmsonormal"/>
        <w:ind w:left="426" w:right="282"/>
        <w:jc w:val="both"/>
        <w:rPr>
          <w:rFonts w:ascii="Arial" w:hAnsi="Arial" w:cs="Arial"/>
          <w:i/>
          <w:iCs/>
          <w:sz w:val="24"/>
          <w:szCs w:val="24"/>
        </w:rPr>
      </w:pPr>
    </w:p>
    <w:p w14:paraId="7A973706" w14:textId="41DD44C8" w:rsidR="00226844" w:rsidRPr="001C47D1" w:rsidRDefault="00226844" w:rsidP="00BF536E">
      <w:pPr>
        <w:pStyle w:val="xmsonormal"/>
        <w:ind w:left="426" w:right="282"/>
        <w:jc w:val="both"/>
        <w:rPr>
          <w:rFonts w:ascii="Arial" w:hAnsi="Arial" w:cs="Arial"/>
          <w:sz w:val="24"/>
          <w:szCs w:val="24"/>
          <w:lang w:val="es-ES_tradnl"/>
        </w:rPr>
      </w:pPr>
      <w:r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En caso de </w:t>
      </w:r>
      <w:r w:rsidR="009C46FE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incumplimiento por parte del </w:t>
      </w:r>
      <w:r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interesado </w:t>
      </w:r>
      <w:r w:rsidR="009C46FE" w:rsidRPr="001C47D1">
        <w:rPr>
          <w:rFonts w:ascii="Arial" w:hAnsi="Arial" w:cs="Arial"/>
          <w:i/>
          <w:iCs/>
          <w:sz w:val="24"/>
          <w:szCs w:val="24"/>
          <w:lang w:val="es-ES_tradnl"/>
        </w:rPr>
        <w:t>respecto a</w:t>
      </w:r>
      <w:bookmarkStart w:id="29" w:name="_Hlk49518013"/>
      <w:r w:rsidR="009C46FE"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 lo</w:t>
      </w:r>
      <w:r w:rsidRPr="001C47D1">
        <w:rPr>
          <w:rFonts w:ascii="Arial" w:hAnsi="Arial" w:cs="Arial"/>
          <w:i/>
          <w:iCs/>
          <w:sz w:val="24"/>
          <w:szCs w:val="24"/>
          <w:lang w:val="es-ES_tradnl"/>
        </w:rPr>
        <w:t xml:space="preserve"> señalado en el párrafo anterior, la ANC podrá suspender o cancelar la NSO</w:t>
      </w:r>
      <w:bookmarkEnd w:id="29"/>
      <w:r w:rsidRPr="001C47D1">
        <w:rPr>
          <w:rFonts w:ascii="Arial" w:hAnsi="Arial" w:cs="Arial"/>
          <w:i/>
          <w:iCs/>
          <w:sz w:val="24"/>
          <w:szCs w:val="24"/>
          <w:lang w:val="es-ES_tradnl"/>
        </w:rPr>
        <w:t>.</w:t>
      </w:r>
      <w:r w:rsidR="00A218BD" w:rsidRPr="001C47D1">
        <w:rPr>
          <w:rFonts w:ascii="Arial" w:hAnsi="Arial" w:cs="Arial"/>
          <w:i/>
          <w:iCs/>
          <w:sz w:val="24"/>
          <w:szCs w:val="24"/>
          <w:lang w:val="es-ES_tradnl"/>
        </w:rPr>
        <w:t>”</w:t>
      </w:r>
    </w:p>
    <w:p w14:paraId="1626CA9B" w14:textId="7338C1D1" w:rsidR="00226844" w:rsidRPr="001C47D1" w:rsidRDefault="00226844" w:rsidP="00226844">
      <w:pPr>
        <w:pStyle w:val="xmsonormal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0CEC66" w14:textId="41D73157" w:rsidR="00BE5CD8" w:rsidRPr="001C47D1" w:rsidRDefault="00BE5CD8" w:rsidP="00BF536E">
      <w:pPr>
        <w:pStyle w:val="xmsonormal"/>
        <w:jc w:val="both"/>
        <w:rPr>
          <w:rFonts w:ascii="Arial" w:hAnsi="Arial" w:cs="Arial"/>
          <w:sz w:val="24"/>
          <w:szCs w:val="24"/>
          <w:lang w:val="es-ES_tradnl"/>
        </w:rPr>
      </w:pPr>
      <w:bookmarkStart w:id="30" w:name="_Hlk63178778"/>
      <w:r w:rsidRPr="001C47D1">
        <w:rPr>
          <w:rFonts w:ascii="Arial" w:hAnsi="Arial" w:cs="Arial"/>
          <w:b/>
          <w:bCs/>
          <w:sz w:val="24"/>
          <w:szCs w:val="24"/>
          <w:lang w:val="es-ES_tradnl"/>
        </w:rPr>
        <w:t xml:space="preserve">Artículo 2.- </w:t>
      </w:r>
      <w:r w:rsidRPr="001C47D1">
        <w:rPr>
          <w:rFonts w:ascii="Arial" w:hAnsi="Arial" w:cs="Arial"/>
          <w:sz w:val="24"/>
          <w:szCs w:val="24"/>
          <w:lang w:val="es-ES_tradnl"/>
        </w:rPr>
        <w:t>Derogar el artículo 2 de la Decisión 870.</w:t>
      </w:r>
    </w:p>
    <w:p w14:paraId="39A4680E" w14:textId="77777777" w:rsidR="00945F16" w:rsidRPr="001C47D1" w:rsidRDefault="00945F16" w:rsidP="00BF536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bookmarkEnd w:id="30"/>
    <w:p w14:paraId="693765A9" w14:textId="16F52CD9" w:rsidR="00226844" w:rsidRPr="001C47D1" w:rsidRDefault="00BE5CD8" w:rsidP="00BF536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7D1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733E5D" w:rsidRPr="001C47D1">
        <w:rPr>
          <w:rFonts w:ascii="Arial" w:hAnsi="Arial" w:cs="Arial"/>
          <w:b/>
          <w:bCs/>
          <w:sz w:val="24"/>
          <w:szCs w:val="24"/>
        </w:rPr>
        <w:t>3</w:t>
      </w:r>
      <w:r w:rsidRPr="001C47D1">
        <w:rPr>
          <w:rFonts w:ascii="Arial" w:hAnsi="Arial" w:cs="Arial"/>
          <w:b/>
          <w:bCs/>
          <w:sz w:val="24"/>
          <w:szCs w:val="24"/>
        </w:rPr>
        <w:t xml:space="preserve">.- </w:t>
      </w:r>
      <w:r w:rsidR="00226844" w:rsidRPr="001C47D1">
        <w:rPr>
          <w:rFonts w:ascii="Arial" w:hAnsi="Arial" w:cs="Arial"/>
          <w:sz w:val="24"/>
          <w:szCs w:val="24"/>
        </w:rPr>
        <w:t xml:space="preserve">La presente Decisión entrará en vigencia </w:t>
      </w:r>
      <w:bookmarkStart w:id="31" w:name="_Hlk49519590"/>
      <w:r w:rsidR="00226844" w:rsidRPr="001C47D1">
        <w:rPr>
          <w:rFonts w:ascii="Arial" w:hAnsi="Arial" w:cs="Arial"/>
          <w:sz w:val="24"/>
          <w:szCs w:val="24"/>
        </w:rPr>
        <w:t>a partir de la fecha de su publicación en la Gaceta Oficial del Acuerdo de Cartagena</w:t>
      </w:r>
      <w:bookmarkEnd w:id="31"/>
      <w:r w:rsidR="00226844" w:rsidRPr="001C47D1">
        <w:rPr>
          <w:rFonts w:ascii="Arial" w:hAnsi="Arial" w:cs="Arial"/>
          <w:sz w:val="24"/>
          <w:szCs w:val="24"/>
        </w:rPr>
        <w:t>.</w:t>
      </w:r>
    </w:p>
    <w:p w14:paraId="0D43FDEE" w14:textId="77777777" w:rsidR="00226844" w:rsidRPr="001C47D1" w:rsidRDefault="00226844" w:rsidP="00BF536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14:paraId="4A7613E9" w14:textId="77777777" w:rsidR="00BF536E" w:rsidRPr="00BF536E" w:rsidRDefault="00226844" w:rsidP="00BF536E">
      <w:pPr>
        <w:tabs>
          <w:tab w:val="left" w:pos="709"/>
        </w:tabs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1C47D1">
        <w:rPr>
          <w:rFonts w:ascii="Arial" w:hAnsi="Arial" w:cs="Arial"/>
          <w:iCs/>
          <w:sz w:val="24"/>
          <w:szCs w:val="24"/>
          <w:lang w:val="es-ES_tradnl"/>
        </w:rPr>
        <w:t xml:space="preserve">Dada en la ciudad de Lima, Perú, </w:t>
      </w:r>
      <w:r w:rsidR="00BF536E" w:rsidRPr="00BF536E">
        <w:rPr>
          <w:rFonts w:ascii="Arial" w:hAnsi="Arial" w:cs="Arial"/>
          <w:iCs/>
          <w:sz w:val="24"/>
          <w:szCs w:val="24"/>
          <w:lang w:val="es-ES_tradnl"/>
        </w:rPr>
        <w:t xml:space="preserve">a los trece días del mes de diciembre del año </w:t>
      </w:r>
      <w:proofErr w:type="gramStart"/>
      <w:r w:rsidR="00BF536E" w:rsidRPr="00BF536E">
        <w:rPr>
          <w:rFonts w:ascii="Arial" w:hAnsi="Arial" w:cs="Arial"/>
          <w:iCs/>
          <w:sz w:val="24"/>
          <w:szCs w:val="24"/>
          <w:lang w:val="es-ES_tradnl"/>
        </w:rPr>
        <w:t>dos mil veintiuno</w:t>
      </w:r>
      <w:proofErr w:type="gramEnd"/>
      <w:r w:rsidR="00BF536E" w:rsidRPr="00BF536E">
        <w:rPr>
          <w:rFonts w:ascii="Arial" w:hAnsi="Arial" w:cs="Arial"/>
          <w:iCs/>
          <w:sz w:val="24"/>
          <w:szCs w:val="24"/>
          <w:lang w:val="es-ES_tradnl"/>
        </w:rPr>
        <w:t>.</w:t>
      </w:r>
    </w:p>
    <w:p w14:paraId="422EC166" w14:textId="2EE6AE1B" w:rsidR="00E97713" w:rsidRPr="001C47D1" w:rsidRDefault="00E97713" w:rsidP="00226844">
      <w:pPr>
        <w:rPr>
          <w:rFonts w:ascii="Arial" w:hAnsi="Arial" w:cs="Arial"/>
          <w:sz w:val="24"/>
          <w:szCs w:val="24"/>
        </w:rPr>
      </w:pPr>
    </w:p>
    <w:sectPr w:rsidR="00E97713" w:rsidRPr="001C47D1" w:rsidSect="00EF3AFB">
      <w:headerReference w:type="default" r:id="rId8"/>
      <w:pgSz w:w="11906" w:h="16838"/>
      <w:pgMar w:top="1560" w:right="1701" w:bottom="1417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A8F35" w14:textId="77777777" w:rsidR="002B5C4A" w:rsidRDefault="002B5C4A" w:rsidP="00710F37">
      <w:pPr>
        <w:spacing w:after="0" w:line="240" w:lineRule="auto"/>
      </w:pPr>
      <w:r>
        <w:separator/>
      </w:r>
    </w:p>
  </w:endnote>
  <w:endnote w:type="continuationSeparator" w:id="0">
    <w:p w14:paraId="56570EE9" w14:textId="77777777" w:rsidR="002B5C4A" w:rsidRDefault="002B5C4A" w:rsidP="0071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418D5" w14:textId="77777777" w:rsidR="002B5C4A" w:rsidRDefault="002B5C4A" w:rsidP="00710F37">
      <w:pPr>
        <w:spacing w:after="0" w:line="240" w:lineRule="auto"/>
      </w:pPr>
      <w:r>
        <w:separator/>
      </w:r>
    </w:p>
  </w:footnote>
  <w:footnote w:type="continuationSeparator" w:id="0">
    <w:p w14:paraId="542FB3C3" w14:textId="77777777" w:rsidR="002B5C4A" w:rsidRDefault="002B5C4A" w:rsidP="0071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60253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28A6570" w14:textId="403C1606" w:rsidR="00710F37" w:rsidRPr="00710F37" w:rsidRDefault="00710F37">
        <w:pPr>
          <w:pStyle w:val="Encabezado"/>
          <w:jc w:val="center"/>
          <w:rPr>
            <w:rFonts w:ascii="Arial" w:hAnsi="Arial" w:cs="Arial"/>
          </w:rPr>
        </w:pPr>
        <w:r w:rsidRPr="00710F37">
          <w:rPr>
            <w:rFonts w:ascii="Arial" w:hAnsi="Arial" w:cs="Arial"/>
          </w:rPr>
          <w:fldChar w:fldCharType="begin"/>
        </w:r>
        <w:r w:rsidRPr="00710F37">
          <w:rPr>
            <w:rFonts w:ascii="Arial" w:hAnsi="Arial" w:cs="Arial"/>
          </w:rPr>
          <w:instrText>PAGE   \* MERGEFORMAT</w:instrText>
        </w:r>
        <w:r w:rsidRPr="00710F37">
          <w:rPr>
            <w:rFonts w:ascii="Arial" w:hAnsi="Arial" w:cs="Arial"/>
          </w:rPr>
          <w:fldChar w:fldCharType="separate"/>
        </w:r>
        <w:r w:rsidR="001A4B21" w:rsidRPr="001A4B21">
          <w:rPr>
            <w:rFonts w:ascii="Arial" w:hAnsi="Arial" w:cs="Arial"/>
            <w:noProof/>
            <w:lang w:val="es-ES"/>
          </w:rPr>
          <w:t>-</w:t>
        </w:r>
        <w:r w:rsidR="001A4B21">
          <w:rPr>
            <w:rFonts w:ascii="Arial" w:hAnsi="Arial" w:cs="Arial"/>
            <w:noProof/>
          </w:rPr>
          <w:t xml:space="preserve"> 4 -</w:t>
        </w:r>
        <w:r w:rsidRPr="00710F37">
          <w:rPr>
            <w:rFonts w:ascii="Arial" w:hAnsi="Arial" w:cs="Arial"/>
          </w:rPr>
          <w:fldChar w:fldCharType="end"/>
        </w:r>
      </w:p>
    </w:sdtContent>
  </w:sdt>
  <w:p w14:paraId="274EC725" w14:textId="77777777" w:rsidR="00710F37" w:rsidRDefault="00710F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44"/>
    <w:rsid w:val="00015AC0"/>
    <w:rsid w:val="00020919"/>
    <w:rsid w:val="0003048D"/>
    <w:rsid w:val="00036363"/>
    <w:rsid w:val="000868D2"/>
    <w:rsid w:val="000B2B2D"/>
    <w:rsid w:val="000D0D9F"/>
    <w:rsid w:val="000F4513"/>
    <w:rsid w:val="0011205D"/>
    <w:rsid w:val="00112502"/>
    <w:rsid w:val="001556AD"/>
    <w:rsid w:val="001A26CB"/>
    <w:rsid w:val="001A4B21"/>
    <w:rsid w:val="001A7EA5"/>
    <w:rsid w:val="001B77A0"/>
    <w:rsid w:val="001C47D1"/>
    <w:rsid w:val="001C5E66"/>
    <w:rsid w:val="001D312F"/>
    <w:rsid w:val="001E2AEA"/>
    <w:rsid w:val="0021305A"/>
    <w:rsid w:val="0021498C"/>
    <w:rsid w:val="002254D2"/>
    <w:rsid w:val="00226844"/>
    <w:rsid w:val="00260443"/>
    <w:rsid w:val="00260DF0"/>
    <w:rsid w:val="002618C7"/>
    <w:rsid w:val="00263D7D"/>
    <w:rsid w:val="00276E6D"/>
    <w:rsid w:val="002A1067"/>
    <w:rsid w:val="002B509F"/>
    <w:rsid w:val="002B5C4A"/>
    <w:rsid w:val="00320819"/>
    <w:rsid w:val="00323FE8"/>
    <w:rsid w:val="0032758A"/>
    <w:rsid w:val="0035395F"/>
    <w:rsid w:val="00357CD9"/>
    <w:rsid w:val="00380DB9"/>
    <w:rsid w:val="003B7EE3"/>
    <w:rsid w:val="003C73AA"/>
    <w:rsid w:val="003D046D"/>
    <w:rsid w:val="003F1A74"/>
    <w:rsid w:val="004050A7"/>
    <w:rsid w:val="00416CA8"/>
    <w:rsid w:val="00460230"/>
    <w:rsid w:val="00481F55"/>
    <w:rsid w:val="00490010"/>
    <w:rsid w:val="004E6AAE"/>
    <w:rsid w:val="005054BD"/>
    <w:rsid w:val="00515F1D"/>
    <w:rsid w:val="00530268"/>
    <w:rsid w:val="00532DED"/>
    <w:rsid w:val="00537631"/>
    <w:rsid w:val="005429DD"/>
    <w:rsid w:val="00543F7C"/>
    <w:rsid w:val="00580476"/>
    <w:rsid w:val="005B61EA"/>
    <w:rsid w:val="005C64D6"/>
    <w:rsid w:val="005F6392"/>
    <w:rsid w:val="00611A66"/>
    <w:rsid w:val="006250BD"/>
    <w:rsid w:val="006463A8"/>
    <w:rsid w:val="00661214"/>
    <w:rsid w:val="00682A5E"/>
    <w:rsid w:val="006850C2"/>
    <w:rsid w:val="0069051F"/>
    <w:rsid w:val="006A401D"/>
    <w:rsid w:val="006E125B"/>
    <w:rsid w:val="006F5A0E"/>
    <w:rsid w:val="0070234F"/>
    <w:rsid w:val="00710F37"/>
    <w:rsid w:val="00721796"/>
    <w:rsid w:val="00724069"/>
    <w:rsid w:val="00733E5D"/>
    <w:rsid w:val="0074321C"/>
    <w:rsid w:val="007819E9"/>
    <w:rsid w:val="007C2596"/>
    <w:rsid w:val="007D153B"/>
    <w:rsid w:val="007D578E"/>
    <w:rsid w:val="007F2643"/>
    <w:rsid w:val="00802AF4"/>
    <w:rsid w:val="008061B1"/>
    <w:rsid w:val="00810CFD"/>
    <w:rsid w:val="00852346"/>
    <w:rsid w:val="00875A0B"/>
    <w:rsid w:val="00877C9D"/>
    <w:rsid w:val="00883701"/>
    <w:rsid w:val="008A2D75"/>
    <w:rsid w:val="008B279E"/>
    <w:rsid w:val="008B74D6"/>
    <w:rsid w:val="008C73A4"/>
    <w:rsid w:val="008F6A87"/>
    <w:rsid w:val="00912703"/>
    <w:rsid w:val="00916259"/>
    <w:rsid w:val="009453CE"/>
    <w:rsid w:val="00945F16"/>
    <w:rsid w:val="00950409"/>
    <w:rsid w:val="00981524"/>
    <w:rsid w:val="009C46FE"/>
    <w:rsid w:val="009E6929"/>
    <w:rsid w:val="00A04FC2"/>
    <w:rsid w:val="00A07D21"/>
    <w:rsid w:val="00A11BB6"/>
    <w:rsid w:val="00A156FB"/>
    <w:rsid w:val="00A218BD"/>
    <w:rsid w:val="00A27649"/>
    <w:rsid w:val="00A44F88"/>
    <w:rsid w:val="00A45E29"/>
    <w:rsid w:val="00A55447"/>
    <w:rsid w:val="00A64893"/>
    <w:rsid w:val="00A70FB2"/>
    <w:rsid w:val="00A9023D"/>
    <w:rsid w:val="00AB12BB"/>
    <w:rsid w:val="00AB56EF"/>
    <w:rsid w:val="00AC0621"/>
    <w:rsid w:val="00AD4DE4"/>
    <w:rsid w:val="00AD57FE"/>
    <w:rsid w:val="00B14E8E"/>
    <w:rsid w:val="00B42F3D"/>
    <w:rsid w:val="00B448FB"/>
    <w:rsid w:val="00B826DA"/>
    <w:rsid w:val="00B97FF6"/>
    <w:rsid w:val="00BC0370"/>
    <w:rsid w:val="00BD6963"/>
    <w:rsid w:val="00BE04BD"/>
    <w:rsid w:val="00BE5CD8"/>
    <w:rsid w:val="00BE6EC0"/>
    <w:rsid w:val="00BF536E"/>
    <w:rsid w:val="00C16A5F"/>
    <w:rsid w:val="00C20FB9"/>
    <w:rsid w:val="00C46A51"/>
    <w:rsid w:val="00C746E1"/>
    <w:rsid w:val="00C9503A"/>
    <w:rsid w:val="00C974C4"/>
    <w:rsid w:val="00CA34D8"/>
    <w:rsid w:val="00CC3E29"/>
    <w:rsid w:val="00CC4672"/>
    <w:rsid w:val="00CD3747"/>
    <w:rsid w:val="00CE1E6B"/>
    <w:rsid w:val="00D02481"/>
    <w:rsid w:val="00D04CB1"/>
    <w:rsid w:val="00D064CA"/>
    <w:rsid w:val="00D07DDE"/>
    <w:rsid w:val="00D23719"/>
    <w:rsid w:val="00D30B35"/>
    <w:rsid w:val="00D43489"/>
    <w:rsid w:val="00D44C18"/>
    <w:rsid w:val="00D5235B"/>
    <w:rsid w:val="00D57611"/>
    <w:rsid w:val="00D87B16"/>
    <w:rsid w:val="00D91B7B"/>
    <w:rsid w:val="00DB4C99"/>
    <w:rsid w:val="00DE5D26"/>
    <w:rsid w:val="00DE73AD"/>
    <w:rsid w:val="00DF0193"/>
    <w:rsid w:val="00DF564C"/>
    <w:rsid w:val="00E3214C"/>
    <w:rsid w:val="00E33C94"/>
    <w:rsid w:val="00E97713"/>
    <w:rsid w:val="00E97E32"/>
    <w:rsid w:val="00EB57D6"/>
    <w:rsid w:val="00EF3AFB"/>
    <w:rsid w:val="00F1478D"/>
    <w:rsid w:val="00F154DF"/>
    <w:rsid w:val="00F2619A"/>
    <w:rsid w:val="00F371B3"/>
    <w:rsid w:val="00F403B1"/>
    <w:rsid w:val="00F44EEB"/>
    <w:rsid w:val="00F70DDF"/>
    <w:rsid w:val="00F946ED"/>
    <w:rsid w:val="00FA4F41"/>
    <w:rsid w:val="00FB1074"/>
    <w:rsid w:val="00FB161A"/>
    <w:rsid w:val="00FB5493"/>
    <w:rsid w:val="00FC0CD5"/>
    <w:rsid w:val="00FC4738"/>
    <w:rsid w:val="00FC5C17"/>
    <w:rsid w:val="00F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6A73"/>
  <w15:docId w15:val="{12702648-6F2F-46DD-B118-8B8BC5DC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844"/>
    <w:pPr>
      <w:spacing w:after="200" w:line="276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226844"/>
    <w:pPr>
      <w:spacing w:after="0" w:line="240" w:lineRule="auto"/>
    </w:pPr>
    <w:rPr>
      <w:rFonts w:ascii="Calibri" w:eastAsiaTheme="minorHAnsi" w:hAnsi="Calibri" w:cs="Calibri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3A4"/>
    <w:rPr>
      <w:rFonts w:ascii="Segoe UI" w:eastAsiaTheme="minorEastAsia" w:hAnsi="Segoe UI" w:cs="Segoe UI"/>
      <w:sz w:val="18"/>
      <w:szCs w:val="18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CC3E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3E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3E29"/>
    <w:rPr>
      <w:rFonts w:eastAsiaTheme="minorEastAsia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E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E29"/>
    <w:rPr>
      <w:rFonts w:eastAsiaTheme="minorEastAsia"/>
      <w:b/>
      <w:bCs/>
      <w:sz w:val="20"/>
      <w:szCs w:val="20"/>
      <w:lang w:eastAsia="es-PE"/>
    </w:rPr>
  </w:style>
  <w:style w:type="character" w:styleId="Hipervnculo">
    <w:name w:val="Hyperlink"/>
    <w:basedOn w:val="Fuentedeprrafopredeter"/>
    <w:uiPriority w:val="99"/>
    <w:unhideWhenUsed/>
    <w:rsid w:val="003B7EE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E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82A5E"/>
    <w:pPr>
      <w:spacing w:after="0" w:line="240" w:lineRule="auto"/>
    </w:pPr>
    <w:rPr>
      <w:rFonts w:eastAsiaTheme="minorEastAsia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710F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F37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710F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F37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9EE15-4193-4FBD-94E1-C643A7DB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SGCAN</dc:creator>
  <cp:lastModifiedBy>Miguel Hinostroza Villafuerte</cp:lastModifiedBy>
  <cp:revision>18</cp:revision>
  <dcterms:created xsi:type="dcterms:W3CDTF">2021-12-03T15:49:00Z</dcterms:created>
  <dcterms:modified xsi:type="dcterms:W3CDTF">2021-12-14T01:12:00Z</dcterms:modified>
</cp:coreProperties>
</file>