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2" w:rsidRDefault="004E2112" w:rsidP="004E2112">
      <w:pPr>
        <w:pStyle w:val="Encabezado"/>
        <w:tabs>
          <w:tab w:val="clear" w:pos="4252"/>
          <w:tab w:val="clear" w:pos="8504"/>
        </w:tabs>
      </w:pPr>
      <w:r w:rsidRPr="00491D23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994E7B" wp14:editId="5D64A75D">
            <wp:simplePos x="0" y="0"/>
            <wp:positionH relativeFrom="column">
              <wp:posOffset>0</wp:posOffset>
            </wp:positionH>
            <wp:positionV relativeFrom="paragraph">
              <wp:posOffset>-284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112" w:rsidRDefault="004E2112" w:rsidP="004E2112">
      <w:pPr>
        <w:pStyle w:val="Encabezado"/>
        <w:tabs>
          <w:tab w:val="clear" w:pos="4252"/>
          <w:tab w:val="clear" w:pos="8504"/>
        </w:tabs>
      </w:pPr>
    </w:p>
    <w:p w:rsidR="004E2112" w:rsidRDefault="004E2112" w:rsidP="004E2112">
      <w:pPr>
        <w:pStyle w:val="Encabezado"/>
        <w:tabs>
          <w:tab w:val="clear" w:pos="4252"/>
          <w:tab w:val="clear" w:pos="8504"/>
        </w:tabs>
      </w:pPr>
    </w:p>
    <w:p w:rsidR="004E2112" w:rsidRDefault="004E2112" w:rsidP="004E2112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4E2112" w:rsidRPr="00491D23" w:rsidRDefault="004E2112" w:rsidP="004E2112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lang w:eastAsia="es-ES"/>
        </w:rPr>
      </w:pPr>
      <w:r>
        <w:rPr>
          <w:rFonts w:ascii="Arial" w:eastAsiaTheme="majorEastAsia" w:hAnsi="Arial" w:cs="Arial"/>
          <w:lang w:eastAsia="es-ES"/>
        </w:rPr>
        <w:t>XLVII</w:t>
      </w:r>
      <w:r w:rsidRPr="00491D23">
        <w:rPr>
          <w:rFonts w:ascii="Arial" w:eastAsiaTheme="majorEastAsia" w:hAnsi="Arial" w:cs="Arial"/>
          <w:lang w:eastAsia="es-ES"/>
        </w:rPr>
        <w:t xml:space="preserve"> REUNIÓN</w:t>
      </w:r>
      <w:r>
        <w:rPr>
          <w:rFonts w:ascii="Arial" w:eastAsiaTheme="majorEastAsia" w:hAnsi="Arial" w:cs="Arial"/>
          <w:lang w:eastAsia="es-ES"/>
        </w:rPr>
        <w:t xml:space="preserve"> </w:t>
      </w:r>
      <w:r w:rsidRPr="00491D23">
        <w:rPr>
          <w:rFonts w:ascii="Arial" w:eastAsiaTheme="majorEastAsia" w:hAnsi="Arial" w:cs="Arial"/>
          <w:lang w:eastAsia="es-ES"/>
        </w:rPr>
        <w:t xml:space="preserve">DEL CONSEJO ANDINO DE MINISTROS DE RELACIONES EXTERIORES </w:t>
      </w:r>
      <w:r w:rsidRPr="005A75E5">
        <w:rPr>
          <w:rFonts w:ascii="Arial" w:eastAsiaTheme="majorEastAsia" w:hAnsi="Arial" w:cs="Arial"/>
          <w:lang w:eastAsia="es-ES"/>
        </w:rPr>
        <w:t>EN FORMA AMPLIADA CON LOS REPRESENTANTES TITULARES ANTE LA COMISION DE LA COMUNIDAD ANDINA</w:t>
      </w:r>
      <w:r w:rsidRPr="00491D23">
        <w:rPr>
          <w:rFonts w:ascii="Arial" w:eastAsiaTheme="majorEastAsia" w:hAnsi="Arial" w:cs="Arial"/>
          <w:lang w:eastAsia="es-ES"/>
        </w:rPr>
        <w:t xml:space="preserve">. </w:t>
      </w:r>
    </w:p>
    <w:p w:rsidR="004E2112" w:rsidRPr="003D2203" w:rsidRDefault="004E2112" w:rsidP="004E2112">
      <w:pPr>
        <w:keepNext/>
        <w:keepLines/>
        <w:ind w:right="5159"/>
        <w:jc w:val="both"/>
        <w:outlineLvl w:val="4"/>
        <w:rPr>
          <w:rFonts w:ascii="Arial" w:eastAsiaTheme="majorEastAsia" w:hAnsi="Arial" w:cs="Arial"/>
          <w:lang w:eastAsia="es-ES"/>
        </w:rPr>
      </w:pPr>
      <w:r w:rsidRPr="003D2203">
        <w:rPr>
          <w:rFonts w:ascii="Arial" w:eastAsiaTheme="majorEastAsia" w:hAnsi="Arial" w:cs="Arial"/>
          <w:lang w:eastAsia="es-ES"/>
        </w:rPr>
        <w:t xml:space="preserve">01 de </w:t>
      </w:r>
      <w:r w:rsidRPr="00456529">
        <w:rPr>
          <w:rFonts w:ascii="Arial" w:eastAsiaTheme="majorEastAsia" w:hAnsi="Arial" w:cs="Arial"/>
          <w:lang w:val="es-PE" w:eastAsia="es-ES"/>
        </w:rPr>
        <w:t>se</w:t>
      </w:r>
      <w:r>
        <w:rPr>
          <w:rFonts w:ascii="Arial" w:eastAsiaTheme="majorEastAsia" w:hAnsi="Arial" w:cs="Arial"/>
          <w:lang w:val="es-PE" w:eastAsia="es-ES"/>
        </w:rPr>
        <w:t>p</w:t>
      </w:r>
      <w:r w:rsidRPr="00456529">
        <w:rPr>
          <w:rFonts w:ascii="Arial" w:eastAsiaTheme="majorEastAsia" w:hAnsi="Arial" w:cs="Arial"/>
          <w:lang w:val="es-PE" w:eastAsia="es-ES"/>
        </w:rPr>
        <w:t>tiembre</w:t>
      </w:r>
      <w:r w:rsidRPr="003D2203">
        <w:rPr>
          <w:rFonts w:ascii="Arial" w:eastAsiaTheme="majorEastAsia" w:hAnsi="Arial" w:cs="Arial"/>
          <w:lang w:eastAsia="es-ES"/>
        </w:rPr>
        <w:t xml:space="preserve"> de 2020</w:t>
      </w:r>
    </w:p>
    <w:p w:rsidR="004E2112" w:rsidRPr="00456529" w:rsidRDefault="004E2112" w:rsidP="004E2112">
      <w:pPr>
        <w:rPr>
          <w:rFonts w:ascii="Arial" w:hAnsi="Arial" w:cs="Arial"/>
          <w:lang w:val="es-PE"/>
        </w:rPr>
      </w:pPr>
      <w:r w:rsidRPr="00456529">
        <w:rPr>
          <w:rFonts w:ascii="Arial" w:hAnsi="Arial" w:cs="Arial"/>
          <w:lang w:val="es-PE"/>
        </w:rPr>
        <w:t>Modalidad videoconferencia</w:t>
      </w:r>
    </w:p>
    <w:p w:rsidR="004D0EA4" w:rsidRDefault="004D0EA4" w:rsidP="004E2112">
      <w:pPr>
        <w:rPr>
          <w:lang w:val="es-PE"/>
        </w:rPr>
      </w:pPr>
    </w:p>
    <w:p w:rsidR="004E2112" w:rsidRPr="00EC61B3" w:rsidRDefault="004E2112" w:rsidP="004E2112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4D0EA4" w:rsidRDefault="004D0EA4" w:rsidP="004D0EA4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4E2112" w:rsidRPr="00EC61B3" w:rsidRDefault="004E2112" w:rsidP="004D0EA4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4D0EA4" w:rsidRPr="00EC61B3" w:rsidRDefault="004D0EA4" w:rsidP="004D0EA4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 w:rsidRPr="00EC61B3">
        <w:rPr>
          <w:rFonts w:ascii="Arial" w:hAnsi="Arial" w:cs="Arial"/>
          <w:b/>
          <w:bCs/>
          <w:sz w:val="24"/>
          <w:szCs w:val="24"/>
          <w:lang w:eastAsia="es-ES"/>
        </w:rPr>
        <w:t xml:space="preserve">DECISIÓN </w:t>
      </w:r>
      <w:r w:rsidR="00AB315E">
        <w:rPr>
          <w:rFonts w:ascii="Arial" w:hAnsi="Arial" w:cs="Arial"/>
          <w:b/>
          <w:bCs/>
          <w:sz w:val="24"/>
          <w:szCs w:val="24"/>
          <w:lang w:eastAsia="es-ES"/>
        </w:rPr>
        <w:t>865</w:t>
      </w:r>
    </w:p>
    <w:p w:rsidR="004D0EA4" w:rsidRPr="00EC61B3" w:rsidRDefault="004D0EA4" w:rsidP="004D0EA4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:rsidR="004D0EA4" w:rsidRPr="00EC61B3" w:rsidRDefault="004D0EA4" w:rsidP="004D0EA4">
      <w:pPr>
        <w:widowControl w:val="0"/>
        <w:autoSpaceDE w:val="0"/>
        <w:autoSpaceDN w:val="0"/>
        <w:adjustRightInd w:val="0"/>
        <w:ind w:left="5103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EC61B3">
        <w:rPr>
          <w:rFonts w:ascii="Arial" w:hAnsi="Arial" w:cs="Arial"/>
          <w:color w:val="000000"/>
          <w:sz w:val="24"/>
          <w:szCs w:val="24"/>
          <w:lang w:val="es-PE"/>
        </w:rPr>
        <w:t>Se autoriza a</w:t>
      </w:r>
      <w:r w:rsidRPr="00EC61B3">
        <w:rPr>
          <w:rFonts w:ascii="Arial" w:hAnsi="Arial" w:cs="Arial"/>
          <w:color w:val="000000"/>
          <w:sz w:val="24"/>
          <w:szCs w:val="24"/>
        </w:rPr>
        <w:t xml:space="preserve"> la Secretaria General a efectuar una</w:t>
      </w:r>
      <w:r w:rsidRPr="00EC61B3">
        <w:rPr>
          <w:rFonts w:ascii="Arial" w:hAnsi="Arial" w:cs="Arial"/>
          <w:color w:val="000000"/>
          <w:sz w:val="24"/>
          <w:szCs w:val="24"/>
          <w:lang w:val="es-PE"/>
        </w:rPr>
        <w:t xml:space="preserve"> </w:t>
      </w:r>
      <w:r w:rsidRPr="00EC61B3">
        <w:rPr>
          <w:rFonts w:ascii="Arial" w:hAnsi="Arial" w:cs="Arial"/>
          <w:color w:val="000000"/>
          <w:sz w:val="24"/>
          <w:szCs w:val="24"/>
        </w:rPr>
        <w:t xml:space="preserve">transferencia financiera reembolsable a favor del </w:t>
      </w:r>
      <w:r w:rsidRPr="00EC61B3">
        <w:rPr>
          <w:rFonts w:ascii="Arial" w:hAnsi="Arial" w:cs="Arial"/>
          <w:sz w:val="24"/>
          <w:szCs w:val="24"/>
          <w:lang w:eastAsia="es-ES"/>
        </w:rPr>
        <w:t>Tribunal de Justicia de la Comunidad Andina</w:t>
      </w:r>
    </w:p>
    <w:p w:rsidR="004D0EA4" w:rsidRPr="00EC61B3" w:rsidRDefault="004D0EA4" w:rsidP="004D0EA4">
      <w:pPr>
        <w:widowControl w:val="0"/>
        <w:autoSpaceDE w:val="0"/>
        <w:autoSpaceDN w:val="0"/>
        <w:adjustRightInd w:val="0"/>
        <w:ind w:left="5103"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4D0EA4" w:rsidRPr="00EC61B3" w:rsidRDefault="004D0EA4" w:rsidP="004D0EA4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snapToGrid w:val="0"/>
          <w:sz w:val="24"/>
          <w:szCs w:val="24"/>
          <w:u w:val="single"/>
          <w:lang w:val="es-ES_tradnl" w:eastAsia="es-ES"/>
        </w:rPr>
      </w:pPr>
      <w:bookmarkStart w:id="0" w:name="_GoBack"/>
      <w:bookmarkEnd w:id="0"/>
    </w:p>
    <w:p w:rsidR="000D61C4" w:rsidRDefault="000D61C4" w:rsidP="000D61C4">
      <w:pPr>
        <w:pStyle w:val="Sinespaciado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EL CONSEJO ANDINO DE MINISTROS DE RELACIONES EXTERIORES, REUNIDO EN FORMA AMPLIADA CON LOS REPRESENTANTES TITULARES ANTE LA COMISION DE LA COMUNIDAD ANDINA,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 xml:space="preserve">VISTOS: 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Los artículos </w:t>
      </w:r>
      <w:r w:rsidR="000D61C4">
        <w:rPr>
          <w:rFonts w:ascii="Arial" w:eastAsia="Calibri" w:hAnsi="Arial" w:cs="Arial"/>
          <w:sz w:val="24"/>
          <w:szCs w:val="24"/>
          <w:lang w:val="es-ES_tradnl" w:eastAsia="en-US"/>
        </w:rPr>
        <w:t xml:space="preserve">20, 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>22,</w:t>
      </w:r>
      <w:r w:rsidR="009C441C">
        <w:rPr>
          <w:rFonts w:ascii="Arial" w:eastAsia="Calibri" w:hAnsi="Arial" w:cs="Arial"/>
          <w:sz w:val="24"/>
          <w:szCs w:val="24"/>
          <w:lang w:val="es-ES_tradnl" w:eastAsia="en-US"/>
        </w:rPr>
        <w:t xml:space="preserve"> </w:t>
      </w:r>
      <w:r w:rsidR="000D61C4">
        <w:rPr>
          <w:rFonts w:ascii="Arial" w:eastAsia="Calibri" w:hAnsi="Arial" w:cs="Arial"/>
          <w:sz w:val="24"/>
          <w:szCs w:val="24"/>
          <w:lang w:val="es-ES_tradnl" w:eastAsia="en-US"/>
        </w:rPr>
        <w:t xml:space="preserve">25, </w:t>
      </w:r>
      <w:r w:rsidR="009C441C" w:rsidRPr="000D61C4">
        <w:rPr>
          <w:rFonts w:ascii="Arial" w:eastAsia="Calibri" w:hAnsi="Arial" w:cs="Arial"/>
          <w:sz w:val="24"/>
          <w:szCs w:val="24"/>
          <w:lang w:val="es-ES_tradnl" w:eastAsia="en-US"/>
        </w:rPr>
        <w:t>26, 28,</w:t>
      </w:r>
      <w:r w:rsidRPr="000D61C4">
        <w:rPr>
          <w:rFonts w:ascii="Arial" w:eastAsia="Calibri" w:hAnsi="Arial" w:cs="Arial"/>
          <w:sz w:val="24"/>
          <w:szCs w:val="24"/>
          <w:lang w:val="es-ES_tradnl" w:eastAsia="en-US"/>
        </w:rPr>
        <w:t xml:space="preserve"> </w:t>
      </w:r>
      <w:r w:rsidR="000D61C4">
        <w:rPr>
          <w:rFonts w:ascii="Arial" w:eastAsia="Calibri" w:hAnsi="Arial" w:cs="Arial"/>
          <w:sz w:val="24"/>
          <w:szCs w:val="24"/>
          <w:lang w:val="es-ES_tradnl" w:eastAsia="en-US"/>
        </w:rPr>
        <w:t xml:space="preserve">30, </w:t>
      </w:r>
      <w:r w:rsidRPr="000D61C4">
        <w:rPr>
          <w:rFonts w:ascii="Arial" w:eastAsia="Calibri" w:hAnsi="Arial" w:cs="Arial"/>
          <w:sz w:val="24"/>
          <w:szCs w:val="24"/>
          <w:lang w:val="es-ES_tradnl" w:eastAsia="en-US"/>
        </w:rPr>
        <w:t>40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y 41 del Acuerdo de Cartagena; el Tratado de Creación del Tribunal de Justicia de la Comunidad Andina; la Decisión 500; </w:t>
      </w:r>
      <w:r w:rsidR="000D61C4">
        <w:rPr>
          <w:rFonts w:ascii="Arial" w:eastAsia="Calibri" w:hAnsi="Arial" w:cs="Arial"/>
          <w:sz w:val="24"/>
          <w:szCs w:val="24"/>
          <w:lang w:val="es-ES_tradnl" w:eastAsia="en-US"/>
        </w:rPr>
        <w:t xml:space="preserve">el artículo 7 literales g) y o) y el artículo 19 de la Decisión 407, 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el artículo 11 de la Decisión 471 y el artículo 8 de la Decisión 810; 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PE" w:eastAsia="en-US"/>
        </w:rPr>
      </w:pPr>
      <w:r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 xml:space="preserve">CONSIDERANDO: </w:t>
      </w:r>
      <w:r w:rsidRPr="00EC61B3">
        <w:rPr>
          <w:rFonts w:ascii="Arial" w:eastAsia="Calibri" w:hAnsi="Arial" w:cs="Arial"/>
          <w:bCs/>
          <w:sz w:val="24"/>
          <w:szCs w:val="24"/>
          <w:lang w:val="es-ES_tradnl" w:eastAsia="en-US"/>
        </w:rPr>
        <w:t xml:space="preserve">Que, el Tribunal de Justicia de la Comunidad Andina es el órgano jurisdiccional de la Comunidad Andina, </w:t>
      </w:r>
      <w:r w:rsidRPr="00EC61B3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  <w:lang w:val="es-PE" w:eastAsia="en-US"/>
        </w:rPr>
        <w:t xml:space="preserve">de carácter permanente, supranacional y comunitario, instituido para declarar la legalidad del derecho comunitario y asegurar su aplicación e interpretación uniforme en todos los Países Miembros. 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>El Tribunal, en ejercicio de sus atribuciones, actúa salvaguardando los intereses comunitarios y los derechos que los Países Miembros poseen dentro del ordenamiento jurídico andino;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bCs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bCs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bCs/>
          <w:sz w:val="24"/>
          <w:szCs w:val="24"/>
          <w:lang w:val="es-ES_tradnl" w:eastAsia="en-US"/>
        </w:rPr>
        <w:t>Que, mediante oficio N° 31-P-TJCA-2020, de fecha 22</w:t>
      </w:r>
      <w:r w:rsidR="00E40D76">
        <w:rPr>
          <w:rFonts w:ascii="Arial" w:eastAsia="Calibri" w:hAnsi="Arial" w:cs="Arial"/>
          <w:bCs/>
          <w:sz w:val="24"/>
          <w:szCs w:val="24"/>
          <w:lang w:val="es-ES_tradnl" w:eastAsia="en-US"/>
        </w:rPr>
        <w:t xml:space="preserve"> </w:t>
      </w:r>
      <w:r w:rsidRPr="00EC61B3">
        <w:rPr>
          <w:rFonts w:ascii="Arial" w:eastAsia="Calibri" w:hAnsi="Arial" w:cs="Arial"/>
          <w:bCs/>
          <w:sz w:val="24"/>
          <w:szCs w:val="24"/>
          <w:lang w:val="es-ES_tradnl" w:eastAsia="en-US"/>
        </w:rPr>
        <w:t>de julio de 2020, el Tribunal de Justicia de la Comunidad Andina ha informado a los Países Miembros que tiene pendiente el pago por parte de los Países Miembros del 11% de las contribuciones correspondientes a la gestión 2019 y del 18% de las contribuciones correspondientes al ejercicio 2020, y como consecuencia de ello solo tendría recursos económicos para cubrir sus obligaciones laborales y sus gastos institucionales hasta el mes de agosto del presente año;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51551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Que, como alternativa para superar su falta de flujo de caja en el corto plazo, el </w:t>
      </w:r>
      <w:r w:rsidRPr="00EC61B3">
        <w:rPr>
          <w:rFonts w:ascii="Arial" w:eastAsia="Calibri" w:hAnsi="Arial" w:cs="Arial"/>
          <w:bCs/>
          <w:sz w:val="24"/>
          <w:szCs w:val="24"/>
          <w:lang w:val="es-ES_tradnl" w:eastAsia="en-US"/>
        </w:rPr>
        <w:t>Tribunal de Justicia de la Comunidad Andina,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ha solicitado en calidad de 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lastRenderedPageBreak/>
        <w:t>préstamo a la Secretaría General de la Comunidad Andina la suma de $ 300.000,00 (tres cientos mil dólares americanos), monto que permitirá continuar con sus operaciones y asegurar su continuidad;</w:t>
      </w:r>
    </w:p>
    <w:p w:rsidR="00451551" w:rsidRDefault="00451551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D0EA4" w:rsidRPr="00EC61B3" w:rsidRDefault="004D0EA4" w:rsidP="000D61C4">
      <w:pPr>
        <w:tabs>
          <w:tab w:val="left" w:pos="426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EC61B3">
        <w:rPr>
          <w:rFonts w:ascii="Arial" w:eastAsia="Arial Unicode MS" w:hAnsi="Arial" w:cs="Arial"/>
          <w:color w:val="000000"/>
          <w:sz w:val="24"/>
          <w:szCs w:val="24"/>
          <w:lang w:val="es-PE"/>
        </w:rPr>
        <w:t>Que, el artículo 8 de la Decisión 810 señala que los</w:t>
      </w:r>
      <w:r w:rsidRPr="00EC61B3">
        <w:rPr>
          <w:rFonts w:ascii="Arial" w:eastAsia="Arial Unicode MS" w:hAnsi="Arial" w:cs="Arial"/>
          <w:b/>
          <w:color w:val="000000"/>
          <w:sz w:val="24"/>
          <w:szCs w:val="24"/>
          <w:lang w:val="es-PE"/>
        </w:rPr>
        <w:t xml:space="preserve"> </w:t>
      </w:r>
      <w:r w:rsidRPr="00EC61B3">
        <w:rPr>
          <w:rFonts w:ascii="Arial" w:eastAsia="Arial Unicode MS" w:hAnsi="Arial" w:cs="Arial"/>
          <w:color w:val="000000"/>
          <w:sz w:val="24"/>
          <w:szCs w:val="24"/>
          <w:lang w:val="es-PE"/>
        </w:rPr>
        <w:t>saldos no ejecutados de los presupuestos correspondientes a los ejercicios presupuestales 2013, 2014 y 2015 de la Secretaría General, se dirigirán a considerar sus necesidades y del Tribunal de Justicia de la Comunidad Andina, en materia de infraestructura y equipos, previo análisis y revisión de ambos presupuestos por el Grupo de Trabajo de Presupuesto. Asimismo, dicha Decisión estableció que e</w:t>
      </w:r>
      <w:r w:rsidRPr="00EC61B3">
        <w:rPr>
          <w:rFonts w:ascii="Arial" w:eastAsia="Arial Unicode MS" w:hAnsi="Arial" w:cs="Arial"/>
          <w:sz w:val="24"/>
          <w:szCs w:val="24"/>
        </w:rPr>
        <w:t>l remanente de los saldos se dirigirá a proyectos especiales que la Comisión identifique como prioritarios de interés comunitario y de beneficio para los cuatro Países Miembros, siendo que tales recursos solo podrán ser ejecutados previa autorización de la Comisión de la Comunidad Andina;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PE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Que, los Países Miembros han determinado que resulta necesario garantizar la continuidad del funcionamiento del Tribunal de Justicia de la Comunidad Andina con la finalidad de salvaguardar 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>los derechos y obligaciones que se derivan del ordenamiento jurídico andino, en aras de una integración andina equilibrada y armónica;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Que, corresponde autorizar de manera excepcional a la Secretaría General para que efectúe una transferencia financiera reembolsable a favor del Tribunal de Justicia de la Comunidad Andina hasta por la suma de $ 300.000,00 (tres cientos mil dólares americanos), para financiar la </w:t>
      </w:r>
      <w:r w:rsidR="000D61C4">
        <w:rPr>
          <w:rFonts w:ascii="Arial" w:eastAsia="Calibri" w:hAnsi="Arial" w:cs="Arial"/>
          <w:sz w:val="24"/>
          <w:szCs w:val="24"/>
          <w:lang w:val="es-ES_tradnl" w:eastAsia="en-US"/>
        </w:rPr>
        <w:t>operatividad</w:t>
      </w:r>
      <w:r w:rsidR="000D61C4"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de dicho órgano jurisdiccional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, con cargo a los saldos 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 xml:space="preserve">no ejecutados de los presupuestos correspondientes a los ejercicios presupuestales 2013, 2014 y 2015 de 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>la Secretaría General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>;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center"/>
        <w:rPr>
          <w:rFonts w:ascii="Arial" w:eastAsia="Calibri" w:hAnsi="Arial" w:cs="Arial"/>
          <w:b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>DECIDE:</w:t>
      </w:r>
    </w:p>
    <w:p w:rsidR="004D0EA4" w:rsidRPr="00EC61B3" w:rsidRDefault="004D0EA4" w:rsidP="004D0EA4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ab/>
        <w:t>Artículo 1.-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Autorizar a la Secretaría General de la Comunidad Andina a efectuar una transferencia financiera reembolsable a favor del Tribunal de Justicia de la Comunidad Andina hasta por la suma de USD $300.000,00 (</w:t>
      </w:r>
      <w:r w:rsidR="00AC2ECB">
        <w:rPr>
          <w:rFonts w:ascii="Arial" w:eastAsia="Calibri" w:hAnsi="Arial" w:cs="Arial"/>
          <w:sz w:val="24"/>
          <w:szCs w:val="24"/>
          <w:lang w:val="es-ES_tradnl" w:eastAsia="en-US"/>
        </w:rPr>
        <w:t>T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>rescientos mil dólares de los Estados Unidos de América), para financiar</w:t>
      </w:r>
      <w:r w:rsidR="009C441C">
        <w:rPr>
          <w:rFonts w:ascii="Arial" w:eastAsia="Calibri" w:hAnsi="Arial" w:cs="Arial"/>
          <w:sz w:val="24"/>
          <w:szCs w:val="24"/>
          <w:lang w:val="es-ES_tradnl" w:eastAsia="en-US"/>
        </w:rPr>
        <w:t xml:space="preserve"> parcialmente la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</w:t>
      </w:r>
      <w:r w:rsidR="009C5028">
        <w:rPr>
          <w:rFonts w:ascii="Arial" w:eastAsia="Calibri" w:hAnsi="Arial" w:cs="Arial"/>
          <w:sz w:val="24"/>
          <w:szCs w:val="24"/>
          <w:lang w:val="es-ES_tradnl" w:eastAsia="en-US"/>
        </w:rPr>
        <w:t>operatividad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de dicho órgano jurisdiccional.</w:t>
      </w:r>
    </w:p>
    <w:p w:rsidR="009D37AB" w:rsidRDefault="004D0EA4" w:rsidP="004D0EA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EC61B3">
        <w:rPr>
          <w:rFonts w:ascii="Arial" w:hAnsi="Arial" w:cs="Arial"/>
          <w:b/>
          <w:sz w:val="24"/>
          <w:szCs w:val="24"/>
          <w:lang w:val="es-ES_tradnl" w:eastAsia="es-ES"/>
        </w:rPr>
        <w:tab/>
      </w:r>
    </w:p>
    <w:p w:rsidR="00E73977" w:rsidRDefault="00E80FC8" w:rsidP="00E73977">
      <w:pPr>
        <w:pStyle w:val="Textoindependiente"/>
        <w:tabs>
          <w:tab w:val="left" w:pos="426"/>
        </w:tabs>
        <w:rPr>
          <w:rFonts w:cs="Arial"/>
          <w:sz w:val="24"/>
          <w:lang w:val="es-ES_tradnl"/>
        </w:rPr>
      </w:pPr>
      <w:r>
        <w:rPr>
          <w:rFonts w:cs="Arial"/>
          <w:b/>
          <w:sz w:val="24"/>
          <w:lang w:val="es-ES_tradnl"/>
        </w:rPr>
        <w:tab/>
      </w:r>
      <w:r w:rsidR="00E73977" w:rsidRPr="004C6A4F">
        <w:rPr>
          <w:rFonts w:cs="Arial"/>
          <w:b/>
          <w:sz w:val="24"/>
          <w:lang w:val="es-ES_tradnl"/>
        </w:rPr>
        <w:t>Artículo 2.-</w:t>
      </w:r>
      <w:r w:rsidR="00E73977" w:rsidRPr="004C6A4F">
        <w:rPr>
          <w:rFonts w:cs="Arial"/>
          <w:sz w:val="24"/>
          <w:lang w:val="es-ES_tradnl"/>
        </w:rPr>
        <w:t xml:space="preserve"> </w:t>
      </w:r>
      <w:r w:rsidR="003B6AE3">
        <w:rPr>
          <w:rFonts w:cs="Arial"/>
          <w:sz w:val="24"/>
          <w:lang w:val="es-ES_tradnl"/>
        </w:rPr>
        <w:t xml:space="preserve">Del monto total de la transferencia financiera reembolsable de </w:t>
      </w:r>
      <w:r w:rsidR="00AC2ECB">
        <w:rPr>
          <w:rFonts w:cs="Arial"/>
          <w:sz w:val="24"/>
          <w:lang w:val="es-ES_tradnl"/>
        </w:rPr>
        <w:t xml:space="preserve">USD </w:t>
      </w:r>
      <w:r w:rsidR="003B6AE3">
        <w:rPr>
          <w:rFonts w:cs="Arial"/>
          <w:sz w:val="24"/>
          <w:lang w:val="es-ES_tradnl"/>
        </w:rPr>
        <w:t>$ 300,000.00</w:t>
      </w:r>
      <w:r w:rsidR="00AC2ECB">
        <w:rPr>
          <w:rFonts w:cs="Arial"/>
          <w:sz w:val="24"/>
          <w:lang w:val="es-ES_tradnl"/>
        </w:rPr>
        <w:t xml:space="preserve"> (Trescientos mil dólares de los Estados Unidos de América)</w:t>
      </w:r>
      <w:r w:rsidR="003B6AE3">
        <w:rPr>
          <w:rFonts w:cs="Arial"/>
          <w:sz w:val="24"/>
          <w:lang w:val="es-ES_tradnl"/>
        </w:rPr>
        <w:t xml:space="preserve">, se dispone </w:t>
      </w:r>
      <w:r w:rsidR="00E73977">
        <w:rPr>
          <w:rFonts w:cs="Arial"/>
          <w:sz w:val="24"/>
          <w:lang w:val="es-ES_tradnl"/>
        </w:rPr>
        <w:t xml:space="preserve">que la suma de </w:t>
      </w:r>
      <w:r w:rsidR="00E73977" w:rsidRPr="004C6A4F">
        <w:rPr>
          <w:rFonts w:cs="Arial"/>
          <w:sz w:val="24"/>
          <w:lang w:val="es-ES_tradnl"/>
        </w:rPr>
        <w:t>USD $</w:t>
      </w:r>
      <w:r w:rsidR="00E73977">
        <w:rPr>
          <w:rFonts w:cs="Arial"/>
          <w:sz w:val="24"/>
          <w:lang w:val="es-ES_tradnl"/>
        </w:rPr>
        <w:t xml:space="preserve"> </w:t>
      </w:r>
      <w:r w:rsidR="00216E38">
        <w:rPr>
          <w:rFonts w:cs="Arial"/>
          <w:sz w:val="24"/>
          <w:lang w:val="es-ES_tradnl"/>
        </w:rPr>
        <w:t>128.773.37</w:t>
      </w:r>
      <w:r w:rsidR="00E73977" w:rsidRPr="00EC61B3">
        <w:rPr>
          <w:rFonts w:eastAsia="Calibri" w:cs="Arial"/>
          <w:sz w:val="24"/>
          <w:lang w:val="es-ES_tradnl" w:eastAsia="en-US"/>
        </w:rPr>
        <w:t xml:space="preserve"> (</w:t>
      </w:r>
      <w:r w:rsidR="00216E38">
        <w:rPr>
          <w:rFonts w:eastAsia="Calibri" w:cs="Arial"/>
          <w:sz w:val="24"/>
          <w:lang w:val="es-ES_tradnl" w:eastAsia="en-US"/>
        </w:rPr>
        <w:t>Ciento veinte y ocho</w:t>
      </w:r>
      <w:r w:rsidR="00201244">
        <w:rPr>
          <w:rFonts w:eastAsia="Calibri" w:cs="Arial"/>
          <w:sz w:val="24"/>
          <w:lang w:val="es-ES_tradnl" w:eastAsia="en-US"/>
        </w:rPr>
        <w:t xml:space="preserve"> mil setecientos setenta y tres</w:t>
      </w:r>
      <w:r w:rsidR="00216E38">
        <w:rPr>
          <w:rFonts w:eastAsia="Calibri" w:cs="Arial"/>
          <w:sz w:val="24"/>
          <w:lang w:val="es-ES_tradnl" w:eastAsia="en-US"/>
        </w:rPr>
        <w:t xml:space="preserve"> con 37/100</w:t>
      </w:r>
      <w:r w:rsidR="00E73977" w:rsidRPr="00EC61B3">
        <w:rPr>
          <w:rFonts w:eastAsia="Calibri" w:cs="Arial"/>
          <w:sz w:val="24"/>
          <w:lang w:val="es-ES_tradnl" w:eastAsia="en-US"/>
        </w:rPr>
        <w:t xml:space="preserve"> dólares de los Estados Unidos de América)</w:t>
      </w:r>
      <w:r w:rsidR="00E73977">
        <w:rPr>
          <w:rFonts w:cs="Arial"/>
          <w:sz w:val="24"/>
          <w:lang w:val="es-ES_tradnl"/>
        </w:rPr>
        <w:t xml:space="preserve">, se </w:t>
      </w:r>
      <w:r w:rsidR="00216E38">
        <w:rPr>
          <w:rFonts w:cs="Arial"/>
          <w:sz w:val="24"/>
          <w:lang w:val="es-ES_tradnl"/>
        </w:rPr>
        <w:t>destine</w:t>
      </w:r>
      <w:r w:rsidR="00E73977">
        <w:rPr>
          <w:rFonts w:cs="Arial"/>
          <w:sz w:val="24"/>
          <w:lang w:val="es-ES_tradnl"/>
        </w:rPr>
        <w:t xml:space="preserve"> excepcionalmente </w:t>
      </w:r>
      <w:r w:rsidR="001F7B19">
        <w:rPr>
          <w:rFonts w:cs="Arial"/>
          <w:sz w:val="24"/>
          <w:lang w:val="es-ES_tradnl"/>
        </w:rPr>
        <w:t>para cubrir</w:t>
      </w:r>
      <w:r w:rsidR="00AC2ECB">
        <w:rPr>
          <w:rFonts w:cs="Arial"/>
          <w:sz w:val="24"/>
          <w:lang w:val="es-ES_tradnl"/>
        </w:rPr>
        <w:t xml:space="preserve"> </w:t>
      </w:r>
      <w:r w:rsidR="00E73977">
        <w:rPr>
          <w:rFonts w:cs="Arial"/>
          <w:sz w:val="24"/>
          <w:lang w:val="es-ES_tradnl"/>
        </w:rPr>
        <w:t xml:space="preserve">las contribuciones del III y IV Trimestre de </w:t>
      </w:r>
      <w:r w:rsidR="00DE303C">
        <w:rPr>
          <w:rFonts w:cs="Arial"/>
          <w:sz w:val="24"/>
          <w:lang w:val="es-ES_tradnl"/>
        </w:rPr>
        <w:t>2019 pendientes</w:t>
      </w:r>
      <w:r w:rsidR="00DE303C">
        <w:rPr>
          <w:rFonts w:cs="Arial"/>
          <w:color w:val="FF0000"/>
          <w:sz w:val="24"/>
          <w:lang w:val="es-ES_tradnl"/>
        </w:rPr>
        <w:t xml:space="preserve"> </w:t>
      </w:r>
      <w:r w:rsidR="00DE303C" w:rsidRPr="000D61C4">
        <w:rPr>
          <w:rFonts w:cs="Arial"/>
          <w:sz w:val="24"/>
          <w:lang w:val="es-ES_tradnl"/>
        </w:rPr>
        <w:t xml:space="preserve">por parte de los </w:t>
      </w:r>
      <w:r w:rsidR="000D61C4">
        <w:rPr>
          <w:rFonts w:cs="Arial"/>
          <w:sz w:val="24"/>
          <w:lang w:val="es-ES_tradnl"/>
        </w:rPr>
        <w:t>P</w:t>
      </w:r>
      <w:r w:rsidR="00DE303C" w:rsidRPr="000D61C4">
        <w:rPr>
          <w:rFonts w:cs="Arial"/>
          <w:sz w:val="24"/>
          <w:lang w:val="es-ES_tradnl"/>
        </w:rPr>
        <w:t xml:space="preserve">aíses </w:t>
      </w:r>
      <w:r w:rsidR="000D61C4">
        <w:rPr>
          <w:rFonts w:cs="Arial"/>
          <w:sz w:val="24"/>
          <w:lang w:val="es-ES_tradnl"/>
        </w:rPr>
        <w:t>M</w:t>
      </w:r>
      <w:r w:rsidR="00DE303C" w:rsidRPr="000D61C4">
        <w:rPr>
          <w:rFonts w:cs="Arial"/>
          <w:sz w:val="24"/>
          <w:lang w:val="es-ES_tradnl"/>
        </w:rPr>
        <w:t>iembros</w:t>
      </w:r>
      <w:r w:rsidR="00AC2ECB">
        <w:rPr>
          <w:rFonts w:cs="Arial"/>
          <w:sz w:val="24"/>
          <w:lang w:val="es-ES_tradnl"/>
        </w:rPr>
        <w:t>.</w:t>
      </w:r>
      <w:r w:rsidR="00DE303C" w:rsidRPr="000D61C4">
        <w:rPr>
          <w:rFonts w:cs="Arial"/>
          <w:sz w:val="24"/>
          <w:lang w:val="es-ES_tradnl"/>
        </w:rPr>
        <w:t xml:space="preserve"> </w:t>
      </w:r>
    </w:p>
    <w:p w:rsidR="00E73977" w:rsidRDefault="00E73977" w:rsidP="00E73977">
      <w:pPr>
        <w:pStyle w:val="Textoindependiente"/>
        <w:tabs>
          <w:tab w:val="left" w:pos="426"/>
        </w:tabs>
        <w:rPr>
          <w:rFonts w:cs="Arial"/>
          <w:sz w:val="24"/>
          <w:lang w:val="es-ES_tradnl"/>
        </w:rPr>
      </w:pPr>
    </w:p>
    <w:p w:rsidR="00E80FC8" w:rsidRDefault="00E73977" w:rsidP="00E73977">
      <w:pPr>
        <w:pStyle w:val="Textoindependiente"/>
        <w:tabs>
          <w:tab w:val="left" w:pos="426"/>
        </w:tabs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Lo indicado en el párrafo anterior no exime de la obligación que tiene</w:t>
      </w:r>
      <w:r w:rsidR="00DE303C">
        <w:rPr>
          <w:rFonts w:cs="Arial"/>
          <w:sz w:val="24"/>
          <w:lang w:val="es-ES_tradnl"/>
        </w:rPr>
        <w:t>n</w:t>
      </w:r>
      <w:r>
        <w:rPr>
          <w:rFonts w:cs="Arial"/>
          <w:sz w:val="24"/>
          <w:lang w:val="es-ES_tradnl"/>
        </w:rPr>
        <w:t xml:space="preserve"> </w:t>
      </w:r>
      <w:r w:rsidR="00DE303C">
        <w:rPr>
          <w:rFonts w:cs="Arial"/>
          <w:sz w:val="24"/>
          <w:lang w:val="es-ES_tradnl"/>
        </w:rPr>
        <w:t>los Países Miembros deudores</w:t>
      </w:r>
      <w:r>
        <w:rPr>
          <w:rFonts w:cs="Arial"/>
          <w:sz w:val="24"/>
          <w:lang w:val="es-ES_tradnl"/>
        </w:rPr>
        <w:t xml:space="preserve"> de efectuar los pagos de las contribuciones al Tribunal de Justicia de la Comunidad Andina correspondientes al </w:t>
      </w:r>
      <w:r w:rsidR="000D61C4">
        <w:rPr>
          <w:rFonts w:cs="Arial"/>
          <w:sz w:val="24"/>
          <w:lang w:val="es-ES_tradnl"/>
        </w:rPr>
        <w:t xml:space="preserve">III y IV Trimestre de </w:t>
      </w:r>
      <w:r>
        <w:rPr>
          <w:rFonts w:cs="Arial"/>
          <w:sz w:val="24"/>
          <w:lang w:val="es-ES_tradnl"/>
        </w:rPr>
        <w:t>2019, las cuales deben efectuarse hasta el 31 de diciembre de 2020.</w:t>
      </w:r>
    </w:p>
    <w:p w:rsidR="009D37AB" w:rsidRPr="00A12A56" w:rsidRDefault="009D37AB" w:rsidP="004D0EA4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:rsidR="004D0EA4" w:rsidRPr="00EC61B3" w:rsidRDefault="00E80FC8" w:rsidP="004D0EA4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sz w:val="24"/>
          <w:szCs w:val="24"/>
          <w:lang w:val="es-ES_tradnl" w:eastAsia="es-ES"/>
        </w:rPr>
        <w:lastRenderedPageBreak/>
        <w:tab/>
      </w:r>
      <w:r w:rsidR="004D0EA4" w:rsidRPr="00EC61B3">
        <w:rPr>
          <w:rFonts w:ascii="Arial" w:hAnsi="Arial" w:cs="Arial"/>
          <w:b/>
          <w:sz w:val="24"/>
          <w:szCs w:val="24"/>
          <w:lang w:val="es-ES_tradnl" w:eastAsia="es-ES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_tradnl" w:eastAsia="es-ES"/>
        </w:rPr>
        <w:t>3</w:t>
      </w:r>
      <w:r w:rsidR="004D0EA4" w:rsidRPr="00EC61B3">
        <w:rPr>
          <w:rFonts w:ascii="Arial" w:hAnsi="Arial" w:cs="Arial"/>
          <w:b/>
          <w:sz w:val="24"/>
          <w:szCs w:val="24"/>
          <w:lang w:val="es-ES_tradnl" w:eastAsia="es-ES"/>
        </w:rPr>
        <w:t>.-</w:t>
      </w:r>
      <w:r w:rsidR="004D0EA4" w:rsidRPr="00EC61B3">
        <w:rPr>
          <w:rFonts w:ascii="Arial" w:hAnsi="Arial" w:cs="Arial"/>
          <w:sz w:val="24"/>
          <w:szCs w:val="24"/>
          <w:lang w:val="es-ES_tradnl" w:eastAsia="es-ES"/>
        </w:rPr>
        <w:t xml:space="preserve"> La transferencia financiera reembolsable </w:t>
      </w:r>
      <w:r w:rsidR="009C441C">
        <w:rPr>
          <w:rFonts w:ascii="Arial" w:hAnsi="Arial" w:cs="Arial"/>
          <w:sz w:val="24"/>
          <w:szCs w:val="24"/>
          <w:lang w:val="es-ES_tradnl" w:eastAsia="es-ES"/>
        </w:rPr>
        <w:t xml:space="preserve">autorizada </w:t>
      </w:r>
      <w:r w:rsidR="009C441C" w:rsidRPr="00EC61B3">
        <w:rPr>
          <w:rFonts w:ascii="Arial" w:hAnsi="Arial" w:cs="Arial"/>
          <w:sz w:val="24"/>
          <w:szCs w:val="24"/>
          <w:lang w:val="es-ES_tradnl" w:eastAsia="es-ES"/>
        </w:rPr>
        <w:t>en</w:t>
      </w:r>
      <w:r w:rsidR="004D0EA4" w:rsidRPr="00EC61B3">
        <w:rPr>
          <w:rFonts w:ascii="Arial" w:hAnsi="Arial" w:cs="Arial"/>
          <w:sz w:val="24"/>
          <w:szCs w:val="24"/>
          <w:lang w:val="es-ES_tradnl" w:eastAsia="es-ES"/>
        </w:rPr>
        <w:t xml:space="preserve"> el artículo </w:t>
      </w:r>
      <w:r>
        <w:rPr>
          <w:rFonts w:ascii="Arial" w:hAnsi="Arial" w:cs="Arial"/>
          <w:sz w:val="24"/>
          <w:szCs w:val="24"/>
          <w:lang w:val="es-ES_tradnl" w:eastAsia="es-ES"/>
        </w:rPr>
        <w:t>1 de la presente Decisión,</w:t>
      </w:r>
      <w:r w:rsidR="004D0EA4" w:rsidRPr="00EC61B3">
        <w:rPr>
          <w:rFonts w:ascii="Arial" w:hAnsi="Arial" w:cs="Arial"/>
          <w:sz w:val="24"/>
          <w:szCs w:val="24"/>
          <w:lang w:val="es-ES_tradnl" w:eastAsia="es-ES"/>
        </w:rPr>
        <w:t xml:space="preserve"> deberá realizarse con cargo a los saldos</w:t>
      </w:r>
      <w:r w:rsidR="004D0EA4" w:rsidRPr="00EC61B3">
        <w:rPr>
          <w:rFonts w:ascii="Arial" w:hAnsi="Arial" w:cs="Arial"/>
          <w:sz w:val="24"/>
          <w:szCs w:val="24"/>
          <w:lang w:eastAsia="es-ES"/>
        </w:rPr>
        <w:t xml:space="preserve"> no ejecutados de los presupuestos correspondientes a los ejercicios presupuestales 2013, 2014 y 2015 de la Secretaría General de la Comunidad Andina.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:rsidR="004D0EA4" w:rsidRPr="00EC61B3" w:rsidRDefault="00E80FC8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>
        <w:rPr>
          <w:rFonts w:ascii="Arial" w:eastAsia="Calibri" w:hAnsi="Arial" w:cs="Arial"/>
          <w:b/>
          <w:sz w:val="24"/>
          <w:szCs w:val="24"/>
          <w:lang w:val="es-ES_tradnl" w:eastAsia="en-US"/>
        </w:rPr>
        <w:tab/>
        <w:t>Artículo 4</w:t>
      </w:r>
      <w:r w:rsidR="004D0EA4"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 xml:space="preserve">.- </w:t>
      </w:r>
      <w:r w:rsidR="004D0EA4" w:rsidRPr="00EC61B3">
        <w:rPr>
          <w:rFonts w:ascii="Arial" w:eastAsia="Calibri" w:hAnsi="Arial" w:cs="Arial"/>
          <w:bCs/>
          <w:sz w:val="24"/>
          <w:szCs w:val="24"/>
          <w:lang w:val="es-ES_tradnl" w:eastAsia="en-US"/>
        </w:rPr>
        <w:t xml:space="preserve">El Tribunal de Justicia de la Comunidad Andina, deberá reembolsar 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a la Secretaría General de la Comunidad Andina, los recursos transferidos </w:t>
      </w:r>
      <w:r w:rsidR="00470A62">
        <w:rPr>
          <w:rFonts w:ascii="Arial" w:eastAsia="Calibri" w:hAnsi="Arial" w:cs="Arial"/>
          <w:sz w:val="24"/>
          <w:szCs w:val="24"/>
          <w:lang w:val="es-ES_tradnl" w:eastAsia="en-US"/>
        </w:rPr>
        <w:t xml:space="preserve">autorizados </w:t>
      </w:r>
      <w:r w:rsidR="004D0EA4" w:rsidRPr="00EC61B3">
        <w:rPr>
          <w:rFonts w:ascii="Arial" w:eastAsia="Calibri" w:hAnsi="Arial" w:cs="Arial"/>
          <w:sz w:val="24"/>
          <w:szCs w:val="24"/>
          <w:lang w:val="es-PE" w:eastAsia="en-US"/>
        </w:rPr>
        <w:t>a que se refiere el artículo 1 de la presente Decisión,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de manera prioritaria e inmediata y sin requerimiento, en el momento que </w:t>
      </w:r>
      <w:r w:rsidR="00972D4A">
        <w:rPr>
          <w:rFonts w:ascii="Arial" w:eastAsia="Calibri" w:hAnsi="Arial" w:cs="Arial"/>
          <w:sz w:val="24"/>
          <w:szCs w:val="24"/>
          <w:lang w:val="es-ES_tradnl" w:eastAsia="en-US"/>
        </w:rPr>
        <w:t>un país o más</w:t>
      </w:r>
      <w:r w:rsidR="009C441C">
        <w:rPr>
          <w:rFonts w:ascii="Arial" w:eastAsia="Calibri" w:hAnsi="Arial" w:cs="Arial"/>
          <w:sz w:val="24"/>
          <w:szCs w:val="24"/>
          <w:lang w:val="es-ES_tradnl" w:eastAsia="en-US"/>
        </w:rPr>
        <w:t xml:space="preserve"> de un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País Miembro </w:t>
      </w:r>
      <w:r w:rsidR="009C5028">
        <w:rPr>
          <w:rFonts w:ascii="Arial" w:eastAsia="Calibri" w:hAnsi="Arial" w:cs="Arial"/>
          <w:sz w:val="24"/>
          <w:szCs w:val="24"/>
          <w:lang w:val="es-ES_tradnl" w:eastAsia="en-US"/>
        </w:rPr>
        <w:t>efectúe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el pago </w:t>
      </w:r>
      <w:r w:rsidR="009C5028">
        <w:rPr>
          <w:rFonts w:ascii="Arial" w:eastAsia="Calibri" w:hAnsi="Arial" w:cs="Arial"/>
          <w:sz w:val="24"/>
          <w:szCs w:val="24"/>
          <w:lang w:val="es-ES_tradnl" w:eastAsia="en-US"/>
        </w:rPr>
        <w:t xml:space="preserve">parcial o total 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>de las contribuciones que adeudan de los años 2019 y 2020</w:t>
      </w:r>
      <w:r w:rsidR="009C5028">
        <w:rPr>
          <w:rFonts w:ascii="Arial" w:eastAsia="Calibri" w:hAnsi="Arial" w:cs="Arial"/>
          <w:sz w:val="24"/>
          <w:szCs w:val="24"/>
          <w:lang w:val="es-ES_tradnl" w:eastAsia="en-US"/>
        </w:rPr>
        <w:t>,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incluido cualquier otro adeudo que </w:t>
      </w:r>
      <w:r w:rsidR="009C5028">
        <w:rPr>
          <w:rFonts w:ascii="Arial" w:eastAsia="Calibri" w:hAnsi="Arial" w:cs="Arial"/>
          <w:sz w:val="24"/>
          <w:szCs w:val="24"/>
          <w:lang w:val="es-ES_tradnl" w:eastAsia="en-US"/>
        </w:rPr>
        <w:t xml:space="preserve">los países 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>pague</w:t>
      </w:r>
      <w:r w:rsidR="0033063F">
        <w:rPr>
          <w:rFonts w:ascii="Arial" w:eastAsia="Calibri" w:hAnsi="Arial" w:cs="Arial"/>
          <w:sz w:val="24"/>
          <w:szCs w:val="24"/>
          <w:lang w:val="es-ES_tradnl" w:eastAsia="en-US"/>
        </w:rPr>
        <w:t>n al referido Tribunal</w:t>
      </w:r>
      <w:r w:rsidR="004D0EA4" w:rsidRPr="00EC61B3">
        <w:rPr>
          <w:rFonts w:ascii="Arial" w:eastAsia="Calibri" w:hAnsi="Arial" w:cs="Arial"/>
          <w:sz w:val="24"/>
          <w:szCs w:val="24"/>
          <w:lang w:val="es-ES_tradnl" w:eastAsia="en-US"/>
        </w:rPr>
        <w:t>.</w:t>
      </w:r>
    </w:p>
    <w:p w:rsidR="004D0EA4" w:rsidRPr="00EC61B3" w:rsidRDefault="004D0EA4" w:rsidP="004D0EA4">
      <w:pPr>
        <w:tabs>
          <w:tab w:val="left" w:pos="2465"/>
        </w:tabs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EC61B3">
        <w:rPr>
          <w:rFonts w:ascii="Arial" w:hAnsi="Arial" w:cs="Arial"/>
          <w:sz w:val="24"/>
          <w:szCs w:val="24"/>
          <w:lang w:val="es-ES_tradnl" w:eastAsia="es-ES"/>
        </w:rPr>
        <w:tab/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ab/>
      </w:r>
      <w:r w:rsidR="00E80FC8">
        <w:rPr>
          <w:rFonts w:ascii="Arial" w:eastAsia="Calibri" w:hAnsi="Arial" w:cs="Arial"/>
          <w:b/>
          <w:sz w:val="24"/>
          <w:szCs w:val="24"/>
          <w:lang w:val="es-ES_tradnl" w:eastAsia="en-US"/>
        </w:rPr>
        <w:t>Artículo 5</w:t>
      </w:r>
      <w:r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>.-</w:t>
      </w: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 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 xml:space="preserve">Los recursos de la transferencia </w:t>
      </w:r>
      <w:r w:rsidR="0033063F">
        <w:rPr>
          <w:rFonts w:ascii="Arial" w:eastAsia="Calibri" w:hAnsi="Arial" w:cs="Arial"/>
          <w:sz w:val="24"/>
          <w:szCs w:val="24"/>
          <w:lang w:val="es-PE" w:eastAsia="en-US"/>
        </w:rPr>
        <w:t>autorizada en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 xml:space="preserve"> el artículo 1 de la presente Decisión, no podrán ser destinados, bajo responsabilidad, a fines distintos para los cuales son transferidos.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EC61B3">
        <w:rPr>
          <w:rFonts w:ascii="Arial" w:eastAsia="Calibri" w:hAnsi="Arial" w:cs="Arial"/>
          <w:sz w:val="24"/>
          <w:szCs w:val="24"/>
          <w:lang w:val="es-ES_tradnl" w:eastAsia="en-US"/>
        </w:rPr>
        <w:t xml:space="preserve">La presente Decisión </w:t>
      </w:r>
      <w:r w:rsidRPr="00EC61B3">
        <w:rPr>
          <w:rFonts w:ascii="Arial" w:eastAsia="Calibri" w:hAnsi="Arial" w:cs="Arial"/>
          <w:sz w:val="24"/>
          <w:szCs w:val="24"/>
          <w:lang w:val="es-PE" w:eastAsia="en-US"/>
        </w:rPr>
        <w:t>entrará en vigencia a partir de su fecha de publicación en la Gaceta Oficial del Acuerdo de Cartagena.</w:t>
      </w:r>
    </w:p>
    <w:p w:rsidR="004D0EA4" w:rsidRPr="00EC61B3" w:rsidRDefault="004D0EA4" w:rsidP="004D0EA4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p w:rsidR="00A9612C" w:rsidRDefault="004D0EA4" w:rsidP="00A9612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C61B3">
        <w:rPr>
          <w:rFonts w:ascii="Arial" w:eastAsia="Calibri" w:hAnsi="Arial" w:cs="Arial"/>
          <w:b/>
          <w:sz w:val="24"/>
          <w:szCs w:val="24"/>
          <w:lang w:val="es-ES_tradnl" w:eastAsia="en-US"/>
        </w:rPr>
        <w:tab/>
      </w:r>
      <w:r w:rsidR="00A9612C" w:rsidRPr="00C8300C">
        <w:rPr>
          <w:rFonts w:ascii="Arial" w:hAnsi="Arial" w:cs="Arial"/>
          <w:sz w:val="24"/>
          <w:szCs w:val="24"/>
          <w:lang w:val="es-ES_tradnl"/>
        </w:rPr>
        <w:t xml:space="preserve">Dada en </w:t>
      </w:r>
      <w:r w:rsidR="00A9612C">
        <w:rPr>
          <w:rFonts w:ascii="Arial" w:hAnsi="Arial" w:cs="Arial"/>
          <w:sz w:val="24"/>
          <w:szCs w:val="24"/>
          <w:lang w:val="es-ES_tradnl"/>
        </w:rPr>
        <w:t>ciudad de Lima, Perú, el 1</w:t>
      </w:r>
      <w:r w:rsidR="00A9612C" w:rsidRPr="00C8300C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A9612C">
        <w:rPr>
          <w:rFonts w:ascii="Arial" w:hAnsi="Arial" w:cs="Arial"/>
          <w:sz w:val="24"/>
          <w:szCs w:val="24"/>
          <w:lang w:val="es-ES_tradnl"/>
        </w:rPr>
        <w:t>septiembre</w:t>
      </w:r>
      <w:r w:rsidR="00A9612C" w:rsidRPr="00C8300C">
        <w:rPr>
          <w:rFonts w:ascii="Arial" w:hAnsi="Arial" w:cs="Arial"/>
          <w:sz w:val="24"/>
          <w:szCs w:val="24"/>
          <w:lang w:val="es-ES_tradnl"/>
        </w:rPr>
        <w:t xml:space="preserve"> del año dos mil veinte. </w:t>
      </w:r>
    </w:p>
    <w:p w:rsidR="000B5906" w:rsidRPr="00A9612C" w:rsidRDefault="000B5906" w:rsidP="00825E03">
      <w:pPr>
        <w:tabs>
          <w:tab w:val="left" w:pos="426"/>
        </w:tabs>
        <w:jc w:val="both"/>
        <w:rPr>
          <w:sz w:val="24"/>
          <w:szCs w:val="24"/>
          <w:lang w:val="es-ES_tradnl"/>
        </w:rPr>
      </w:pPr>
    </w:p>
    <w:sectPr w:rsidR="000B5906" w:rsidRPr="00A9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5EB3A" w16cex:dateUtc="2020-08-3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7F53B9" w16cid:durableId="22F5EB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9"/>
    <w:rsid w:val="00043BB7"/>
    <w:rsid w:val="000B2E41"/>
    <w:rsid w:val="000B5906"/>
    <w:rsid w:val="000D61C4"/>
    <w:rsid w:val="00106FD5"/>
    <w:rsid w:val="001F7B19"/>
    <w:rsid w:val="00201244"/>
    <w:rsid w:val="00216E38"/>
    <w:rsid w:val="00316F6A"/>
    <w:rsid w:val="0033063F"/>
    <w:rsid w:val="00387CC0"/>
    <w:rsid w:val="003B6AE3"/>
    <w:rsid w:val="00451551"/>
    <w:rsid w:val="00470A62"/>
    <w:rsid w:val="00483756"/>
    <w:rsid w:val="004D0EA4"/>
    <w:rsid w:val="004E2112"/>
    <w:rsid w:val="004F06D8"/>
    <w:rsid w:val="005F14D0"/>
    <w:rsid w:val="00600226"/>
    <w:rsid w:val="00664626"/>
    <w:rsid w:val="0068205F"/>
    <w:rsid w:val="007176C3"/>
    <w:rsid w:val="00825E03"/>
    <w:rsid w:val="0083644F"/>
    <w:rsid w:val="00972D4A"/>
    <w:rsid w:val="009A099A"/>
    <w:rsid w:val="009A54F1"/>
    <w:rsid w:val="009C441C"/>
    <w:rsid w:val="009C5028"/>
    <w:rsid w:val="009D37AB"/>
    <w:rsid w:val="00A12A56"/>
    <w:rsid w:val="00A430CA"/>
    <w:rsid w:val="00A9612C"/>
    <w:rsid w:val="00AB315E"/>
    <w:rsid w:val="00AC2ECB"/>
    <w:rsid w:val="00BA7D91"/>
    <w:rsid w:val="00D15C09"/>
    <w:rsid w:val="00DE303C"/>
    <w:rsid w:val="00E40D76"/>
    <w:rsid w:val="00E73977"/>
    <w:rsid w:val="00E80FC8"/>
    <w:rsid w:val="00EC3002"/>
    <w:rsid w:val="00EC61B3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7D17"/>
  <w15:docId w15:val="{C3E9C126-FD86-4424-8669-536F9224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15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5C0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C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C09"/>
    <w:rPr>
      <w:rFonts w:ascii="Tahoma" w:eastAsia="Times New Roman" w:hAnsi="Tahoma" w:cs="Tahoma"/>
      <w:sz w:val="16"/>
      <w:szCs w:val="16"/>
      <w:lang w:val="es-ES" w:eastAsia="es-PE"/>
    </w:rPr>
  </w:style>
  <w:style w:type="paragraph" w:styleId="Textoindependiente">
    <w:name w:val="Body Text"/>
    <w:basedOn w:val="Normal"/>
    <w:link w:val="TextoindependienteCar"/>
    <w:rsid w:val="00E80FC8"/>
    <w:pPr>
      <w:jc w:val="both"/>
    </w:pPr>
    <w:rPr>
      <w:rFonts w:ascii="Arial" w:hAnsi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0F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Revisin">
    <w:name w:val="Revision"/>
    <w:hidden/>
    <w:uiPriority w:val="99"/>
    <w:semiHidden/>
    <w:rsid w:val="009C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4515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5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55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5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551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Sinespaciado">
    <w:name w:val="No Spacing"/>
    <w:uiPriority w:val="1"/>
    <w:qFormat/>
    <w:rsid w:val="000D61C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Miguel Hinostroza Villafuerte</cp:lastModifiedBy>
  <cp:revision>3</cp:revision>
  <dcterms:created xsi:type="dcterms:W3CDTF">2020-09-01T22:30:00Z</dcterms:created>
  <dcterms:modified xsi:type="dcterms:W3CDTF">2020-09-02T01:31:00Z</dcterms:modified>
</cp:coreProperties>
</file>