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69" w:rsidRDefault="00D75669" w:rsidP="00D75669">
      <w:pPr>
        <w:spacing w:line="264" w:lineRule="exact"/>
        <w:ind w:hanging="2880"/>
        <w:jc w:val="center"/>
        <w:rPr>
          <w:b/>
          <w:snapToGrid w:val="0"/>
          <w:u w:val="single"/>
        </w:rPr>
      </w:pPr>
      <w:r>
        <w:rPr>
          <w:rFonts w:cs="Arial"/>
          <w:noProof/>
          <w:lang w:val="en-US" w:eastAsia="en-US"/>
        </w:rPr>
        <w:drawing>
          <wp:anchor distT="0" distB="0" distL="114300" distR="114300" simplePos="0" relativeHeight="251659264" behindDoc="0" locked="0" layoutInCell="1" allowOverlap="1" wp14:anchorId="409798FE" wp14:editId="12D52650">
            <wp:simplePos x="0" y="0"/>
            <wp:positionH relativeFrom="column">
              <wp:posOffset>24239</wp:posOffset>
            </wp:positionH>
            <wp:positionV relativeFrom="paragraph">
              <wp:posOffset>161290</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8" cstate="print"/>
                    <a:stretch>
                      <a:fillRect/>
                    </a:stretch>
                  </pic:blipFill>
                  <pic:spPr>
                    <a:xfrm>
                      <a:off x="0" y="0"/>
                      <a:ext cx="2103120" cy="504190"/>
                    </a:xfrm>
                    <a:prstGeom prst="rect">
                      <a:avLst/>
                    </a:prstGeom>
                  </pic:spPr>
                </pic:pic>
              </a:graphicData>
            </a:graphic>
          </wp:anchor>
        </w:drawing>
      </w:r>
    </w:p>
    <w:p w:rsidR="00D75669" w:rsidRDefault="00D75669" w:rsidP="00D75669">
      <w:pPr>
        <w:spacing w:line="264" w:lineRule="exact"/>
        <w:rPr>
          <w:b/>
          <w:snapToGrid w:val="0"/>
          <w:u w:val="single"/>
        </w:rPr>
      </w:pPr>
    </w:p>
    <w:p w:rsidR="00D75669" w:rsidRDefault="00D75669" w:rsidP="00D75669">
      <w:pPr>
        <w:pStyle w:val="Ttulo1"/>
      </w:pPr>
    </w:p>
    <w:p w:rsidR="00D75669" w:rsidRPr="00401E22" w:rsidRDefault="00D75669" w:rsidP="00D75669">
      <w:pPr>
        <w:pStyle w:val="Estilo2"/>
        <w:tabs>
          <w:tab w:val="left" w:pos="425"/>
        </w:tabs>
        <w:autoSpaceDE w:val="0"/>
        <w:autoSpaceDN w:val="0"/>
        <w:adjustRightInd w:val="0"/>
        <w:rPr>
          <w:rFonts w:cs="Arial"/>
          <w:sz w:val="23"/>
          <w:szCs w:val="23"/>
          <w:lang w:val="es-ES_tradnl"/>
        </w:rPr>
      </w:pPr>
      <w:bookmarkStart w:id="0" w:name="_GoBack"/>
      <w:bookmarkEnd w:id="0"/>
      <w:r w:rsidRPr="00401E22">
        <w:rPr>
          <w:rFonts w:cs="Arial"/>
          <w:sz w:val="23"/>
          <w:szCs w:val="23"/>
          <w:lang w:val="es-ES_tradnl"/>
        </w:rPr>
        <w:t>PERIODO CIENTO VEINTE DE SESIONES</w:t>
      </w:r>
    </w:p>
    <w:p w:rsidR="00D75669" w:rsidRPr="00401E22" w:rsidRDefault="00D75669" w:rsidP="00D75669">
      <w:pPr>
        <w:pStyle w:val="Estilo2"/>
        <w:tabs>
          <w:tab w:val="left" w:pos="425"/>
        </w:tabs>
        <w:autoSpaceDE w:val="0"/>
        <w:autoSpaceDN w:val="0"/>
        <w:adjustRightInd w:val="0"/>
        <w:rPr>
          <w:rFonts w:cs="Arial"/>
          <w:sz w:val="23"/>
          <w:szCs w:val="23"/>
          <w:lang w:val="es-ES_tradnl"/>
        </w:rPr>
      </w:pPr>
      <w:r w:rsidRPr="00401E22">
        <w:rPr>
          <w:rFonts w:cs="Arial"/>
          <w:sz w:val="23"/>
          <w:szCs w:val="23"/>
          <w:lang w:val="es-ES_tradnl"/>
        </w:rPr>
        <w:t>ORDINARIAS DE LA COMISION</w:t>
      </w:r>
    </w:p>
    <w:p w:rsidR="00D75669" w:rsidRPr="00401E22" w:rsidRDefault="00D75669" w:rsidP="00D75669">
      <w:pPr>
        <w:pStyle w:val="Estilo2"/>
        <w:tabs>
          <w:tab w:val="left" w:pos="425"/>
        </w:tabs>
        <w:autoSpaceDE w:val="0"/>
        <w:autoSpaceDN w:val="0"/>
        <w:adjustRightInd w:val="0"/>
        <w:rPr>
          <w:rFonts w:cs="Arial"/>
          <w:sz w:val="23"/>
          <w:szCs w:val="23"/>
          <w:lang w:val="es-ES_tradnl"/>
        </w:rPr>
      </w:pPr>
      <w:r w:rsidRPr="00401E22">
        <w:rPr>
          <w:rFonts w:cs="Arial"/>
          <w:sz w:val="23"/>
          <w:szCs w:val="23"/>
          <w:lang w:val="es-ES_tradnl"/>
        </w:rPr>
        <w:t>29 de abril de 2019</w:t>
      </w:r>
    </w:p>
    <w:p w:rsidR="00D75669" w:rsidRPr="00401E22" w:rsidRDefault="00D75669" w:rsidP="00D75669">
      <w:pPr>
        <w:pStyle w:val="Estilo2"/>
        <w:tabs>
          <w:tab w:val="left" w:pos="425"/>
        </w:tabs>
        <w:autoSpaceDE w:val="0"/>
        <w:autoSpaceDN w:val="0"/>
        <w:adjustRightInd w:val="0"/>
        <w:rPr>
          <w:rFonts w:cs="Arial"/>
          <w:sz w:val="23"/>
          <w:szCs w:val="23"/>
          <w:lang w:val="es-ES_tradnl"/>
        </w:rPr>
      </w:pPr>
      <w:r w:rsidRPr="00401E22">
        <w:rPr>
          <w:rFonts w:cs="Arial"/>
          <w:sz w:val="23"/>
          <w:szCs w:val="23"/>
          <w:lang w:val="es-ES_tradnl"/>
        </w:rPr>
        <w:t>LIMA – PERU</w:t>
      </w:r>
    </w:p>
    <w:p w:rsidR="00D75669" w:rsidRDefault="00D75669" w:rsidP="00D75669">
      <w:pPr>
        <w:pStyle w:val="Estilo2"/>
        <w:tabs>
          <w:tab w:val="left" w:pos="425"/>
        </w:tabs>
        <w:autoSpaceDE w:val="0"/>
        <w:autoSpaceDN w:val="0"/>
        <w:adjustRightInd w:val="0"/>
        <w:rPr>
          <w:rFonts w:cs="Arial"/>
          <w:sz w:val="23"/>
          <w:szCs w:val="23"/>
          <w:lang w:val="es-ES_tradnl"/>
        </w:rPr>
      </w:pPr>
      <w:r w:rsidRPr="00401E22">
        <w:rPr>
          <w:rFonts w:cs="Arial"/>
          <w:sz w:val="23"/>
          <w:szCs w:val="23"/>
          <w:lang w:val="es-ES_tradnl"/>
        </w:rPr>
        <w:t>Modalidad presencial</w:t>
      </w:r>
    </w:p>
    <w:p w:rsidR="00EE313B" w:rsidRDefault="00EE313B" w:rsidP="008F683B">
      <w:pPr>
        <w:pStyle w:val="Ttulo"/>
        <w:rPr>
          <w:rFonts w:ascii="Arial" w:hAnsi="Arial" w:cs="Arial"/>
          <w:b/>
          <w:sz w:val="24"/>
          <w:szCs w:val="24"/>
        </w:rPr>
      </w:pPr>
    </w:p>
    <w:p w:rsidR="004E1CF9" w:rsidRPr="000E601B" w:rsidRDefault="004E1CF9" w:rsidP="008F683B">
      <w:pPr>
        <w:pStyle w:val="Ttulo"/>
        <w:rPr>
          <w:rFonts w:ascii="Arial" w:hAnsi="Arial" w:cs="Arial"/>
          <w:b/>
          <w:sz w:val="24"/>
          <w:szCs w:val="24"/>
        </w:rPr>
      </w:pPr>
      <w:r w:rsidRPr="000E601B">
        <w:rPr>
          <w:rFonts w:ascii="Arial" w:hAnsi="Arial" w:cs="Arial"/>
          <w:b/>
          <w:sz w:val="24"/>
          <w:szCs w:val="24"/>
        </w:rPr>
        <w:t>DECISIÓN</w:t>
      </w:r>
      <w:r w:rsidR="008F683B" w:rsidRPr="000E601B">
        <w:rPr>
          <w:rFonts w:ascii="Arial" w:hAnsi="Arial" w:cs="Arial"/>
          <w:b/>
          <w:sz w:val="24"/>
          <w:szCs w:val="24"/>
        </w:rPr>
        <w:t xml:space="preserve"> </w:t>
      </w:r>
      <w:r w:rsidR="00110135">
        <w:rPr>
          <w:rFonts w:ascii="Arial" w:hAnsi="Arial" w:cs="Arial"/>
          <w:b/>
          <w:sz w:val="24"/>
          <w:szCs w:val="24"/>
        </w:rPr>
        <w:t>843</w:t>
      </w:r>
    </w:p>
    <w:p w:rsidR="005715E5" w:rsidRPr="000E601B" w:rsidRDefault="005715E5" w:rsidP="008F683B">
      <w:pPr>
        <w:jc w:val="center"/>
        <w:rPr>
          <w:rFonts w:cs="Arial"/>
          <w:szCs w:val="24"/>
        </w:rPr>
      </w:pPr>
    </w:p>
    <w:p w:rsidR="00EE313B" w:rsidRDefault="00EE313B" w:rsidP="008F683B">
      <w:pPr>
        <w:pStyle w:val="Estilo"/>
        <w:ind w:left="5103" w:right="57"/>
        <w:jc w:val="both"/>
      </w:pPr>
    </w:p>
    <w:p w:rsidR="005715E5" w:rsidRPr="000E601B" w:rsidRDefault="00A635E2" w:rsidP="008F683B">
      <w:pPr>
        <w:pStyle w:val="Estilo"/>
        <w:ind w:left="5103" w:right="57"/>
        <w:jc w:val="both"/>
      </w:pPr>
      <w:r>
        <w:t xml:space="preserve">Creación del Grupo de Alto Nivel </w:t>
      </w:r>
      <w:r>
        <w:rPr>
          <w:w w:val="105"/>
        </w:rPr>
        <w:t>para abordar la situación del Tribunal de Justicia de la Comunidad Andina</w:t>
      </w:r>
      <w:r>
        <w:t xml:space="preserve"> </w:t>
      </w:r>
    </w:p>
    <w:p w:rsidR="005715E5" w:rsidRPr="000E601B" w:rsidRDefault="005715E5" w:rsidP="008F683B">
      <w:pPr>
        <w:pStyle w:val="Estilo"/>
        <w:ind w:right="662"/>
      </w:pPr>
    </w:p>
    <w:p w:rsidR="005715E5" w:rsidRDefault="005715E5" w:rsidP="008F683B">
      <w:pPr>
        <w:pStyle w:val="Estilo"/>
        <w:ind w:right="662" w:firstLine="708"/>
        <w:jc w:val="both"/>
        <w:rPr>
          <w:b/>
        </w:rPr>
      </w:pPr>
      <w:r w:rsidRPr="000E601B">
        <w:rPr>
          <w:b/>
        </w:rPr>
        <w:t>LA COMISIÓN DE LA COMUNIDAD ANDINA,</w:t>
      </w:r>
    </w:p>
    <w:p w:rsidR="00F80C57" w:rsidRDefault="00F80C57" w:rsidP="008F683B">
      <w:pPr>
        <w:pStyle w:val="Estilo"/>
        <w:ind w:right="662" w:firstLine="708"/>
        <w:jc w:val="both"/>
        <w:rPr>
          <w:b/>
        </w:rPr>
      </w:pPr>
    </w:p>
    <w:p w:rsidR="00F80C57" w:rsidRPr="00A635E2" w:rsidRDefault="00F80C57" w:rsidP="00A635E2">
      <w:pPr>
        <w:pStyle w:val="Estilo"/>
        <w:ind w:firstLine="709"/>
        <w:jc w:val="both"/>
      </w:pPr>
      <w:r w:rsidRPr="00A635E2">
        <w:rPr>
          <w:b/>
        </w:rPr>
        <w:t>VISTOS:</w:t>
      </w:r>
      <w:r w:rsidRPr="00A635E2">
        <w:t xml:space="preserve"> </w:t>
      </w:r>
      <w:r w:rsidR="00A635E2" w:rsidRPr="00A635E2">
        <w:t xml:space="preserve">El artículo </w:t>
      </w:r>
      <w:r w:rsidR="00A635E2">
        <w:t>22, 40 y 41 del Acuerdo de Cartagena, el artículo 11 de l</w:t>
      </w:r>
      <w:r>
        <w:t xml:space="preserve">a Decisión </w:t>
      </w:r>
      <w:r w:rsidR="00A635E2">
        <w:t>471</w:t>
      </w:r>
      <w:r w:rsidR="000F43DD">
        <w:t>,</w:t>
      </w:r>
      <w:r w:rsidR="00A635E2">
        <w:t xml:space="preserve"> </w:t>
      </w:r>
      <w:r w:rsidR="000F43DD">
        <w:t xml:space="preserve">el artículo 26 de la Decisión 500 y </w:t>
      </w:r>
      <w:r w:rsidR="00A635E2">
        <w:t>el artículo 7 de la Decisión 792;</w:t>
      </w:r>
    </w:p>
    <w:p w:rsidR="007016E4" w:rsidRPr="000E601B" w:rsidRDefault="007016E4" w:rsidP="003101EB">
      <w:pPr>
        <w:pStyle w:val="Estilo"/>
        <w:jc w:val="both"/>
      </w:pPr>
    </w:p>
    <w:p w:rsidR="00382868" w:rsidRDefault="005715E5" w:rsidP="000F43DD">
      <w:pPr>
        <w:pStyle w:val="Estilo"/>
        <w:ind w:firstLine="720"/>
        <w:jc w:val="both"/>
      </w:pPr>
      <w:r w:rsidRPr="000E601B">
        <w:rPr>
          <w:b/>
        </w:rPr>
        <w:t xml:space="preserve">CONSIDERANDO: </w:t>
      </w:r>
      <w:r w:rsidR="00382868">
        <w:t>Que</w:t>
      </w:r>
      <w:r w:rsidR="00896757">
        <w:t>,</w:t>
      </w:r>
      <w:r w:rsidR="00256B6D">
        <w:t xml:space="preserve"> </w:t>
      </w:r>
      <w:r w:rsidR="00F44EEC">
        <w:t xml:space="preserve">de acuerdo a lo dispuesto en el artículo 40 del Acuerdo de Cartagena, </w:t>
      </w:r>
      <w:r w:rsidR="00256B6D">
        <w:t>el Tribunal de Justicia es el órgano jurisdiccional de la Comunidad Andina</w:t>
      </w:r>
      <w:r w:rsidR="00300CB4">
        <w:t>, el cual debe garantizar el cumplimiento estricto de los compromisos derivados del Acuerdo de Cartagena, con el fin de que la integración alcance los efectos que de ella esperan los pueblos de los Países Miembros</w:t>
      </w:r>
      <w:r w:rsidR="000D672F">
        <w:t>;</w:t>
      </w:r>
    </w:p>
    <w:p w:rsidR="00382868" w:rsidRDefault="00382868" w:rsidP="00C935D5">
      <w:pPr>
        <w:pStyle w:val="Estilo"/>
        <w:ind w:firstLine="709"/>
        <w:jc w:val="both"/>
      </w:pPr>
    </w:p>
    <w:p w:rsidR="00382868" w:rsidRDefault="00382868" w:rsidP="00C935D5">
      <w:pPr>
        <w:pStyle w:val="Estilo"/>
        <w:ind w:firstLine="709"/>
        <w:jc w:val="both"/>
      </w:pPr>
      <w:r>
        <w:t>Que</w:t>
      </w:r>
      <w:r w:rsidR="00896757">
        <w:t>,</w:t>
      </w:r>
      <w:r>
        <w:t xml:space="preserve"> </w:t>
      </w:r>
      <w:r w:rsidR="00300CB4">
        <w:t xml:space="preserve">el </w:t>
      </w:r>
      <w:r w:rsidR="00896757">
        <w:t xml:space="preserve">Tribunal de Justicia </w:t>
      </w:r>
      <w:r w:rsidR="00300CB4">
        <w:t>de la Comunidad Andina</w:t>
      </w:r>
      <w:r w:rsidR="003C7F28">
        <w:t xml:space="preserve"> ha comunicado que atraviesa por problemas presupuestales que </w:t>
      </w:r>
      <w:r w:rsidR="00300CB4">
        <w:t xml:space="preserve"> podría</w:t>
      </w:r>
      <w:r w:rsidR="003C7F28">
        <w:t>n</w:t>
      </w:r>
      <w:r w:rsidR="00300CB4">
        <w:t xml:space="preserve"> afectar </w:t>
      </w:r>
      <w:r w:rsidR="00896757">
        <w:t xml:space="preserve">su </w:t>
      </w:r>
      <w:r w:rsidR="000D672F">
        <w:t>funcionamiento;</w:t>
      </w:r>
      <w:r w:rsidR="00896757">
        <w:t xml:space="preserve"> </w:t>
      </w:r>
    </w:p>
    <w:p w:rsidR="00382868" w:rsidRDefault="00382868" w:rsidP="00C935D5">
      <w:pPr>
        <w:pStyle w:val="Estilo"/>
        <w:ind w:firstLine="709"/>
        <w:jc w:val="both"/>
      </w:pPr>
    </w:p>
    <w:p w:rsidR="009C77F1" w:rsidRPr="000E601B" w:rsidRDefault="007016E4" w:rsidP="00C935D5">
      <w:pPr>
        <w:pStyle w:val="Estilo"/>
        <w:ind w:firstLine="709"/>
        <w:jc w:val="both"/>
      </w:pPr>
      <w:r w:rsidRPr="000E601B">
        <w:t>Que</w:t>
      </w:r>
      <w:r w:rsidR="00896757">
        <w:t>,</w:t>
      </w:r>
      <w:r w:rsidRPr="000E601B">
        <w:t xml:space="preserve"> </w:t>
      </w:r>
      <w:r w:rsidR="00300CB4">
        <w:t xml:space="preserve">en ese contexto resulta </w:t>
      </w:r>
      <w:r w:rsidR="00262CFD">
        <w:t>necesario</w:t>
      </w:r>
      <w:r w:rsidR="007751AC">
        <w:t xml:space="preserve"> </w:t>
      </w:r>
      <w:r w:rsidR="00B53BB9">
        <w:t>adoptar las acciones pertinentes</w:t>
      </w:r>
      <w:r w:rsidR="007751AC">
        <w:t xml:space="preserve"> que</w:t>
      </w:r>
      <w:r w:rsidR="00B53BB9">
        <w:t xml:space="preserve"> permitan corregir</w:t>
      </w:r>
      <w:r w:rsidR="005D6E9C">
        <w:t xml:space="preserve"> la situación en la que se encuentra actualmente el Tribunal de Justicia de la Comunidad Andina; </w:t>
      </w:r>
    </w:p>
    <w:p w:rsidR="005715E5" w:rsidRPr="000E601B" w:rsidRDefault="005715E5" w:rsidP="008F683B">
      <w:pPr>
        <w:pStyle w:val="Estilo"/>
        <w:ind w:right="40" w:firstLine="720"/>
        <w:jc w:val="both"/>
      </w:pPr>
    </w:p>
    <w:p w:rsidR="005715E5" w:rsidRPr="000E601B" w:rsidRDefault="005715E5" w:rsidP="008F683B">
      <w:pPr>
        <w:pStyle w:val="Estilo"/>
        <w:ind w:right="40"/>
        <w:jc w:val="center"/>
        <w:rPr>
          <w:b/>
        </w:rPr>
      </w:pPr>
      <w:r w:rsidRPr="000E601B">
        <w:rPr>
          <w:b/>
        </w:rPr>
        <w:t>DECIDE:</w:t>
      </w:r>
    </w:p>
    <w:p w:rsidR="005715E5" w:rsidRPr="000E601B" w:rsidRDefault="005715E5" w:rsidP="008F683B">
      <w:pPr>
        <w:pStyle w:val="Estilo"/>
        <w:ind w:right="40"/>
        <w:jc w:val="both"/>
      </w:pPr>
    </w:p>
    <w:p w:rsidR="007C3391" w:rsidRPr="000E601B" w:rsidRDefault="005715E5" w:rsidP="008F683B">
      <w:pPr>
        <w:pStyle w:val="Estilo"/>
        <w:ind w:right="40" w:firstLine="720"/>
        <w:jc w:val="both"/>
        <w:rPr>
          <w:w w:val="105"/>
        </w:rPr>
      </w:pPr>
      <w:r w:rsidRPr="000E601B">
        <w:rPr>
          <w:b/>
          <w:w w:val="105"/>
        </w:rPr>
        <w:t>Artículo 1.-</w:t>
      </w:r>
      <w:r w:rsidRPr="000E601B">
        <w:rPr>
          <w:w w:val="105"/>
        </w:rPr>
        <w:t xml:space="preserve"> </w:t>
      </w:r>
      <w:r w:rsidR="00A17CDD">
        <w:rPr>
          <w:w w:val="105"/>
        </w:rPr>
        <w:t xml:space="preserve">Crear un Grupo de Alto Nivel conformado por los Viceministros de Comercio, o </w:t>
      </w:r>
      <w:r w:rsidR="00B53BB9">
        <w:rPr>
          <w:w w:val="105"/>
        </w:rPr>
        <w:t>lo</w:t>
      </w:r>
      <w:r w:rsidR="00A17CDD">
        <w:rPr>
          <w:w w:val="105"/>
        </w:rPr>
        <w:t>s representantes</w:t>
      </w:r>
      <w:r w:rsidR="00B53BB9">
        <w:rPr>
          <w:w w:val="105"/>
        </w:rPr>
        <w:t xml:space="preserve"> que </w:t>
      </w:r>
      <w:r w:rsidR="003C7F28">
        <w:rPr>
          <w:w w:val="105"/>
        </w:rPr>
        <w:t xml:space="preserve">éstos </w:t>
      </w:r>
      <w:r w:rsidR="00B53BB9">
        <w:rPr>
          <w:w w:val="105"/>
        </w:rPr>
        <w:t>designen</w:t>
      </w:r>
      <w:r w:rsidR="00A17CDD">
        <w:rPr>
          <w:w w:val="105"/>
        </w:rPr>
        <w:t>,</w:t>
      </w:r>
      <w:r w:rsidR="003101EB">
        <w:rPr>
          <w:w w:val="105"/>
        </w:rPr>
        <w:t xml:space="preserve"> </w:t>
      </w:r>
      <w:r w:rsidR="00B53BB9">
        <w:rPr>
          <w:w w:val="105"/>
        </w:rPr>
        <w:t>el cual</w:t>
      </w:r>
      <w:r w:rsidR="00B62A9F">
        <w:rPr>
          <w:w w:val="105"/>
        </w:rPr>
        <w:t xml:space="preserve"> se encargará</w:t>
      </w:r>
      <w:r w:rsidR="001B1EDB">
        <w:rPr>
          <w:w w:val="105"/>
        </w:rPr>
        <w:t xml:space="preserve"> de</w:t>
      </w:r>
      <w:r w:rsidR="00044B41">
        <w:rPr>
          <w:w w:val="105"/>
        </w:rPr>
        <w:t xml:space="preserve"> establecer </w:t>
      </w:r>
      <w:r w:rsidR="000D672F">
        <w:rPr>
          <w:w w:val="105"/>
        </w:rPr>
        <w:t xml:space="preserve">las </w:t>
      </w:r>
      <w:r w:rsidR="000F367B">
        <w:rPr>
          <w:w w:val="105"/>
        </w:rPr>
        <w:t xml:space="preserve">propuestas y </w:t>
      </w:r>
      <w:r w:rsidR="000D672F">
        <w:rPr>
          <w:w w:val="105"/>
        </w:rPr>
        <w:t xml:space="preserve">medidas </w:t>
      </w:r>
      <w:r w:rsidR="00B53BB9">
        <w:rPr>
          <w:w w:val="105"/>
        </w:rPr>
        <w:t xml:space="preserve">necesarias </w:t>
      </w:r>
      <w:r w:rsidR="00044B41">
        <w:rPr>
          <w:w w:val="105"/>
        </w:rPr>
        <w:t xml:space="preserve">para </w:t>
      </w:r>
      <w:r w:rsidR="00855781">
        <w:rPr>
          <w:w w:val="105"/>
        </w:rPr>
        <w:t>abordar</w:t>
      </w:r>
      <w:r w:rsidR="00044B41">
        <w:rPr>
          <w:w w:val="105"/>
        </w:rPr>
        <w:t xml:space="preserve"> la situación del Tribunal de Justicia de la Comunidad Andina.</w:t>
      </w:r>
      <w:r w:rsidR="00B53BB9">
        <w:rPr>
          <w:w w:val="105"/>
        </w:rPr>
        <w:t xml:space="preserve"> Este Grupo contará con el apoyo técnico del Grupo de Trabajo de Presupuesto de la Comunidad Andina y del Grupo Ad Hoc de Solución de Controversias.</w:t>
      </w:r>
    </w:p>
    <w:p w:rsidR="007C3391" w:rsidRPr="000E601B" w:rsidRDefault="007C3391" w:rsidP="008F683B">
      <w:pPr>
        <w:pStyle w:val="Estilo"/>
        <w:ind w:right="40" w:firstLine="720"/>
        <w:jc w:val="both"/>
        <w:rPr>
          <w:w w:val="105"/>
        </w:rPr>
      </w:pPr>
    </w:p>
    <w:p w:rsidR="00044B41" w:rsidRDefault="00044B41" w:rsidP="008F683B">
      <w:pPr>
        <w:pStyle w:val="Estilo"/>
        <w:ind w:right="40" w:firstLine="708"/>
        <w:jc w:val="both"/>
      </w:pPr>
      <w:r w:rsidRPr="000E601B">
        <w:rPr>
          <w:b/>
        </w:rPr>
        <w:t>Artículo 2.-</w:t>
      </w:r>
      <w:r w:rsidR="007D2CDD">
        <w:t xml:space="preserve"> En un plazo no mayor a</w:t>
      </w:r>
      <w:r>
        <w:t xml:space="preserve"> </w:t>
      </w:r>
      <w:r w:rsidR="00305BCB">
        <w:t xml:space="preserve">veinte </w:t>
      </w:r>
      <w:r>
        <w:t>(</w:t>
      </w:r>
      <w:r w:rsidR="00305BCB">
        <w:t>20</w:t>
      </w:r>
      <w:r>
        <w:t>) días</w:t>
      </w:r>
      <w:r w:rsidR="00305BCB">
        <w:t xml:space="preserve"> calendario</w:t>
      </w:r>
      <w:r>
        <w:t>, el Grup</w:t>
      </w:r>
      <w:r w:rsidR="00D177FD">
        <w:t xml:space="preserve">o de Alto Nivel </w:t>
      </w:r>
      <w:r w:rsidR="00556736">
        <w:t>adopta</w:t>
      </w:r>
      <w:r w:rsidR="00D177FD">
        <w:t xml:space="preserve">rá </w:t>
      </w:r>
      <w:r>
        <w:t xml:space="preserve">un plan de trabajo </w:t>
      </w:r>
      <w:r w:rsidR="00D177FD">
        <w:t xml:space="preserve">para </w:t>
      </w:r>
      <w:r w:rsidR="00855781">
        <w:t>abordar</w:t>
      </w:r>
      <w:r w:rsidR="00D177FD">
        <w:t xml:space="preserve"> la situación del </w:t>
      </w:r>
      <w:r w:rsidR="00B53BB9">
        <w:rPr>
          <w:w w:val="105"/>
        </w:rPr>
        <w:t>Tribunal de Justicia de la Comunidad Andina</w:t>
      </w:r>
      <w:r w:rsidR="00D177FD">
        <w:t xml:space="preserve">. </w:t>
      </w:r>
    </w:p>
    <w:p w:rsidR="00044B41" w:rsidRDefault="00044B41" w:rsidP="00044B41">
      <w:pPr>
        <w:pStyle w:val="Estilo"/>
        <w:ind w:right="40" w:firstLine="708"/>
        <w:jc w:val="both"/>
        <w:rPr>
          <w:b/>
        </w:rPr>
      </w:pPr>
    </w:p>
    <w:p w:rsidR="00044B41" w:rsidRDefault="00044B41" w:rsidP="00044B41">
      <w:pPr>
        <w:pStyle w:val="Estilo"/>
        <w:ind w:right="40" w:firstLine="708"/>
        <w:jc w:val="both"/>
      </w:pPr>
      <w:r w:rsidRPr="000E601B">
        <w:rPr>
          <w:b/>
        </w:rPr>
        <w:t xml:space="preserve">Artículo </w:t>
      </w:r>
      <w:r>
        <w:rPr>
          <w:b/>
        </w:rPr>
        <w:t>3</w:t>
      </w:r>
      <w:r w:rsidRPr="000E601B">
        <w:rPr>
          <w:b/>
        </w:rPr>
        <w:t>.-</w:t>
      </w:r>
      <w:r w:rsidR="00D177FD">
        <w:t xml:space="preserve"> En un plazo </w:t>
      </w:r>
      <w:r w:rsidR="00CA43FC">
        <w:t xml:space="preserve">no mayor </w:t>
      </w:r>
      <w:r w:rsidR="00D177FD">
        <w:t>de sesenta</w:t>
      </w:r>
      <w:r>
        <w:t xml:space="preserve"> (</w:t>
      </w:r>
      <w:r w:rsidR="00D177FD">
        <w:t>6</w:t>
      </w:r>
      <w:r>
        <w:t>0) días, el Grupo de Alto Nivel presentará a la Comisión de la Comu</w:t>
      </w:r>
      <w:r w:rsidR="00D177FD">
        <w:t>nidad Andina un in</w:t>
      </w:r>
      <w:r w:rsidR="007D2CDD">
        <w:t xml:space="preserve">forme con </w:t>
      </w:r>
      <w:r w:rsidR="000D672F">
        <w:rPr>
          <w:w w:val="105"/>
        </w:rPr>
        <w:t xml:space="preserve">las </w:t>
      </w:r>
      <w:r w:rsidR="000F367B">
        <w:rPr>
          <w:w w:val="105"/>
        </w:rPr>
        <w:t xml:space="preserve">propuestas y </w:t>
      </w:r>
      <w:r w:rsidR="000D672F">
        <w:rPr>
          <w:w w:val="105"/>
        </w:rPr>
        <w:t xml:space="preserve">medidas </w:t>
      </w:r>
      <w:r w:rsidR="007D2CDD">
        <w:t xml:space="preserve">que </w:t>
      </w:r>
      <w:r w:rsidR="00D177FD">
        <w:t xml:space="preserve">hayan </w:t>
      </w:r>
      <w:r w:rsidR="007D2CDD">
        <w:t xml:space="preserve">sido </w:t>
      </w:r>
      <w:r w:rsidR="000D672F">
        <w:t>identificada</w:t>
      </w:r>
      <w:r w:rsidR="007D2CDD">
        <w:t>s</w:t>
      </w:r>
      <w:r w:rsidR="00CA43FC">
        <w:t xml:space="preserve"> para abordar la situación del </w:t>
      </w:r>
      <w:r w:rsidR="00CA43FC">
        <w:rPr>
          <w:w w:val="105"/>
        </w:rPr>
        <w:t>Tribunal de Justicia de la Comunidad Andina</w:t>
      </w:r>
    </w:p>
    <w:p w:rsidR="00044B41" w:rsidRPr="00A635E2" w:rsidRDefault="00044B41" w:rsidP="008F683B">
      <w:pPr>
        <w:pStyle w:val="Estilo"/>
        <w:ind w:right="40" w:firstLine="708"/>
        <w:jc w:val="both"/>
        <w:rPr>
          <w:b/>
        </w:rPr>
      </w:pPr>
    </w:p>
    <w:p w:rsidR="005715E5" w:rsidRPr="00A635E2" w:rsidRDefault="005715E5" w:rsidP="008F683B">
      <w:pPr>
        <w:pStyle w:val="Estilo"/>
        <w:ind w:right="40" w:firstLine="708"/>
        <w:jc w:val="both"/>
        <w:rPr>
          <w:b/>
        </w:rPr>
      </w:pPr>
      <w:r w:rsidRPr="000E601B">
        <w:rPr>
          <w:b/>
        </w:rPr>
        <w:t xml:space="preserve">Artículo </w:t>
      </w:r>
      <w:r w:rsidR="00044B41">
        <w:rPr>
          <w:b/>
        </w:rPr>
        <w:t>4</w:t>
      </w:r>
      <w:r w:rsidRPr="000E601B">
        <w:rPr>
          <w:b/>
        </w:rPr>
        <w:t>.-</w:t>
      </w:r>
      <w:r w:rsidRPr="00A635E2">
        <w:t xml:space="preserve"> </w:t>
      </w:r>
      <w:r w:rsidR="00A635E2" w:rsidRPr="00A635E2">
        <w:t>La presente Decisión entrará en vigencia al día siguiente de su publicación en la Gaceta Oficial del Acuerdo de Cartagena.</w:t>
      </w:r>
    </w:p>
    <w:p w:rsidR="005715E5" w:rsidRPr="00A635E2" w:rsidRDefault="005715E5" w:rsidP="00A635E2">
      <w:pPr>
        <w:pStyle w:val="Estilo"/>
        <w:ind w:right="40" w:firstLine="708"/>
        <w:jc w:val="both"/>
        <w:rPr>
          <w:b/>
        </w:rPr>
      </w:pPr>
    </w:p>
    <w:p w:rsidR="00F124FA" w:rsidRPr="006A3944" w:rsidRDefault="005715E5" w:rsidP="006A3944">
      <w:pPr>
        <w:ind w:firstLine="708"/>
        <w:rPr>
          <w:rFonts w:cs="Arial"/>
          <w:szCs w:val="24"/>
        </w:rPr>
      </w:pPr>
      <w:r w:rsidRPr="000E601B">
        <w:rPr>
          <w:rFonts w:cs="Arial"/>
          <w:szCs w:val="24"/>
        </w:rPr>
        <w:t xml:space="preserve">Dada en la ciudad de Lima, Perú, a los </w:t>
      </w:r>
      <w:r w:rsidR="00B53BB9">
        <w:rPr>
          <w:rFonts w:cs="Arial"/>
          <w:szCs w:val="24"/>
        </w:rPr>
        <w:t>29</w:t>
      </w:r>
      <w:r w:rsidRPr="000E601B">
        <w:rPr>
          <w:rFonts w:cs="Arial"/>
          <w:szCs w:val="24"/>
        </w:rPr>
        <w:t xml:space="preserve"> días del mes de </w:t>
      </w:r>
      <w:r w:rsidR="004C0013">
        <w:rPr>
          <w:rFonts w:cs="Arial"/>
          <w:szCs w:val="24"/>
        </w:rPr>
        <w:t>abril</w:t>
      </w:r>
      <w:r w:rsidRPr="000E601B">
        <w:rPr>
          <w:rFonts w:cs="Arial"/>
          <w:szCs w:val="24"/>
        </w:rPr>
        <w:t xml:space="preserve"> del año dos mil </w:t>
      </w:r>
      <w:r w:rsidR="001C4D03" w:rsidRPr="000E601B">
        <w:rPr>
          <w:rFonts w:cs="Arial"/>
          <w:szCs w:val="24"/>
        </w:rPr>
        <w:t>diecinueve</w:t>
      </w:r>
    </w:p>
    <w:p w:rsidR="00F124FA" w:rsidRPr="000E601B" w:rsidRDefault="00F124FA" w:rsidP="008F683B">
      <w:pPr>
        <w:pStyle w:val="Textoindependiente"/>
        <w:jc w:val="left"/>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sectPr w:rsidR="00F124FA" w:rsidRPr="000E601B" w:rsidSect="00734C49">
      <w:headerReference w:type="even" r:id="rId9"/>
      <w:headerReference w:type="default" r:id="rId10"/>
      <w:pgSz w:w="11907" w:h="16840" w:code="9"/>
      <w:pgMar w:top="1247" w:right="1247" w:bottom="1021" w:left="1247" w:header="851" w:footer="567"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95" w:rsidRDefault="00656995" w:rsidP="00DC3F26">
      <w:r>
        <w:separator/>
      </w:r>
    </w:p>
  </w:endnote>
  <w:endnote w:type="continuationSeparator" w:id="0">
    <w:p w:rsidR="00656995" w:rsidRDefault="00656995" w:rsidP="00DC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95" w:rsidRDefault="00656995" w:rsidP="00DC3F26">
      <w:r>
        <w:separator/>
      </w:r>
    </w:p>
  </w:footnote>
  <w:footnote w:type="continuationSeparator" w:id="0">
    <w:p w:rsidR="00656995" w:rsidRDefault="00656995" w:rsidP="00DC3F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E4" w:rsidRDefault="00EB0952">
    <w:pPr>
      <w:pStyle w:val="Encabezado"/>
      <w:framePr w:wrap="around" w:vAnchor="text" w:hAnchor="margin" w:xAlign="center" w:y="1"/>
      <w:rPr>
        <w:rStyle w:val="Nmerodepgina"/>
      </w:rPr>
    </w:pPr>
    <w:r>
      <w:rPr>
        <w:rStyle w:val="Nmerodepgina"/>
      </w:rPr>
      <w:fldChar w:fldCharType="begin"/>
    </w:r>
    <w:r w:rsidR="004016E4">
      <w:rPr>
        <w:rStyle w:val="Nmerodepgina"/>
      </w:rPr>
      <w:instrText xml:space="preserve">PAGE  </w:instrText>
    </w:r>
    <w:r>
      <w:rPr>
        <w:rStyle w:val="Nmerodepgina"/>
      </w:rPr>
      <w:fldChar w:fldCharType="end"/>
    </w:r>
  </w:p>
  <w:p w:rsidR="004016E4" w:rsidRDefault="004016E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E4" w:rsidRPr="00734C49" w:rsidRDefault="00EA6AC3" w:rsidP="00734C49">
    <w:pPr>
      <w:pStyle w:val="Encabezado"/>
    </w:pPr>
    <w:r>
      <w:fldChar w:fldCharType="begin"/>
    </w:r>
    <w:r>
      <w:instrText xml:space="preserve"> PAGE   \* MERGEFORMAT </w:instrText>
    </w:r>
    <w:r>
      <w:fldChar w:fldCharType="separate"/>
    </w:r>
    <w:r w:rsidR="00D75669">
      <w:rPr>
        <w:noProof/>
      </w:rPr>
      <w:t>- 2 -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C033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D612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662B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9E5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C0FE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C2F8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EA02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438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EC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36E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A2CFB"/>
    <w:multiLevelType w:val="hybridMultilevel"/>
    <w:tmpl w:val="B944031C"/>
    <w:lvl w:ilvl="0" w:tplc="8BF0F860">
      <w:start w:val="1"/>
      <w:numFmt w:val="lowerLetter"/>
      <w:lvlText w:val="%1)"/>
      <w:lvlJc w:val="left"/>
      <w:pPr>
        <w:ind w:left="360" w:hanging="360"/>
      </w:pPr>
      <w:rPr>
        <w:rFonts w:ascii="Arial" w:eastAsia="Times New Roman" w:hAnsi="Arial" w:cs="Arial"/>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DAB2F9B"/>
    <w:multiLevelType w:val="hybridMultilevel"/>
    <w:tmpl w:val="26ECB4A2"/>
    <w:lvl w:ilvl="0" w:tplc="4A46DA34">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E5258"/>
    <w:multiLevelType w:val="hybridMultilevel"/>
    <w:tmpl w:val="38046B6A"/>
    <w:lvl w:ilvl="0" w:tplc="2AFC856E">
      <w:start w:val="1"/>
      <w:numFmt w:val="lowerLetter"/>
      <w:lvlText w:val="%1)"/>
      <w:lvlJc w:val="left"/>
      <w:pPr>
        <w:ind w:left="720" w:hanging="720"/>
      </w:pPr>
      <w:rPr>
        <w:rFonts w:ascii="Arial" w:eastAsia="Times New Roman" w:hAnsi="Arial" w:cs="Arial"/>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7F5144A"/>
    <w:multiLevelType w:val="hybridMultilevel"/>
    <w:tmpl w:val="27147DD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21"/>
    <w:rsid w:val="000001EF"/>
    <w:rsid w:val="00015A06"/>
    <w:rsid w:val="00016628"/>
    <w:rsid w:val="00042A78"/>
    <w:rsid w:val="00044B41"/>
    <w:rsid w:val="0004541E"/>
    <w:rsid w:val="00052C4C"/>
    <w:rsid w:val="00052D64"/>
    <w:rsid w:val="000549C5"/>
    <w:rsid w:val="00060F54"/>
    <w:rsid w:val="00071032"/>
    <w:rsid w:val="00076A86"/>
    <w:rsid w:val="00081930"/>
    <w:rsid w:val="00082548"/>
    <w:rsid w:val="000A2BA0"/>
    <w:rsid w:val="000A3A2C"/>
    <w:rsid w:val="000B3760"/>
    <w:rsid w:val="000B397E"/>
    <w:rsid w:val="000C1D6F"/>
    <w:rsid w:val="000C3A86"/>
    <w:rsid w:val="000D672F"/>
    <w:rsid w:val="000D7123"/>
    <w:rsid w:val="000E105C"/>
    <w:rsid w:val="000E236B"/>
    <w:rsid w:val="000E601B"/>
    <w:rsid w:val="000E6C7E"/>
    <w:rsid w:val="000F0FF4"/>
    <w:rsid w:val="000F367B"/>
    <w:rsid w:val="000F43DD"/>
    <w:rsid w:val="0010219C"/>
    <w:rsid w:val="00102CE4"/>
    <w:rsid w:val="00110135"/>
    <w:rsid w:val="00130FAD"/>
    <w:rsid w:val="0013719F"/>
    <w:rsid w:val="00162C1E"/>
    <w:rsid w:val="00171E6F"/>
    <w:rsid w:val="00174B48"/>
    <w:rsid w:val="0018075E"/>
    <w:rsid w:val="001841B9"/>
    <w:rsid w:val="00187127"/>
    <w:rsid w:val="00190C9E"/>
    <w:rsid w:val="00192FBD"/>
    <w:rsid w:val="001A3CD6"/>
    <w:rsid w:val="001A4C61"/>
    <w:rsid w:val="001A6EEB"/>
    <w:rsid w:val="001B1EDB"/>
    <w:rsid w:val="001C3152"/>
    <w:rsid w:val="001C4D03"/>
    <w:rsid w:val="001C56F8"/>
    <w:rsid w:val="001E2809"/>
    <w:rsid w:val="001E2F25"/>
    <w:rsid w:val="001F01EA"/>
    <w:rsid w:val="001F3D0B"/>
    <w:rsid w:val="001F758D"/>
    <w:rsid w:val="0020122A"/>
    <w:rsid w:val="00202C59"/>
    <w:rsid w:val="002119FF"/>
    <w:rsid w:val="00221E61"/>
    <w:rsid w:val="002318DD"/>
    <w:rsid w:val="002333D6"/>
    <w:rsid w:val="002356A4"/>
    <w:rsid w:val="0023682D"/>
    <w:rsid w:val="00255C0B"/>
    <w:rsid w:val="00256B6D"/>
    <w:rsid w:val="00262CFD"/>
    <w:rsid w:val="00270141"/>
    <w:rsid w:val="00270570"/>
    <w:rsid w:val="00272F96"/>
    <w:rsid w:val="00281A1B"/>
    <w:rsid w:val="00283479"/>
    <w:rsid w:val="00297959"/>
    <w:rsid w:val="002A1BE4"/>
    <w:rsid w:val="002B46A3"/>
    <w:rsid w:val="002D41FD"/>
    <w:rsid w:val="002E163B"/>
    <w:rsid w:val="002F4259"/>
    <w:rsid w:val="00300C35"/>
    <w:rsid w:val="00300CB4"/>
    <w:rsid w:val="003011EE"/>
    <w:rsid w:val="00305BCB"/>
    <w:rsid w:val="003101EB"/>
    <w:rsid w:val="0031630D"/>
    <w:rsid w:val="00321492"/>
    <w:rsid w:val="0032243C"/>
    <w:rsid w:val="003258CF"/>
    <w:rsid w:val="00333612"/>
    <w:rsid w:val="00336D16"/>
    <w:rsid w:val="00341124"/>
    <w:rsid w:val="003460A1"/>
    <w:rsid w:val="0035175E"/>
    <w:rsid w:val="003521C3"/>
    <w:rsid w:val="00355B2A"/>
    <w:rsid w:val="003563F9"/>
    <w:rsid w:val="00365C86"/>
    <w:rsid w:val="00382868"/>
    <w:rsid w:val="00382A90"/>
    <w:rsid w:val="003906A3"/>
    <w:rsid w:val="00396649"/>
    <w:rsid w:val="00396F45"/>
    <w:rsid w:val="003B681C"/>
    <w:rsid w:val="003C0C57"/>
    <w:rsid w:val="003C7F28"/>
    <w:rsid w:val="003D6566"/>
    <w:rsid w:val="003D6AE3"/>
    <w:rsid w:val="003E0784"/>
    <w:rsid w:val="003F68C8"/>
    <w:rsid w:val="004016E4"/>
    <w:rsid w:val="00410338"/>
    <w:rsid w:val="00440BAE"/>
    <w:rsid w:val="00446617"/>
    <w:rsid w:val="00452BB1"/>
    <w:rsid w:val="004611B5"/>
    <w:rsid w:val="0046270C"/>
    <w:rsid w:val="004637EB"/>
    <w:rsid w:val="00465023"/>
    <w:rsid w:val="004718AA"/>
    <w:rsid w:val="00471E16"/>
    <w:rsid w:val="004731AE"/>
    <w:rsid w:val="00484F14"/>
    <w:rsid w:val="00485331"/>
    <w:rsid w:val="00491904"/>
    <w:rsid w:val="004968EE"/>
    <w:rsid w:val="004969AB"/>
    <w:rsid w:val="004B1606"/>
    <w:rsid w:val="004B1FE3"/>
    <w:rsid w:val="004C0013"/>
    <w:rsid w:val="004D0AAC"/>
    <w:rsid w:val="004D54DA"/>
    <w:rsid w:val="004D6278"/>
    <w:rsid w:val="004E1CF9"/>
    <w:rsid w:val="0050001B"/>
    <w:rsid w:val="00500FA8"/>
    <w:rsid w:val="00536153"/>
    <w:rsid w:val="005418D6"/>
    <w:rsid w:val="005430E6"/>
    <w:rsid w:val="00554095"/>
    <w:rsid w:val="0055627E"/>
    <w:rsid w:val="00556736"/>
    <w:rsid w:val="005579DE"/>
    <w:rsid w:val="005605CC"/>
    <w:rsid w:val="00561740"/>
    <w:rsid w:val="005708A6"/>
    <w:rsid w:val="005715E5"/>
    <w:rsid w:val="00574A90"/>
    <w:rsid w:val="00576F7D"/>
    <w:rsid w:val="005856C1"/>
    <w:rsid w:val="005A2A38"/>
    <w:rsid w:val="005A3EAF"/>
    <w:rsid w:val="005A5E6F"/>
    <w:rsid w:val="005B247B"/>
    <w:rsid w:val="005B2A7D"/>
    <w:rsid w:val="005C00CE"/>
    <w:rsid w:val="005C3F6A"/>
    <w:rsid w:val="005C58C4"/>
    <w:rsid w:val="005D10CD"/>
    <w:rsid w:val="005D63C2"/>
    <w:rsid w:val="005D6E9C"/>
    <w:rsid w:val="005D74F8"/>
    <w:rsid w:val="005E338F"/>
    <w:rsid w:val="005E5885"/>
    <w:rsid w:val="006036F1"/>
    <w:rsid w:val="006038EB"/>
    <w:rsid w:val="006043F3"/>
    <w:rsid w:val="00605131"/>
    <w:rsid w:val="00610758"/>
    <w:rsid w:val="00611337"/>
    <w:rsid w:val="00612787"/>
    <w:rsid w:val="00613245"/>
    <w:rsid w:val="0061478A"/>
    <w:rsid w:val="00630D93"/>
    <w:rsid w:val="006409A3"/>
    <w:rsid w:val="006420A5"/>
    <w:rsid w:val="00642608"/>
    <w:rsid w:val="00645DF6"/>
    <w:rsid w:val="00645E4A"/>
    <w:rsid w:val="006467B4"/>
    <w:rsid w:val="00650FCD"/>
    <w:rsid w:val="0065333D"/>
    <w:rsid w:val="00653FCE"/>
    <w:rsid w:val="00656995"/>
    <w:rsid w:val="00665949"/>
    <w:rsid w:val="00667CF9"/>
    <w:rsid w:val="00673005"/>
    <w:rsid w:val="00681F04"/>
    <w:rsid w:val="0068687A"/>
    <w:rsid w:val="0069388E"/>
    <w:rsid w:val="006A3944"/>
    <w:rsid w:val="006C0195"/>
    <w:rsid w:val="006C23E9"/>
    <w:rsid w:val="006C31E3"/>
    <w:rsid w:val="006C6110"/>
    <w:rsid w:val="006E646D"/>
    <w:rsid w:val="006F3046"/>
    <w:rsid w:val="006F4062"/>
    <w:rsid w:val="007016E4"/>
    <w:rsid w:val="0070413E"/>
    <w:rsid w:val="00713D21"/>
    <w:rsid w:val="0071557C"/>
    <w:rsid w:val="007175A2"/>
    <w:rsid w:val="00721A67"/>
    <w:rsid w:val="00722B51"/>
    <w:rsid w:val="0072311E"/>
    <w:rsid w:val="00734C49"/>
    <w:rsid w:val="0073601E"/>
    <w:rsid w:val="00740202"/>
    <w:rsid w:val="00741923"/>
    <w:rsid w:val="00750FF3"/>
    <w:rsid w:val="00753A9A"/>
    <w:rsid w:val="0075475F"/>
    <w:rsid w:val="007577F2"/>
    <w:rsid w:val="00760FF5"/>
    <w:rsid w:val="00765967"/>
    <w:rsid w:val="0076748D"/>
    <w:rsid w:val="007729AB"/>
    <w:rsid w:val="00774414"/>
    <w:rsid w:val="007751AC"/>
    <w:rsid w:val="00783A74"/>
    <w:rsid w:val="00784F3A"/>
    <w:rsid w:val="00793FF0"/>
    <w:rsid w:val="00794B81"/>
    <w:rsid w:val="0079545C"/>
    <w:rsid w:val="007956A7"/>
    <w:rsid w:val="00796AD9"/>
    <w:rsid w:val="00797A9B"/>
    <w:rsid w:val="007A08BF"/>
    <w:rsid w:val="007A24B4"/>
    <w:rsid w:val="007A2899"/>
    <w:rsid w:val="007A7241"/>
    <w:rsid w:val="007B75B6"/>
    <w:rsid w:val="007C00D6"/>
    <w:rsid w:val="007C0F0D"/>
    <w:rsid w:val="007C250A"/>
    <w:rsid w:val="007C3391"/>
    <w:rsid w:val="007D125F"/>
    <w:rsid w:val="007D2CDD"/>
    <w:rsid w:val="007D4EAE"/>
    <w:rsid w:val="007D4EE6"/>
    <w:rsid w:val="007E05F5"/>
    <w:rsid w:val="00803633"/>
    <w:rsid w:val="00810D40"/>
    <w:rsid w:val="00817656"/>
    <w:rsid w:val="00821929"/>
    <w:rsid w:val="00824077"/>
    <w:rsid w:val="008271BC"/>
    <w:rsid w:val="00835A45"/>
    <w:rsid w:val="00855781"/>
    <w:rsid w:val="00862049"/>
    <w:rsid w:val="0086483D"/>
    <w:rsid w:val="00872CD5"/>
    <w:rsid w:val="00876CDF"/>
    <w:rsid w:val="00896757"/>
    <w:rsid w:val="008969E9"/>
    <w:rsid w:val="008A63C6"/>
    <w:rsid w:val="008A66CD"/>
    <w:rsid w:val="008B1F26"/>
    <w:rsid w:val="008B329B"/>
    <w:rsid w:val="008B5A41"/>
    <w:rsid w:val="008E04B5"/>
    <w:rsid w:val="008E05E5"/>
    <w:rsid w:val="008F3D9C"/>
    <w:rsid w:val="008F4BA1"/>
    <w:rsid w:val="008F683B"/>
    <w:rsid w:val="008F7BDA"/>
    <w:rsid w:val="00900570"/>
    <w:rsid w:val="00913627"/>
    <w:rsid w:val="00914940"/>
    <w:rsid w:val="009228F2"/>
    <w:rsid w:val="00933479"/>
    <w:rsid w:val="00940E7C"/>
    <w:rsid w:val="0094109F"/>
    <w:rsid w:val="00945CA7"/>
    <w:rsid w:val="00953823"/>
    <w:rsid w:val="00954D7C"/>
    <w:rsid w:val="00960830"/>
    <w:rsid w:val="00972884"/>
    <w:rsid w:val="009752A1"/>
    <w:rsid w:val="009850CE"/>
    <w:rsid w:val="00991B4A"/>
    <w:rsid w:val="009944D3"/>
    <w:rsid w:val="009A2A70"/>
    <w:rsid w:val="009A6430"/>
    <w:rsid w:val="009B09E3"/>
    <w:rsid w:val="009B4136"/>
    <w:rsid w:val="009C688A"/>
    <w:rsid w:val="009C70EF"/>
    <w:rsid w:val="009C77F1"/>
    <w:rsid w:val="009E199C"/>
    <w:rsid w:val="009E7021"/>
    <w:rsid w:val="009F3483"/>
    <w:rsid w:val="00A00A9C"/>
    <w:rsid w:val="00A07098"/>
    <w:rsid w:val="00A17CDD"/>
    <w:rsid w:val="00A212F9"/>
    <w:rsid w:val="00A40AA7"/>
    <w:rsid w:val="00A40D0F"/>
    <w:rsid w:val="00A52861"/>
    <w:rsid w:val="00A54D19"/>
    <w:rsid w:val="00A62EE1"/>
    <w:rsid w:val="00A635E2"/>
    <w:rsid w:val="00A91711"/>
    <w:rsid w:val="00A9734B"/>
    <w:rsid w:val="00AA570C"/>
    <w:rsid w:val="00AB6CE7"/>
    <w:rsid w:val="00AD371B"/>
    <w:rsid w:val="00AE1233"/>
    <w:rsid w:val="00AE4768"/>
    <w:rsid w:val="00AE51F2"/>
    <w:rsid w:val="00AF09BF"/>
    <w:rsid w:val="00AF7ED8"/>
    <w:rsid w:val="00B06FEA"/>
    <w:rsid w:val="00B1598D"/>
    <w:rsid w:val="00B17554"/>
    <w:rsid w:val="00B41FDA"/>
    <w:rsid w:val="00B53BB9"/>
    <w:rsid w:val="00B62A9F"/>
    <w:rsid w:val="00B632BC"/>
    <w:rsid w:val="00B669ED"/>
    <w:rsid w:val="00B67122"/>
    <w:rsid w:val="00B70B01"/>
    <w:rsid w:val="00B71E08"/>
    <w:rsid w:val="00B72148"/>
    <w:rsid w:val="00B73E9A"/>
    <w:rsid w:val="00B744C2"/>
    <w:rsid w:val="00B745E6"/>
    <w:rsid w:val="00B74AE7"/>
    <w:rsid w:val="00B75D98"/>
    <w:rsid w:val="00B80796"/>
    <w:rsid w:val="00B83A8D"/>
    <w:rsid w:val="00B83DFB"/>
    <w:rsid w:val="00BA03FC"/>
    <w:rsid w:val="00BA5C10"/>
    <w:rsid w:val="00BB1AD8"/>
    <w:rsid w:val="00BD3884"/>
    <w:rsid w:val="00BD4B3B"/>
    <w:rsid w:val="00BE27E3"/>
    <w:rsid w:val="00BF4F21"/>
    <w:rsid w:val="00BF5714"/>
    <w:rsid w:val="00C00611"/>
    <w:rsid w:val="00C0273C"/>
    <w:rsid w:val="00C12D32"/>
    <w:rsid w:val="00C15D57"/>
    <w:rsid w:val="00C17FDA"/>
    <w:rsid w:val="00C3111B"/>
    <w:rsid w:val="00C41645"/>
    <w:rsid w:val="00C4233A"/>
    <w:rsid w:val="00C44443"/>
    <w:rsid w:val="00C47D0E"/>
    <w:rsid w:val="00C50A96"/>
    <w:rsid w:val="00C51295"/>
    <w:rsid w:val="00C57F5F"/>
    <w:rsid w:val="00C604B0"/>
    <w:rsid w:val="00C64A09"/>
    <w:rsid w:val="00C65A1D"/>
    <w:rsid w:val="00C70C99"/>
    <w:rsid w:val="00C743AF"/>
    <w:rsid w:val="00C935D5"/>
    <w:rsid w:val="00C976AE"/>
    <w:rsid w:val="00CA3507"/>
    <w:rsid w:val="00CA43FC"/>
    <w:rsid w:val="00CB240F"/>
    <w:rsid w:val="00CB2E8A"/>
    <w:rsid w:val="00CD5436"/>
    <w:rsid w:val="00CD573C"/>
    <w:rsid w:val="00CE5464"/>
    <w:rsid w:val="00CF0DE6"/>
    <w:rsid w:val="00CF2AD6"/>
    <w:rsid w:val="00CF3D60"/>
    <w:rsid w:val="00CF4E79"/>
    <w:rsid w:val="00D03D0D"/>
    <w:rsid w:val="00D104A9"/>
    <w:rsid w:val="00D177FD"/>
    <w:rsid w:val="00D335E7"/>
    <w:rsid w:val="00D40316"/>
    <w:rsid w:val="00D4086D"/>
    <w:rsid w:val="00D53A07"/>
    <w:rsid w:val="00D6277C"/>
    <w:rsid w:val="00D75669"/>
    <w:rsid w:val="00D76811"/>
    <w:rsid w:val="00D80202"/>
    <w:rsid w:val="00D83CCD"/>
    <w:rsid w:val="00D927E6"/>
    <w:rsid w:val="00D95894"/>
    <w:rsid w:val="00DA3170"/>
    <w:rsid w:val="00DC1150"/>
    <w:rsid w:val="00DC3F26"/>
    <w:rsid w:val="00DC74BD"/>
    <w:rsid w:val="00DD4394"/>
    <w:rsid w:val="00DD5160"/>
    <w:rsid w:val="00DD5A82"/>
    <w:rsid w:val="00DF1721"/>
    <w:rsid w:val="00DF2FDA"/>
    <w:rsid w:val="00DF31EF"/>
    <w:rsid w:val="00E036AD"/>
    <w:rsid w:val="00E059C0"/>
    <w:rsid w:val="00E12AC2"/>
    <w:rsid w:val="00E17065"/>
    <w:rsid w:val="00E210DA"/>
    <w:rsid w:val="00E3136E"/>
    <w:rsid w:val="00E366BE"/>
    <w:rsid w:val="00E473A0"/>
    <w:rsid w:val="00E50C83"/>
    <w:rsid w:val="00E5464A"/>
    <w:rsid w:val="00E5577C"/>
    <w:rsid w:val="00E57B46"/>
    <w:rsid w:val="00E80154"/>
    <w:rsid w:val="00E84403"/>
    <w:rsid w:val="00E94358"/>
    <w:rsid w:val="00EA44F0"/>
    <w:rsid w:val="00EA6AC3"/>
    <w:rsid w:val="00EB059E"/>
    <w:rsid w:val="00EB0952"/>
    <w:rsid w:val="00EE313B"/>
    <w:rsid w:val="00EE31EF"/>
    <w:rsid w:val="00EE340E"/>
    <w:rsid w:val="00EF4EBC"/>
    <w:rsid w:val="00F0492B"/>
    <w:rsid w:val="00F06107"/>
    <w:rsid w:val="00F066DE"/>
    <w:rsid w:val="00F124FA"/>
    <w:rsid w:val="00F15394"/>
    <w:rsid w:val="00F35721"/>
    <w:rsid w:val="00F35C91"/>
    <w:rsid w:val="00F36A18"/>
    <w:rsid w:val="00F44EEC"/>
    <w:rsid w:val="00F6484B"/>
    <w:rsid w:val="00F658C6"/>
    <w:rsid w:val="00F664CB"/>
    <w:rsid w:val="00F7076B"/>
    <w:rsid w:val="00F7574E"/>
    <w:rsid w:val="00F80C57"/>
    <w:rsid w:val="00F83FF3"/>
    <w:rsid w:val="00F84D37"/>
    <w:rsid w:val="00F84ECF"/>
    <w:rsid w:val="00F93BEE"/>
    <w:rsid w:val="00F955FE"/>
    <w:rsid w:val="00F958EC"/>
    <w:rsid w:val="00F97DC1"/>
    <w:rsid w:val="00FB1BF7"/>
    <w:rsid w:val="00FB7E70"/>
    <w:rsid w:val="00FC286F"/>
    <w:rsid w:val="00FC3F39"/>
    <w:rsid w:val="00FC6932"/>
    <w:rsid w:val="00FD5992"/>
    <w:rsid w:val="00FD5D53"/>
    <w:rsid w:val="00FE50D6"/>
    <w:rsid w:val="00FE77FD"/>
    <w:rsid w:val="00FF01D1"/>
    <w:rsid w:val="00FF6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B7CF8"/>
  <w15:docId w15:val="{D135B3BD-84D6-47CC-BF28-97ED1848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21"/>
    <w:pPr>
      <w:jc w:val="both"/>
    </w:pPr>
    <w:rPr>
      <w:rFonts w:ascii="Arial" w:eastAsia="Times New Roman" w:hAnsi="Arial"/>
      <w:sz w:val="24"/>
      <w:lang w:val="es-ES_tradnl" w:eastAsia="es-ES"/>
    </w:rPr>
  </w:style>
  <w:style w:type="paragraph" w:styleId="Ttulo1">
    <w:name w:val="heading 1"/>
    <w:basedOn w:val="Normal"/>
    <w:next w:val="Normal"/>
    <w:link w:val="Ttulo1Car"/>
    <w:uiPriority w:val="9"/>
    <w:qFormat/>
    <w:rsid w:val="00D75669"/>
    <w:pPr>
      <w:keepNext/>
      <w:keepLines/>
      <w:spacing w:before="240"/>
      <w:jc w:val="left"/>
      <w:outlineLvl w:val="0"/>
    </w:pPr>
    <w:rPr>
      <w:rFonts w:asciiTheme="majorHAnsi" w:eastAsiaTheme="majorEastAsia" w:hAnsiTheme="majorHAnsi" w:cstheme="majorBidi"/>
      <w:color w:val="365F91"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13D21"/>
    <w:rPr>
      <w:rFonts w:ascii="Book Antiqua" w:hAnsi="Book Antiqua"/>
      <w:snapToGrid w:val="0"/>
    </w:rPr>
  </w:style>
  <w:style w:type="character" w:customStyle="1" w:styleId="TextoindependienteCar">
    <w:name w:val="Texto independiente Car"/>
    <w:link w:val="Textoindependiente"/>
    <w:rsid w:val="00713D21"/>
    <w:rPr>
      <w:rFonts w:ascii="Book Antiqua" w:eastAsia="Times New Roman" w:hAnsi="Book Antiqua" w:cs="Times New Roman"/>
      <w:snapToGrid/>
      <w:sz w:val="24"/>
      <w:szCs w:val="20"/>
      <w:lang w:val="es-ES_tradnl" w:eastAsia="es-ES"/>
    </w:rPr>
  </w:style>
  <w:style w:type="paragraph" w:styleId="Textoindependiente2">
    <w:name w:val="Body Text 2"/>
    <w:basedOn w:val="Normal"/>
    <w:link w:val="Textoindependiente2Car"/>
    <w:rsid w:val="00713D21"/>
    <w:pPr>
      <w:spacing w:after="120" w:line="480" w:lineRule="auto"/>
    </w:pPr>
  </w:style>
  <w:style w:type="character" w:customStyle="1" w:styleId="Textoindependiente2Car">
    <w:name w:val="Texto independiente 2 Car"/>
    <w:link w:val="Textoindependiente2"/>
    <w:rsid w:val="00713D21"/>
    <w:rPr>
      <w:rFonts w:ascii="Arial" w:eastAsia="Times New Roman" w:hAnsi="Arial" w:cs="Times New Roman"/>
      <w:sz w:val="24"/>
      <w:szCs w:val="20"/>
      <w:lang w:val="es-ES_tradnl" w:eastAsia="es-ES"/>
    </w:rPr>
  </w:style>
  <w:style w:type="paragraph" w:styleId="Ttulo">
    <w:name w:val="Title"/>
    <w:basedOn w:val="Normal"/>
    <w:link w:val="TtuloCar"/>
    <w:qFormat/>
    <w:rsid w:val="00713D21"/>
    <w:pPr>
      <w:jc w:val="center"/>
    </w:pPr>
    <w:rPr>
      <w:rFonts w:ascii="Times New Roman" w:hAnsi="Times New Roman"/>
      <w:sz w:val="40"/>
    </w:rPr>
  </w:style>
  <w:style w:type="character" w:customStyle="1" w:styleId="TtuloCar">
    <w:name w:val="Título Car"/>
    <w:link w:val="Ttulo"/>
    <w:rsid w:val="00713D21"/>
    <w:rPr>
      <w:rFonts w:ascii="Times New Roman" w:eastAsia="Times New Roman" w:hAnsi="Times New Roman" w:cs="Times New Roman"/>
      <w:sz w:val="40"/>
      <w:szCs w:val="20"/>
      <w:lang w:val="es-ES_tradnl" w:eastAsia="es-ES"/>
    </w:rPr>
  </w:style>
  <w:style w:type="paragraph" w:styleId="NormalWeb">
    <w:name w:val="Normal (Web)"/>
    <w:basedOn w:val="Normal"/>
    <w:uiPriority w:val="99"/>
    <w:rsid w:val="00713D21"/>
    <w:pPr>
      <w:spacing w:before="100" w:beforeAutospacing="1" w:after="100" w:afterAutospacing="1"/>
      <w:jc w:val="left"/>
    </w:pPr>
    <w:rPr>
      <w:rFonts w:ascii="Times New Roman" w:hAnsi="Times New Roman"/>
      <w:color w:val="333333"/>
      <w:szCs w:val="24"/>
      <w:lang w:val="es-ES"/>
    </w:rPr>
  </w:style>
  <w:style w:type="paragraph" w:styleId="Prrafodelista">
    <w:name w:val="List Paragraph"/>
    <w:basedOn w:val="Normal"/>
    <w:uiPriority w:val="34"/>
    <w:qFormat/>
    <w:rsid w:val="00713D21"/>
    <w:pPr>
      <w:ind w:left="708"/>
    </w:pPr>
  </w:style>
  <w:style w:type="paragraph" w:customStyle="1" w:styleId="Textosinformato1">
    <w:name w:val="Texto sin formato1"/>
    <w:basedOn w:val="Normal"/>
    <w:rsid w:val="00713D21"/>
    <w:pPr>
      <w:jc w:val="left"/>
    </w:pPr>
    <w:rPr>
      <w:rFonts w:ascii="Courier New" w:hAnsi="Courier New"/>
      <w:sz w:val="20"/>
      <w:lang w:val="es-ES"/>
    </w:rPr>
  </w:style>
  <w:style w:type="paragraph" w:styleId="Textodeglobo">
    <w:name w:val="Balloon Text"/>
    <w:basedOn w:val="Normal"/>
    <w:semiHidden/>
    <w:rsid w:val="008B329B"/>
    <w:rPr>
      <w:rFonts w:ascii="Tahoma" w:hAnsi="Tahoma" w:cs="Tahoma"/>
      <w:sz w:val="16"/>
      <w:szCs w:val="16"/>
    </w:rPr>
  </w:style>
  <w:style w:type="character" w:styleId="Refdecomentario">
    <w:name w:val="annotation reference"/>
    <w:semiHidden/>
    <w:rsid w:val="00BF5714"/>
    <w:rPr>
      <w:sz w:val="16"/>
      <w:szCs w:val="16"/>
    </w:rPr>
  </w:style>
  <w:style w:type="paragraph" w:styleId="Textocomentario">
    <w:name w:val="annotation text"/>
    <w:basedOn w:val="Normal"/>
    <w:semiHidden/>
    <w:rsid w:val="00BF5714"/>
    <w:rPr>
      <w:sz w:val="20"/>
    </w:rPr>
  </w:style>
  <w:style w:type="paragraph" w:styleId="Asuntodelcomentario">
    <w:name w:val="annotation subject"/>
    <w:basedOn w:val="Textocomentario"/>
    <w:next w:val="Textocomentario"/>
    <w:semiHidden/>
    <w:rsid w:val="00BF5714"/>
    <w:rPr>
      <w:b/>
      <w:bCs/>
    </w:rPr>
  </w:style>
  <w:style w:type="paragraph" w:styleId="Encabezado">
    <w:name w:val="header"/>
    <w:basedOn w:val="Normal"/>
    <w:link w:val="EncabezadoCar"/>
    <w:uiPriority w:val="99"/>
    <w:rsid w:val="0046270C"/>
    <w:pPr>
      <w:tabs>
        <w:tab w:val="center" w:pos="4252"/>
        <w:tab w:val="right" w:pos="8504"/>
      </w:tabs>
      <w:jc w:val="center"/>
    </w:pPr>
    <w:rPr>
      <w:rFonts w:eastAsia="Calibri"/>
      <w:sz w:val="22"/>
    </w:rPr>
  </w:style>
  <w:style w:type="character" w:customStyle="1" w:styleId="EncabezadoCar">
    <w:name w:val="Encabezado Car"/>
    <w:link w:val="Encabezado"/>
    <w:uiPriority w:val="99"/>
    <w:rsid w:val="0046270C"/>
    <w:rPr>
      <w:rFonts w:ascii="Arial" w:hAnsi="Arial"/>
      <w:sz w:val="22"/>
      <w:lang w:val="es-ES_tradnl" w:eastAsia="es-ES"/>
    </w:rPr>
  </w:style>
  <w:style w:type="character" w:styleId="Nmerodepgina">
    <w:name w:val="page number"/>
    <w:basedOn w:val="Fuentedeprrafopredeter"/>
    <w:rsid w:val="00793FF0"/>
  </w:style>
  <w:style w:type="paragraph" w:styleId="Piedepgina">
    <w:name w:val="footer"/>
    <w:basedOn w:val="Normal"/>
    <w:link w:val="PiedepginaCar"/>
    <w:uiPriority w:val="99"/>
    <w:semiHidden/>
    <w:unhideWhenUsed/>
    <w:rsid w:val="006E646D"/>
    <w:pPr>
      <w:tabs>
        <w:tab w:val="center" w:pos="4419"/>
        <w:tab w:val="right" w:pos="8838"/>
      </w:tabs>
    </w:pPr>
  </w:style>
  <w:style w:type="character" w:customStyle="1" w:styleId="PiedepginaCar">
    <w:name w:val="Pie de página Car"/>
    <w:link w:val="Piedepgina"/>
    <w:uiPriority w:val="99"/>
    <w:semiHidden/>
    <w:rsid w:val="006E646D"/>
    <w:rPr>
      <w:rFonts w:ascii="Arial" w:eastAsia="Times New Roman" w:hAnsi="Arial"/>
      <w:sz w:val="24"/>
      <w:lang w:val="es-ES_tradnl" w:eastAsia="es-ES"/>
    </w:rPr>
  </w:style>
  <w:style w:type="paragraph" w:styleId="Textonotapie">
    <w:name w:val="footnote text"/>
    <w:basedOn w:val="Normal"/>
    <w:link w:val="TextonotapieCar"/>
    <w:uiPriority w:val="99"/>
    <w:semiHidden/>
    <w:unhideWhenUsed/>
    <w:rsid w:val="004016E4"/>
    <w:rPr>
      <w:sz w:val="20"/>
    </w:rPr>
  </w:style>
  <w:style w:type="character" w:customStyle="1" w:styleId="TextonotapieCar">
    <w:name w:val="Texto nota pie Car"/>
    <w:link w:val="Textonotapie"/>
    <w:uiPriority w:val="99"/>
    <w:semiHidden/>
    <w:rsid w:val="004016E4"/>
    <w:rPr>
      <w:rFonts w:ascii="Arial" w:eastAsia="Times New Roman" w:hAnsi="Arial"/>
      <w:lang w:val="es-ES_tradnl" w:eastAsia="es-ES"/>
    </w:rPr>
  </w:style>
  <w:style w:type="character" w:styleId="Refdenotaalpie">
    <w:name w:val="footnote reference"/>
    <w:uiPriority w:val="99"/>
    <w:semiHidden/>
    <w:unhideWhenUsed/>
    <w:rsid w:val="004016E4"/>
    <w:rPr>
      <w:vertAlign w:val="superscript"/>
    </w:rPr>
  </w:style>
  <w:style w:type="paragraph" w:customStyle="1" w:styleId="Estilo">
    <w:name w:val="Estilo"/>
    <w:rsid w:val="005715E5"/>
    <w:pPr>
      <w:widowControl w:val="0"/>
      <w:autoSpaceDE w:val="0"/>
      <w:autoSpaceDN w:val="0"/>
      <w:adjustRightInd w:val="0"/>
    </w:pPr>
    <w:rPr>
      <w:rFonts w:ascii="Arial" w:eastAsia="Times New Roman" w:hAnsi="Arial" w:cs="Arial"/>
      <w:sz w:val="24"/>
      <w:szCs w:val="24"/>
    </w:rPr>
  </w:style>
  <w:style w:type="character" w:customStyle="1" w:styleId="Ttulo1Car">
    <w:name w:val="Título 1 Car"/>
    <w:basedOn w:val="Fuentedeprrafopredeter"/>
    <w:link w:val="Ttulo1"/>
    <w:uiPriority w:val="9"/>
    <w:rsid w:val="00D75669"/>
    <w:rPr>
      <w:rFonts w:asciiTheme="majorHAnsi" w:eastAsiaTheme="majorEastAsia" w:hAnsiTheme="majorHAnsi" w:cstheme="majorBidi"/>
      <w:color w:val="365F91" w:themeColor="accent1" w:themeShade="BF"/>
      <w:sz w:val="32"/>
      <w:szCs w:val="32"/>
      <w:lang w:val="es-ES" w:eastAsia="es-ES"/>
    </w:rPr>
  </w:style>
  <w:style w:type="paragraph" w:customStyle="1" w:styleId="Estilo2">
    <w:name w:val="Estilo2"/>
    <w:basedOn w:val="Normal"/>
    <w:rsid w:val="00D7566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F119-3C72-4558-BC31-3C1E3268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DECISIÓN 771 - POLÍTICA ARANCELARIA DE LA COMUNIDAD ANDINA</vt:lpstr>
    </vt:vector>
  </TitlesOfParts>
  <Manager>D.1.2</Manager>
  <Company>SGCAN</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DECISIÓN 771 - POLÍTICA ARANCELARIA DE LA COMUNIDAD ANDINA</dc:title>
  <dc:subject>07/12/2011</dc:subject>
  <dc:creator>Antonio Rodríguez</dc:creator>
  <cp:keywords>DECISIÓN 771</cp:keywords>
  <cp:lastModifiedBy>Miguel Hinostroza Villafuerte</cp:lastModifiedBy>
  <cp:revision>8</cp:revision>
  <cp:lastPrinted>2019-04-24T17:15:00Z</cp:lastPrinted>
  <dcterms:created xsi:type="dcterms:W3CDTF">2019-04-29T21:31:00Z</dcterms:created>
  <dcterms:modified xsi:type="dcterms:W3CDTF">2019-04-30T00:22:00Z</dcterms:modified>
  <cp:category>Decisiones</cp:category>
</cp:coreProperties>
</file>