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2E" w:rsidRDefault="00EA5E2E" w:rsidP="00EA5E2E">
      <w:pPr>
        <w:spacing w:line="264" w:lineRule="exact"/>
        <w:ind w:hanging="2880"/>
        <w:jc w:val="center"/>
        <w:rPr>
          <w:b/>
          <w:snapToGrid w:val="0"/>
          <w:u w:val="single"/>
        </w:rPr>
      </w:pPr>
      <w:bookmarkStart w:id="0" w:name="_GoBack"/>
      <w:bookmarkEnd w:id="0"/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F36B526" wp14:editId="00D05723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2103120" cy="504190"/>
            <wp:effectExtent l="1905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E2E" w:rsidRDefault="00EA5E2E" w:rsidP="00EA5E2E">
      <w:pPr>
        <w:spacing w:line="264" w:lineRule="exact"/>
        <w:rPr>
          <w:b/>
          <w:snapToGrid w:val="0"/>
          <w:u w:val="single"/>
        </w:rPr>
      </w:pPr>
    </w:p>
    <w:p w:rsidR="00EA5E2E" w:rsidRDefault="00EA5E2E" w:rsidP="00EA5E2E">
      <w:pPr>
        <w:pStyle w:val="Ttulo1"/>
      </w:pPr>
    </w:p>
    <w:p w:rsidR="00EA5E2E" w:rsidRDefault="00EA5E2E" w:rsidP="00EA5E2E">
      <w:pPr>
        <w:ind w:right="5017"/>
        <w:rPr>
          <w:rFonts w:eastAsia="Calibri" w:cs="Arial"/>
          <w:sz w:val="22"/>
          <w:szCs w:val="22"/>
        </w:rPr>
      </w:pPr>
    </w:p>
    <w:p w:rsidR="00EA5E2E" w:rsidRDefault="00EA5E2E" w:rsidP="00EA5E2E">
      <w:pPr>
        <w:ind w:right="5017"/>
        <w:rPr>
          <w:rFonts w:eastAsia="Calibri" w:cs="Arial"/>
          <w:sz w:val="22"/>
          <w:szCs w:val="22"/>
        </w:rPr>
      </w:pPr>
    </w:p>
    <w:p w:rsidR="00EA5E2E" w:rsidRPr="008F4B7C" w:rsidRDefault="00EA5E2E" w:rsidP="00EA5E2E">
      <w:pPr>
        <w:ind w:right="5017"/>
        <w:rPr>
          <w:rFonts w:eastAsia="Calibri" w:cs="Arial"/>
          <w:sz w:val="22"/>
          <w:szCs w:val="22"/>
        </w:rPr>
      </w:pPr>
      <w:r w:rsidRPr="008F4B7C">
        <w:rPr>
          <w:rFonts w:eastAsia="Calibri" w:cs="Arial"/>
          <w:sz w:val="22"/>
          <w:szCs w:val="22"/>
        </w:rPr>
        <w:t>PERIODO CIENTO VEINTE DE SESIONES</w:t>
      </w:r>
    </w:p>
    <w:p w:rsidR="00EA5E2E" w:rsidRPr="008F4B7C" w:rsidRDefault="00EA5E2E" w:rsidP="00EA5E2E">
      <w:pPr>
        <w:ind w:right="5017"/>
        <w:rPr>
          <w:rFonts w:eastAsia="Calibri" w:cs="Arial"/>
          <w:sz w:val="22"/>
          <w:szCs w:val="22"/>
        </w:rPr>
      </w:pPr>
      <w:r w:rsidRPr="008F4B7C">
        <w:rPr>
          <w:rFonts w:eastAsia="Calibri" w:cs="Arial"/>
          <w:sz w:val="22"/>
          <w:szCs w:val="22"/>
        </w:rPr>
        <w:t>ORDINARIAS DE LA COMISION</w:t>
      </w:r>
    </w:p>
    <w:p w:rsidR="00EA5E2E" w:rsidRPr="008F4B7C" w:rsidRDefault="00EA5E2E" w:rsidP="00EA5E2E">
      <w:pPr>
        <w:ind w:right="5017"/>
        <w:rPr>
          <w:rFonts w:eastAsia="Calibri" w:cs="Arial"/>
          <w:sz w:val="22"/>
          <w:szCs w:val="22"/>
        </w:rPr>
      </w:pPr>
      <w:r w:rsidRPr="008F4B7C">
        <w:rPr>
          <w:rFonts w:eastAsia="Calibri" w:cs="Arial"/>
          <w:sz w:val="22"/>
          <w:szCs w:val="22"/>
        </w:rPr>
        <w:t>29 de abril de 2019</w:t>
      </w:r>
    </w:p>
    <w:p w:rsidR="00EA5E2E" w:rsidRPr="008F4B7C" w:rsidRDefault="00EA5E2E" w:rsidP="00EA5E2E">
      <w:pPr>
        <w:ind w:right="5017"/>
        <w:rPr>
          <w:rFonts w:eastAsia="Calibri" w:cs="Arial"/>
          <w:sz w:val="22"/>
          <w:szCs w:val="22"/>
        </w:rPr>
      </w:pPr>
      <w:r w:rsidRPr="008F4B7C">
        <w:rPr>
          <w:rFonts w:eastAsia="Calibri" w:cs="Arial"/>
          <w:sz w:val="22"/>
          <w:szCs w:val="22"/>
        </w:rPr>
        <w:t>LIMA – PERU</w:t>
      </w:r>
    </w:p>
    <w:p w:rsidR="00EA5E2E" w:rsidRDefault="00EA5E2E" w:rsidP="00EA5E2E">
      <w:pPr>
        <w:ind w:right="5017"/>
        <w:rPr>
          <w:rFonts w:eastAsia="Calibri" w:cs="Arial"/>
          <w:sz w:val="22"/>
          <w:szCs w:val="22"/>
        </w:rPr>
      </w:pPr>
      <w:r w:rsidRPr="008F4B7C">
        <w:rPr>
          <w:rFonts w:eastAsia="Calibri" w:cs="Arial"/>
          <w:sz w:val="22"/>
          <w:szCs w:val="22"/>
        </w:rPr>
        <w:t>Modalidad presencial</w:t>
      </w:r>
    </w:p>
    <w:p w:rsidR="007C1850" w:rsidRPr="008F4B7C" w:rsidRDefault="007C1850" w:rsidP="00EA5E2E">
      <w:pPr>
        <w:ind w:right="5017"/>
        <w:rPr>
          <w:rFonts w:eastAsia="Calibri" w:cs="Arial"/>
          <w:sz w:val="22"/>
          <w:szCs w:val="22"/>
        </w:rPr>
      </w:pPr>
    </w:p>
    <w:p w:rsidR="004E1CF9" w:rsidRPr="000E601B" w:rsidRDefault="004E1CF9" w:rsidP="008F683B">
      <w:pPr>
        <w:pStyle w:val="Ttulo"/>
        <w:rPr>
          <w:rFonts w:ascii="Arial" w:hAnsi="Arial" w:cs="Arial"/>
          <w:b/>
          <w:sz w:val="24"/>
          <w:szCs w:val="24"/>
        </w:rPr>
      </w:pPr>
      <w:r w:rsidRPr="000E601B">
        <w:rPr>
          <w:rFonts w:ascii="Arial" w:hAnsi="Arial" w:cs="Arial"/>
          <w:b/>
          <w:sz w:val="24"/>
          <w:szCs w:val="24"/>
        </w:rPr>
        <w:t>DECISIÓN</w:t>
      </w:r>
      <w:r w:rsidR="008F683B" w:rsidRPr="000E601B">
        <w:rPr>
          <w:rFonts w:ascii="Arial" w:hAnsi="Arial" w:cs="Arial"/>
          <w:b/>
          <w:sz w:val="24"/>
          <w:szCs w:val="24"/>
        </w:rPr>
        <w:t xml:space="preserve"> </w:t>
      </w:r>
      <w:r w:rsidR="00245E6A">
        <w:rPr>
          <w:rFonts w:ascii="Arial" w:hAnsi="Arial" w:cs="Arial"/>
          <w:b/>
          <w:sz w:val="24"/>
          <w:szCs w:val="24"/>
        </w:rPr>
        <w:t>839</w:t>
      </w:r>
    </w:p>
    <w:p w:rsidR="00EE313B" w:rsidRDefault="00EE313B" w:rsidP="008F683B">
      <w:pPr>
        <w:pStyle w:val="Estilo"/>
        <w:ind w:left="5103" w:right="57"/>
        <w:jc w:val="both"/>
      </w:pPr>
    </w:p>
    <w:p w:rsidR="005715E5" w:rsidRPr="000E601B" w:rsidRDefault="007D4EAE" w:rsidP="008F683B">
      <w:pPr>
        <w:pStyle w:val="Estilo"/>
        <w:ind w:left="5103" w:right="57"/>
        <w:jc w:val="both"/>
      </w:pPr>
      <w:r w:rsidRPr="000E601B">
        <w:t>Incorporar al Perú dentro</w:t>
      </w:r>
      <w:r w:rsidR="005715E5" w:rsidRPr="000E601B">
        <w:t xml:space="preserve"> del plazo </w:t>
      </w:r>
      <w:r w:rsidRPr="000E601B">
        <w:t>máximo estipulado, para atender la revaluación de todos los PQUA registrados con anterioridad a la entrada en vigencia de la Decisión 436,</w:t>
      </w:r>
    </w:p>
    <w:p w:rsidR="005715E5" w:rsidRPr="000E601B" w:rsidRDefault="005715E5" w:rsidP="008F683B">
      <w:pPr>
        <w:pStyle w:val="Estilo"/>
        <w:ind w:right="662"/>
      </w:pPr>
    </w:p>
    <w:p w:rsidR="005715E5" w:rsidRPr="00AC47E9" w:rsidRDefault="005715E5" w:rsidP="008F683B">
      <w:pPr>
        <w:pStyle w:val="Estilo"/>
        <w:ind w:right="662" w:firstLine="708"/>
        <w:jc w:val="both"/>
        <w:rPr>
          <w:b/>
        </w:rPr>
      </w:pPr>
      <w:r w:rsidRPr="00AC47E9">
        <w:rPr>
          <w:b/>
        </w:rPr>
        <w:t>LA COMISIÓN DE LA COMUNIDAD ANDINA,</w:t>
      </w:r>
    </w:p>
    <w:p w:rsidR="005715E5" w:rsidRPr="00436A11" w:rsidRDefault="005715E5" w:rsidP="008F683B">
      <w:pPr>
        <w:pStyle w:val="Estilo"/>
        <w:ind w:right="662"/>
        <w:jc w:val="both"/>
      </w:pPr>
    </w:p>
    <w:p w:rsidR="005715E5" w:rsidRPr="000E601B" w:rsidRDefault="005715E5" w:rsidP="007016E4">
      <w:pPr>
        <w:pStyle w:val="Estilo"/>
        <w:ind w:firstLine="708"/>
        <w:jc w:val="both"/>
      </w:pPr>
      <w:r w:rsidRPr="00AC47E9">
        <w:rPr>
          <w:b/>
        </w:rPr>
        <w:t>VISTOS:</w:t>
      </w:r>
      <w:r w:rsidRPr="00436A11">
        <w:t xml:space="preserve"> </w:t>
      </w:r>
      <w:r w:rsidR="007016E4" w:rsidRPr="00436A11">
        <w:t>El Artículo 87 y el Artículo 88 del Acuerdo de Cartagena; la Decisión 804; y,</w:t>
      </w:r>
      <w:r w:rsidR="007016E4" w:rsidRPr="000E601B">
        <w:t xml:space="preserve"> la Resolución 630 de la Secretaría General;</w:t>
      </w:r>
    </w:p>
    <w:p w:rsidR="007016E4" w:rsidRPr="000E601B" w:rsidRDefault="007016E4" w:rsidP="00613245">
      <w:pPr>
        <w:pStyle w:val="Estilo"/>
        <w:ind w:firstLine="720"/>
        <w:jc w:val="both"/>
      </w:pPr>
    </w:p>
    <w:p w:rsidR="007016E4" w:rsidRPr="000E601B" w:rsidRDefault="005715E5" w:rsidP="00436A11">
      <w:pPr>
        <w:pStyle w:val="Estilo"/>
        <w:ind w:firstLine="720"/>
        <w:jc w:val="both"/>
      </w:pPr>
      <w:r w:rsidRPr="00AC47E9">
        <w:rPr>
          <w:b/>
        </w:rPr>
        <w:t>CONSIDERANDO:</w:t>
      </w:r>
      <w:r w:rsidRPr="00436A11">
        <w:t xml:space="preserve"> </w:t>
      </w:r>
      <w:r w:rsidR="007016E4" w:rsidRPr="00436A11">
        <w:t>Que</w:t>
      </w:r>
      <w:r w:rsidR="00AC47E9">
        <w:t>,</w:t>
      </w:r>
      <w:r w:rsidR="007016E4" w:rsidRPr="00436A11">
        <w:t xml:space="preserve"> el Acuerdo de Cartagena en su Artículo 87 establece que co</w:t>
      </w:r>
      <w:r w:rsidR="007016E4" w:rsidRPr="000E601B">
        <w:t>n el propósito de impulsar el desarrollo agropecuario y agroindustrial conjunto y alcanzar un mayor grado de seguridad alimentaria subregional, los Países Miembros ejecutarán un Programa de Desarrollo Agropecuario y Agroindustrial, armonizarán sus políticas y coordinarán sus planes nacionales del sector;</w:t>
      </w:r>
    </w:p>
    <w:p w:rsidR="007016E4" w:rsidRPr="000E601B" w:rsidRDefault="007016E4" w:rsidP="007016E4">
      <w:pPr>
        <w:pStyle w:val="Estilo"/>
        <w:ind w:firstLine="709"/>
      </w:pPr>
    </w:p>
    <w:p w:rsidR="007016E4" w:rsidRPr="000E601B" w:rsidRDefault="007016E4" w:rsidP="009B09E3">
      <w:pPr>
        <w:pStyle w:val="Estilo"/>
        <w:ind w:firstLine="709"/>
        <w:jc w:val="both"/>
      </w:pPr>
      <w:r w:rsidRPr="000E601B">
        <w:t>Que</w:t>
      </w:r>
      <w:r w:rsidR="00AC47E9">
        <w:t>,</w:t>
      </w:r>
      <w:r w:rsidRPr="000E601B">
        <w:t xml:space="preserve"> en su Artículo 88 el Acuerdo de Cartagena determina que para el</w:t>
      </w:r>
      <w:r w:rsidR="009B09E3" w:rsidRPr="000E601B">
        <w:t xml:space="preserve"> </w:t>
      </w:r>
      <w:r w:rsidRPr="000E601B">
        <w:t xml:space="preserve">cumplimiento de objetivos a los que se refiere el Artículo 87, la Comisión, a propuesta de la Secretaría General, tomará, entre otras medidas, normas y programas comunes sobre sanidad vegetal y animal; </w:t>
      </w:r>
    </w:p>
    <w:p w:rsidR="007016E4" w:rsidRPr="000E601B" w:rsidRDefault="007016E4" w:rsidP="007016E4">
      <w:pPr>
        <w:pStyle w:val="Estilo"/>
        <w:ind w:firstLine="720"/>
      </w:pPr>
    </w:p>
    <w:p w:rsidR="00BE27E3" w:rsidRPr="000E601B" w:rsidRDefault="005715E5" w:rsidP="0069388E">
      <w:pPr>
        <w:pStyle w:val="Estilo"/>
        <w:ind w:firstLine="720"/>
        <w:jc w:val="both"/>
      </w:pPr>
      <w:r w:rsidRPr="000E601B">
        <w:t>Que</w:t>
      </w:r>
      <w:r w:rsidR="00AC47E9">
        <w:t>,</w:t>
      </w:r>
      <w:r w:rsidRPr="000E601B">
        <w:t xml:space="preserve"> mediante la</w:t>
      </w:r>
      <w:r w:rsidR="009C77F1" w:rsidRPr="000E601B">
        <w:t xml:space="preserve"> Primera Disposición Complementaria de </w:t>
      </w:r>
      <w:r w:rsidR="007C3391" w:rsidRPr="000E601B">
        <w:t>la Decisión</w:t>
      </w:r>
      <w:r w:rsidRPr="000E601B">
        <w:t xml:space="preserve"> </w:t>
      </w:r>
      <w:r w:rsidR="007D4EAE" w:rsidRPr="000E601B">
        <w:t xml:space="preserve">804, </w:t>
      </w:r>
      <w:r w:rsidRPr="000E601B">
        <w:t xml:space="preserve">se </w:t>
      </w:r>
      <w:r w:rsidR="007D4EAE" w:rsidRPr="000E601B">
        <w:t>establec</w:t>
      </w:r>
      <w:r w:rsidR="00E473A0" w:rsidRPr="000E601B">
        <w:t>e</w:t>
      </w:r>
      <w:r w:rsidR="00613245" w:rsidRPr="000E601B">
        <w:t xml:space="preserve"> </w:t>
      </w:r>
      <w:r w:rsidR="00E473A0" w:rsidRPr="000E601B">
        <w:t xml:space="preserve">que </w:t>
      </w:r>
      <w:r w:rsidR="00613245" w:rsidRPr="000E601B">
        <w:t>l</w:t>
      </w:r>
      <w:r w:rsidR="007D4EAE" w:rsidRPr="000E601B">
        <w:t>a revaluación de todos los PQUA registrados con anterioridad a la entrada en vigencia de la Decisión 436, concluirá indefectiblemente el 25 de junio de 2019</w:t>
      </w:r>
      <w:r w:rsidR="007C3391" w:rsidRPr="000E601B">
        <w:t>.</w:t>
      </w:r>
      <w:r w:rsidR="007D4EAE" w:rsidRPr="000E601B">
        <w:t xml:space="preserve"> </w:t>
      </w:r>
      <w:r w:rsidR="007C3391" w:rsidRPr="000E601B">
        <w:t>De manera excepcional se establece para Bolivia, que el plazo queda establecido hasta el 25 de junio del 2025</w:t>
      </w:r>
      <w:r w:rsidR="0069388E" w:rsidRPr="000E601B">
        <w:t xml:space="preserve">; asimismo, dispone que </w:t>
      </w:r>
      <w:r w:rsidR="00BE27E3" w:rsidRPr="000E601B">
        <w:t>los registros de plaguicidas químicos de uso agrícola otorgados con anterioridad a la entrada en vigencia de la Decisión 436, que al 25 de junio de 2019 no cuenten con un acto administrativo, indefectiblemente quedarán sin efecto y automáticamente cancelados</w:t>
      </w:r>
      <w:r w:rsidR="007C3391" w:rsidRPr="000E601B">
        <w:t>. En el caso de Bolivia, este plazo vence el 25 de junio del 2025</w:t>
      </w:r>
      <w:r w:rsidR="00F35C91" w:rsidRPr="000E601B">
        <w:t>;</w:t>
      </w:r>
      <w:r w:rsidR="00BE27E3" w:rsidRPr="000E601B">
        <w:t xml:space="preserve"> </w:t>
      </w:r>
    </w:p>
    <w:p w:rsidR="00BE27E3" w:rsidRPr="000E601B" w:rsidRDefault="00BE27E3" w:rsidP="00613245">
      <w:pPr>
        <w:pStyle w:val="Estilo"/>
        <w:ind w:firstLine="720"/>
        <w:jc w:val="both"/>
      </w:pPr>
    </w:p>
    <w:p w:rsidR="00E473A0" w:rsidRPr="000E601B" w:rsidRDefault="00E473A0" w:rsidP="00613245">
      <w:pPr>
        <w:pStyle w:val="Estilo"/>
        <w:ind w:firstLine="720"/>
        <w:jc w:val="both"/>
      </w:pPr>
      <w:r w:rsidRPr="000E601B">
        <w:t>Que</w:t>
      </w:r>
      <w:r w:rsidR="00BE27E3" w:rsidRPr="000E601B">
        <w:t xml:space="preserve">, </w:t>
      </w:r>
      <w:r w:rsidR="007C3391" w:rsidRPr="000E601B">
        <w:t>la República del</w:t>
      </w:r>
      <w:r w:rsidRPr="000E601B">
        <w:t xml:space="preserve"> Perú ha solicitado ser considerado dentro del plazo establecido para Bolivia, en razón que </w:t>
      </w:r>
      <w:r w:rsidR="00F35C91" w:rsidRPr="000E601B">
        <w:t xml:space="preserve">hasta el 25 de junio de 2019, </w:t>
      </w:r>
      <w:r w:rsidR="0069388E" w:rsidRPr="000E601B">
        <w:t>no podrá</w:t>
      </w:r>
      <w:r w:rsidR="00F35C91" w:rsidRPr="000E601B">
        <w:t xml:space="preserve"> culminar con la revaluación de los expedientes de revaluación que mantiene pendientes y por lo tanto los plaguicidas asociados quedarían automáticamente cancelados, ocasionando una seria afectación a los titulares de registro</w:t>
      </w:r>
      <w:r w:rsidR="0069388E" w:rsidRPr="000E601B">
        <w:t xml:space="preserve"> sin haber concluido justificadamente su revaluación</w:t>
      </w:r>
      <w:r w:rsidR="00F35C91" w:rsidRPr="000E601B">
        <w:t>;</w:t>
      </w:r>
    </w:p>
    <w:p w:rsidR="00F35C91" w:rsidRPr="000E601B" w:rsidRDefault="00F35C91" w:rsidP="00613245">
      <w:pPr>
        <w:pStyle w:val="Estilo"/>
        <w:ind w:firstLine="720"/>
        <w:jc w:val="both"/>
      </w:pPr>
    </w:p>
    <w:p w:rsidR="009C77F1" w:rsidRPr="000E601B" w:rsidRDefault="0004541E" w:rsidP="009C77F1">
      <w:pPr>
        <w:pStyle w:val="Estilo"/>
        <w:ind w:right="40" w:firstLine="709"/>
        <w:jc w:val="both"/>
      </w:pPr>
      <w:r w:rsidRPr="000E601B">
        <w:t xml:space="preserve">Que, se requiere que todos los países </w:t>
      </w:r>
      <w:r w:rsidR="00283479" w:rsidRPr="000E601B">
        <w:t xml:space="preserve">miembros </w:t>
      </w:r>
      <w:r w:rsidRPr="000E601B">
        <w:t xml:space="preserve">culminen sus procedimientos </w:t>
      </w:r>
      <w:r w:rsidR="009C77F1" w:rsidRPr="000E601B">
        <w:lastRenderedPageBreak/>
        <w:t>de revaluación</w:t>
      </w:r>
      <w:r w:rsidR="007C3391" w:rsidRPr="000E601B">
        <w:t xml:space="preserve"> de los PQUA registrados con anterioridad a la entrada en vigencia de la Decisión 436;</w:t>
      </w:r>
      <w:r w:rsidR="009C77F1" w:rsidRPr="000E601B">
        <w:t xml:space="preserve"> </w:t>
      </w:r>
    </w:p>
    <w:p w:rsidR="005715E5" w:rsidRPr="000E601B" w:rsidRDefault="005715E5" w:rsidP="008F683B">
      <w:pPr>
        <w:pStyle w:val="Estilo"/>
        <w:ind w:right="40" w:firstLine="720"/>
        <w:jc w:val="both"/>
      </w:pPr>
    </w:p>
    <w:p w:rsidR="005715E5" w:rsidRPr="000E601B" w:rsidRDefault="005715E5" w:rsidP="008F683B">
      <w:pPr>
        <w:pStyle w:val="Estilo"/>
        <w:ind w:right="40"/>
        <w:jc w:val="center"/>
        <w:rPr>
          <w:b/>
        </w:rPr>
      </w:pPr>
      <w:r w:rsidRPr="000E601B">
        <w:rPr>
          <w:b/>
        </w:rPr>
        <w:t>DECIDE:</w:t>
      </w:r>
    </w:p>
    <w:p w:rsidR="005715E5" w:rsidRPr="000E601B" w:rsidRDefault="005715E5" w:rsidP="008F683B">
      <w:pPr>
        <w:pStyle w:val="Estilo"/>
        <w:ind w:right="40"/>
        <w:jc w:val="both"/>
      </w:pPr>
    </w:p>
    <w:p w:rsidR="005715E5" w:rsidRPr="000E601B" w:rsidRDefault="005715E5" w:rsidP="008F683B">
      <w:pPr>
        <w:pStyle w:val="Estilo"/>
        <w:ind w:right="40" w:firstLine="720"/>
        <w:jc w:val="both"/>
        <w:rPr>
          <w:w w:val="105"/>
        </w:rPr>
      </w:pPr>
      <w:r w:rsidRPr="000E601B">
        <w:rPr>
          <w:b/>
          <w:w w:val="105"/>
        </w:rPr>
        <w:t>Artículo 1.-</w:t>
      </w:r>
      <w:r w:rsidRPr="000E601B">
        <w:rPr>
          <w:w w:val="105"/>
        </w:rPr>
        <w:t xml:space="preserve"> </w:t>
      </w:r>
      <w:r w:rsidR="00336D16" w:rsidRPr="000E601B">
        <w:rPr>
          <w:w w:val="105"/>
        </w:rPr>
        <w:t>Sustituir</w:t>
      </w:r>
      <w:r w:rsidR="007C3391" w:rsidRPr="000E601B">
        <w:t xml:space="preserve"> la Primera Disposición Complementaria de la Decisión 804</w:t>
      </w:r>
      <w:r w:rsidR="00336D16" w:rsidRPr="000E601B">
        <w:t>, por el siguiente texto</w:t>
      </w:r>
      <w:r w:rsidR="007C3391" w:rsidRPr="000E601B">
        <w:t>:</w:t>
      </w:r>
    </w:p>
    <w:p w:rsidR="005715E5" w:rsidRPr="000E601B" w:rsidRDefault="005715E5" w:rsidP="008F683B">
      <w:pPr>
        <w:pStyle w:val="Estilo"/>
        <w:ind w:right="40" w:firstLine="720"/>
        <w:jc w:val="both"/>
        <w:rPr>
          <w:w w:val="105"/>
        </w:rPr>
      </w:pPr>
    </w:p>
    <w:p w:rsidR="007C3391" w:rsidRPr="000E601B" w:rsidRDefault="007C3391" w:rsidP="008F683B">
      <w:pPr>
        <w:pStyle w:val="Estilo"/>
        <w:ind w:right="40" w:firstLine="720"/>
        <w:jc w:val="both"/>
        <w:rPr>
          <w:i/>
        </w:rPr>
      </w:pPr>
      <w:r w:rsidRPr="000E601B">
        <w:rPr>
          <w:i/>
        </w:rPr>
        <w:t xml:space="preserve">“La revaluación de todos los PQUA registrados con anterioridad a la entrada en vigencia de la Decisión 436, concluirá indefectiblemente el 25 de junio de 2019. De manera excepcional para Bolivia y Perú, el plazo será hasta el 25 de junio del 2025. </w:t>
      </w:r>
    </w:p>
    <w:p w:rsidR="007C3391" w:rsidRPr="000E601B" w:rsidRDefault="007C3391" w:rsidP="008F683B">
      <w:pPr>
        <w:pStyle w:val="Estilo"/>
        <w:ind w:right="40" w:firstLine="720"/>
        <w:jc w:val="both"/>
        <w:rPr>
          <w:i/>
        </w:rPr>
      </w:pPr>
    </w:p>
    <w:p w:rsidR="007C3391" w:rsidRPr="000E601B" w:rsidRDefault="007C3391" w:rsidP="008F683B">
      <w:pPr>
        <w:pStyle w:val="Estilo"/>
        <w:ind w:right="40" w:firstLine="720"/>
        <w:jc w:val="both"/>
        <w:rPr>
          <w:i/>
        </w:rPr>
      </w:pPr>
      <w:r w:rsidRPr="000E601B">
        <w:rPr>
          <w:i/>
        </w:rPr>
        <w:t xml:space="preserve">Como consecuencia del proceso de revaluación, la ANC, mediante acto administrativo debidamente motivado, otorgará o denegará un nuevo registro. La denegatoria del nuevo registro implicará la cancelación del registro anterior. </w:t>
      </w:r>
    </w:p>
    <w:p w:rsidR="007C3391" w:rsidRPr="000E601B" w:rsidRDefault="007C3391" w:rsidP="008F683B">
      <w:pPr>
        <w:pStyle w:val="Estilo"/>
        <w:ind w:right="40" w:firstLine="720"/>
        <w:jc w:val="both"/>
        <w:rPr>
          <w:i/>
        </w:rPr>
      </w:pPr>
    </w:p>
    <w:p w:rsidR="007C3391" w:rsidRPr="000E601B" w:rsidRDefault="007C3391" w:rsidP="008F683B">
      <w:pPr>
        <w:pStyle w:val="Estilo"/>
        <w:ind w:right="40" w:firstLine="720"/>
        <w:jc w:val="both"/>
        <w:rPr>
          <w:i/>
        </w:rPr>
      </w:pPr>
      <w:r w:rsidRPr="000E601B">
        <w:rPr>
          <w:i/>
        </w:rPr>
        <w:t xml:space="preserve">Durante el período del proceso de revaluación, los registros de los plaguicidas químicos de uso agrícola que no cuenten con acto administrativo por parte de la ANC mantendrán su vigencia. </w:t>
      </w:r>
    </w:p>
    <w:p w:rsidR="007C3391" w:rsidRPr="000E601B" w:rsidRDefault="007C3391" w:rsidP="008F683B">
      <w:pPr>
        <w:pStyle w:val="Estilo"/>
        <w:ind w:right="40" w:firstLine="720"/>
        <w:jc w:val="both"/>
        <w:rPr>
          <w:i/>
        </w:rPr>
      </w:pPr>
    </w:p>
    <w:p w:rsidR="007C3391" w:rsidRPr="000E601B" w:rsidRDefault="007C3391" w:rsidP="008F683B">
      <w:pPr>
        <w:pStyle w:val="Estilo"/>
        <w:ind w:right="40" w:firstLine="720"/>
        <w:jc w:val="both"/>
        <w:rPr>
          <w:i/>
        </w:rPr>
      </w:pPr>
      <w:r w:rsidRPr="000E601B">
        <w:rPr>
          <w:i/>
        </w:rPr>
        <w:t xml:space="preserve">Los registros de plaguicidas químicos de uso agrícola otorgados con anterioridad a la entrada en vigencia de la Decisión 436, que al 25 de junio de 2019 no cuenten con un acto administrativo, indefectiblemente quedarán sin efecto y automáticamente cancelados. En el caso de Bolivia y Perú, este plazo vence el 25 de junio del 2025. </w:t>
      </w:r>
    </w:p>
    <w:p w:rsidR="007C3391" w:rsidRPr="000E601B" w:rsidRDefault="007C3391" w:rsidP="008F683B">
      <w:pPr>
        <w:pStyle w:val="Estilo"/>
        <w:ind w:right="40" w:firstLine="720"/>
        <w:jc w:val="both"/>
        <w:rPr>
          <w:i/>
        </w:rPr>
      </w:pPr>
    </w:p>
    <w:p w:rsidR="00E35BA3" w:rsidRPr="00893084" w:rsidRDefault="007C3391" w:rsidP="008F683B">
      <w:pPr>
        <w:pStyle w:val="Estilo"/>
        <w:ind w:right="40" w:firstLine="720"/>
        <w:jc w:val="both"/>
        <w:rPr>
          <w:i/>
        </w:rPr>
      </w:pPr>
      <w:r w:rsidRPr="000E601B">
        <w:rPr>
          <w:i/>
        </w:rPr>
        <w:t xml:space="preserve">La ANC de cada País Miembro establecerá los procedimientos necesarios para el cumplimiento del presente artículo, priorizándose la revaluación de los plaguicidas químicos de uso agrícola más </w:t>
      </w:r>
      <w:r w:rsidRPr="00893084">
        <w:rPr>
          <w:i/>
        </w:rPr>
        <w:t>peligrosos, en función de la clasificación toxicológica del ingrediente activo de éstos, de conformidad con el Manual Técnico Andino</w:t>
      </w:r>
    </w:p>
    <w:p w:rsidR="00E35BA3" w:rsidRPr="00893084" w:rsidRDefault="00893084" w:rsidP="00893084">
      <w:pPr>
        <w:pStyle w:val="Estilo"/>
        <w:tabs>
          <w:tab w:val="left" w:pos="3731"/>
        </w:tabs>
        <w:ind w:right="40" w:firstLine="720"/>
        <w:jc w:val="both"/>
        <w:rPr>
          <w:i/>
        </w:rPr>
      </w:pPr>
      <w:r w:rsidRPr="00893084">
        <w:rPr>
          <w:i/>
        </w:rPr>
        <w:tab/>
      </w:r>
    </w:p>
    <w:p w:rsidR="00F123BF" w:rsidRPr="00893084" w:rsidRDefault="00F123BF" w:rsidP="00F123BF">
      <w:pPr>
        <w:pStyle w:val="Estilo"/>
        <w:ind w:right="40" w:firstLine="720"/>
        <w:jc w:val="both"/>
        <w:rPr>
          <w:i/>
          <w:strike/>
          <w:w w:val="105"/>
        </w:rPr>
      </w:pPr>
      <w:r w:rsidRPr="00893084">
        <w:rPr>
          <w:i/>
        </w:rPr>
        <w:t xml:space="preserve">En el caso de Perú, la ANC deberá presentar a los Países Miembros el Plan de Revaluación e informará cada 6 meses el listado y porcentaje de PQUAs revaluados </w:t>
      </w:r>
    </w:p>
    <w:p w:rsidR="00F123BF" w:rsidRPr="00893084" w:rsidRDefault="00F123BF" w:rsidP="008F683B">
      <w:pPr>
        <w:pStyle w:val="Estilo"/>
        <w:ind w:right="40" w:firstLine="720"/>
        <w:jc w:val="both"/>
        <w:rPr>
          <w:i/>
          <w:strike/>
          <w:w w:val="105"/>
        </w:rPr>
      </w:pPr>
    </w:p>
    <w:p w:rsidR="005715E5" w:rsidRPr="000E601B" w:rsidRDefault="005715E5" w:rsidP="008F683B">
      <w:pPr>
        <w:pStyle w:val="Estilo"/>
        <w:ind w:right="40" w:firstLine="708"/>
        <w:jc w:val="both"/>
      </w:pPr>
      <w:r w:rsidRPr="00893084">
        <w:rPr>
          <w:b/>
        </w:rPr>
        <w:t>Artículo 2.-</w:t>
      </w:r>
      <w:r w:rsidRPr="00893084">
        <w:t xml:space="preserve"> La presente Decisión </w:t>
      </w:r>
      <w:r w:rsidRPr="000E601B">
        <w:t xml:space="preserve">entrará en </w:t>
      </w:r>
      <w:r w:rsidR="00336D16" w:rsidRPr="000E601B">
        <w:t>vigor</w:t>
      </w:r>
      <w:r w:rsidRPr="000E601B">
        <w:t xml:space="preserve"> a partir de la fecha de su publicación en la Gaceta Oficial del Acuerdo de Cartagena. </w:t>
      </w:r>
    </w:p>
    <w:p w:rsidR="005715E5" w:rsidRPr="000E601B" w:rsidRDefault="005715E5" w:rsidP="008F683B">
      <w:pPr>
        <w:pStyle w:val="Estilo"/>
        <w:ind w:right="40"/>
        <w:jc w:val="both"/>
      </w:pPr>
    </w:p>
    <w:p w:rsidR="005715E5" w:rsidRPr="000E601B" w:rsidRDefault="005715E5" w:rsidP="007D4EE6">
      <w:pPr>
        <w:ind w:firstLine="708"/>
        <w:rPr>
          <w:rFonts w:cs="Arial"/>
          <w:szCs w:val="24"/>
        </w:rPr>
      </w:pPr>
      <w:r w:rsidRPr="000E601B">
        <w:rPr>
          <w:rFonts w:cs="Arial"/>
          <w:szCs w:val="24"/>
        </w:rPr>
        <w:t xml:space="preserve">Dada en la ciudad de Lima, Perú, a los </w:t>
      </w:r>
      <w:r w:rsidR="0097392A">
        <w:rPr>
          <w:rFonts w:cs="Arial"/>
          <w:szCs w:val="24"/>
        </w:rPr>
        <w:t>29</w:t>
      </w:r>
      <w:r w:rsidRPr="000E601B">
        <w:rPr>
          <w:rFonts w:cs="Arial"/>
          <w:szCs w:val="24"/>
        </w:rPr>
        <w:t xml:space="preserve"> días del mes de </w:t>
      </w:r>
      <w:r w:rsidR="0097392A">
        <w:rPr>
          <w:rFonts w:cs="Arial"/>
          <w:szCs w:val="24"/>
        </w:rPr>
        <w:t>abril</w:t>
      </w:r>
      <w:r w:rsidRPr="000E601B">
        <w:rPr>
          <w:rFonts w:cs="Arial"/>
          <w:szCs w:val="24"/>
        </w:rPr>
        <w:t xml:space="preserve"> del año dos mil </w:t>
      </w:r>
      <w:r w:rsidR="001C4D03" w:rsidRPr="000E601B">
        <w:rPr>
          <w:rFonts w:cs="Arial"/>
          <w:szCs w:val="24"/>
        </w:rPr>
        <w:t>diecinueve</w:t>
      </w:r>
      <w:r w:rsidRPr="000E601B">
        <w:rPr>
          <w:rFonts w:cs="Arial"/>
          <w:szCs w:val="24"/>
        </w:rPr>
        <w:t>.</w:t>
      </w:r>
    </w:p>
    <w:p w:rsidR="004E1CF9" w:rsidRPr="000E601B" w:rsidRDefault="004E1CF9" w:rsidP="008F683B">
      <w:pPr>
        <w:pStyle w:val="Textoindependiente"/>
        <w:jc w:val="left"/>
        <w:rPr>
          <w:rFonts w:ascii="Arial" w:hAnsi="Arial" w:cs="Arial"/>
          <w:b/>
          <w:szCs w:val="24"/>
        </w:rPr>
      </w:pPr>
    </w:p>
    <w:sectPr w:rsidR="004E1CF9" w:rsidRPr="000E601B" w:rsidSect="00734C49">
      <w:headerReference w:type="even" r:id="rId8"/>
      <w:headerReference w:type="default" r:id="rId9"/>
      <w:pgSz w:w="11907" w:h="16840" w:code="9"/>
      <w:pgMar w:top="1247" w:right="1247" w:bottom="1021" w:left="1247" w:header="851" w:footer="567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04" w:rsidRDefault="00DF0B04" w:rsidP="00DC3F26">
      <w:r>
        <w:separator/>
      </w:r>
    </w:p>
  </w:endnote>
  <w:endnote w:type="continuationSeparator" w:id="0">
    <w:p w:rsidR="00DF0B04" w:rsidRDefault="00DF0B04" w:rsidP="00DC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04" w:rsidRDefault="00DF0B04" w:rsidP="00DC3F26">
      <w:r>
        <w:separator/>
      </w:r>
    </w:p>
  </w:footnote>
  <w:footnote w:type="continuationSeparator" w:id="0">
    <w:p w:rsidR="00DF0B04" w:rsidRDefault="00DF0B04" w:rsidP="00DC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E4" w:rsidRDefault="00EB095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016E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16E4" w:rsidRDefault="004016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E4" w:rsidRPr="00734C49" w:rsidRDefault="00EA6AC3" w:rsidP="00734C49">
    <w:pPr>
      <w:pStyle w:val="Encabezado"/>
    </w:pPr>
    <w:r>
      <w:fldChar w:fldCharType="begin"/>
    </w:r>
    <w:r>
      <w:instrText xml:space="preserve"> PAGE   \* MERGEFORMAT </w:instrText>
    </w:r>
    <w:r>
      <w:fldChar w:fldCharType="separate"/>
    </w:r>
    <w:r w:rsidR="007C1850">
      <w:rPr>
        <w:noProof/>
      </w:rPr>
      <w:t>- 2 -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C03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D61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662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E5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C0F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2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EA0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438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EC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36E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A2CFB"/>
    <w:multiLevelType w:val="hybridMultilevel"/>
    <w:tmpl w:val="B944031C"/>
    <w:lvl w:ilvl="0" w:tplc="8BF0F86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B2F9B"/>
    <w:multiLevelType w:val="hybridMultilevel"/>
    <w:tmpl w:val="26ECB4A2"/>
    <w:lvl w:ilvl="0" w:tplc="4A46DA3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E5258"/>
    <w:multiLevelType w:val="hybridMultilevel"/>
    <w:tmpl w:val="38046B6A"/>
    <w:lvl w:ilvl="0" w:tplc="2AFC856E">
      <w:start w:val="1"/>
      <w:numFmt w:val="lowerLetter"/>
      <w:lvlText w:val="%1)"/>
      <w:lvlJc w:val="left"/>
      <w:pPr>
        <w:ind w:left="720" w:hanging="72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F5144A"/>
    <w:multiLevelType w:val="hybridMultilevel"/>
    <w:tmpl w:val="27147D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21"/>
    <w:rsid w:val="000001EF"/>
    <w:rsid w:val="00015A06"/>
    <w:rsid w:val="00016628"/>
    <w:rsid w:val="00033E49"/>
    <w:rsid w:val="00042A78"/>
    <w:rsid w:val="0004541E"/>
    <w:rsid w:val="00052C4C"/>
    <w:rsid w:val="00052D64"/>
    <w:rsid w:val="000549C5"/>
    <w:rsid w:val="00060F54"/>
    <w:rsid w:val="00071032"/>
    <w:rsid w:val="00076A86"/>
    <w:rsid w:val="00081930"/>
    <w:rsid w:val="000A2BA0"/>
    <w:rsid w:val="000A3A2C"/>
    <w:rsid w:val="000B3760"/>
    <w:rsid w:val="000B397E"/>
    <w:rsid w:val="000C1D6F"/>
    <w:rsid w:val="000C3A86"/>
    <w:rsid w:val="000C7E5D"/>
    <w:rsid w:val="000D7123"/>
    <w:rsid w:val="000E105C"/>
    <w:rsid w:val="000E236B"/>
    <w:rsid w:val="000E601B"/>
    <w:rsid w:val="000E6C7E"/>
    <w:rsid w:val="000F0FF4"/>
    <w:rsid w:val="0010219C"/>
    <w:rsid w:val="00102CE4"/>
    <w:rsid w:val="00130FAD"/>
    <w:rsid w:val="00162C1E"/>
    <w:rsid w:val="00174B48"/>
    <w:rsid w:val="0018075E"/>
    <w:rsid w:val="001841B9"/>
    <w:rsid w:val="00187127"/>
    <w:rsid w:val="00190C9E"/>
    <w:rsid w:val="00192FBD"/>
    <w:rsid w:val="001A3CD6"/>
    <w:rsid w:val="001A4C61"/>
    <w:rsid w:val="001A6EEB"/>
    <w:rsid w:val="001C3152"/>
    <w:rsid w:val="001C4D03"/>
    <w:rsid w:val="001C56F8"/>
    <w:rsid w:val="001E2809"/>
    <w:rsid w:val="001E2F25"/>
    <w:rsid w:val="001F01EA"/>
    <w:rsid w:val="001F3D0B"/>
    <w:rsid w:val="001F758D"/>
    <w:rsid w:val="0020122A"/>
    <w:rsid w:val="00202C59"/>
    <w:rsid w:val="002119FF"/>
    <w:rsid w:val="00221E61"/>
    <w:rsid w:val="002318DD"/>
    <w:rsid w:val="002333D6"/>
    <w:rsid w:val="002356A4"/>
    <w:rsid w:val="00245E6A"/>
    <w:rsid w:val="00255C0B"/>
    <w:rsid w:val="00270141"/>
    <w:rsid w:val="00270570"/>
    <w:rsid w:val="00272F96"/>
    <w:rsid w:val="00281A1B"/>
    <w:rsid w:val="00283479"/>
    <w:rsid w:val="00297959"/>
    <w:rsid w:val="002A1BE4"/>
    <w:rsid w:val="002B0E94"/>
    <w:rsid w:val="002B46A3"/>
    <w:rsid w:val="002D41FD"/>
    <w:rsid w:val="002E163B"/>
    <w:rsid w:val="002F4259"/>
    <w:rsid w:val="00300C35"/>
    <w:rsid w:val="003011EE"/>
    <w:rsid w:val="0031630D"/>
    <w:rsid w:val="00321492"/>
    <w:rsid w:val="0032243C"/>
    <w:rsid w:val="003258CF"/>
    <w:rsid w:val="00333612"/>
    <w:rsid w:val="00336D16"/>
    <w:rsid w:val="00341124"/>
    <w:rsid w:val="003460A1"/>
    <w:rsid w:val="0035175E"/>
    <w:rsid w:val="003521C3"/>
    <w:rsid w:val="00355B2A"/>
    <w:rsid w:val="003563F9"/>
    <w:rsid w:val="00365C86"/>
    <w:rsid w:val="00382A90"/>
    <w:rsid w:val="003906A3"/>
    <w:rsid w:val="00396649"/>
    <w:rsid w:val="00396F45"/>
    <w:rsid w:val="003B681C"/>
    <w:rsid w:val="003C0C57"/>
    <w:rsid w:val="003D6566"/>
    <w:rsid w:val="003D6AE3"/>
    <w:rsid w:val="003E0784"/>
    <w:rsid w:val="003F68C8"/>
    <w:rsid w:val="004016E4"/>
    <w:rsid w:val="00436A11"/>
    <w:rsid w:val="00440BAE"/>
    <w:rsid w:val="00446617"/>
    <w:rsid w:val="0046270C"/>
    <w:rsid w:val="004637EB"/>
    <w:rsid w:val="00465023"/>
    <w:rsid w:val="004718AA"/>
    <w:rsid w:val="00471E16"/>
    <w:rsid w:val="004731AE"/>
    <w:rsid w:val="00484F14"/>
    <w:rsid w:val="00485331"/>
    <w:rsid w:val="00491904"/>
    <w:rsid w:val="004968EE"/>
    <w:rsid w:val="004969AB"/>
    <w:rsid w:val="004B1606"/>
    <w:rsid w:val="004B1FE3"/>
    <w:rsid w:val="004D0AAC"/>
    <w:rsid w:val="004D54DA"/>
    <w:rsid w:val="004D6278"/>
    <w:rsid w:val="004E1CF9"/>
    <w:rsid w:val="0050001B"/>
    <w:rsid w:val="00500FA8"/>
    <w:rsid w:val="00536153"/>
    <w:rsid w:val="005418D6"/>
    <w:rsid w:val="005430E6"/>
    <w:rsid w:val="00554095"/>
    <w:rsid w:val="0055627E"/>
    <w:rsid w:val="005579DE"/>
    <w:rsid w:val="005605CC"/>
    <w:rsid w:val="00561740"/>
    <w:rsid w:val="005708A6"/>
    <w:rsid w:val="005715E5"/>
    <w:rsid w:val="00574A90"/>
    <w:rsid w:val="00576F7D"/>
    <w:rsid w:val="005856C1"/>
    <w:rsid w:val="005A2A38"/>
    <w:rsid w:val="005A3EAF"/>
    <w:rsid w:val="005A5E6F"/>
    <w:rsid w:val="005B247B"/>
    <w:rsid w:val="005B2A7D"/>
    <w:rsid w:val="005C00CE"/>
    <w:rsid w:val="005C3F6A"/>
    <w:rsid w:val="005C58C4"/>
    <w:rsid w:val="005D10CD"/>
    <w:rsid w:val="005D63C2"/>
    <w:rsid w:val="005D74F8"/>
    <w:rsid w:val="005E338F"/>
    <w:rsid w:val="005E5885"/>
    <w:rsid w:val="006036F1"/>
    <w:rsid w:val="006038EB"/>
    <w:rsid w:val="00605131"/>
    <w:rsid w:val="00611337"/>
    <w:rsid w:val="00612787"/>
    <w:rsid w:val="00613245"/>
    <w:rsid w:val="0061478A"/>
    <w:rsid w:val="0062666A"/>
    <w:rsid w:val="00630D93"/>
    <w:rsid w:val="006409A3"/>
    <w:rsid w:val="006420A5"/>
    <w:rsid w:val="00642608"/>
    <w:rsid w:val="00645DF6"/>
    <w:rsid w:val="00645E4A"/>
    <w:rsid w:val="006467B4"/>
    <w:rsid w:val="00650FCD"/>
    <w:rsid w:val="0065333D"/>
    <w:rsid w:val="00653FCE"/>
    <w:rsid w:val="00665949"/>
    <w:rsid w:val="00667CF9"/>
    <w:rsid w:val="00673005"/>
    <w:rsid w:val="00681F04"/>
    <w:rsid w:val="0068687A"/>
    <w:rsid w:val="0069388E"/>
    <w:rsid w:val="006C0195"/>
    <w:rsid w:val="006C23E9"/>
    <w:rsid w:val="006C31E3"/>
    <w:rsid w:val="006C6110"/>
    <w:rsid w:val="006E646D"/>
    <w:rsid w:val="006F3046"/>
    <w:rsid w:val="006F4062"/>
    <w:rsid w:val="007016E4"/>
    <w:rsid w:val="0070413E"/>
    <w:rsid w:val="00713D21"/>
    <w:rsid w:val="0071557C"/>
    <w:rsid w:val="007175A2"/>
    <w:rsid w:val="00721A67"/>
    <w:rsid w:val="00722B51"/>
    <w:rsid w:val="0072311E"/>
    <w:rsid w:val="00734C49"/>
    <w:rsid w:val="0073601E"/>
    <w:rsid w:val="00740202"/>
    <w:rsid w:val="00741923"/>
    <w:rsid w:val="00750FF3"/>
    <w:rsid w:val="00753A9A"/>
    <w:rsid w:val="0075475F"/>
    <w:rsid w:val="007577F2"/>
    <w:rsid w:val="00760FF5"/>
    <w:rsid w:val="00765967"/>
    <w:rsid w:val="0076748D"/>
    <w:rsid w:val="007729AB"/>
    <w:rsid w:val="00774414"/>
    <w:rsid w:val="00783A74"/>
    <w:rsid w:val="00784F3A"/>
    <w:rsid w:val="00793FF0"/>
    <w:rsid w:val="00794B81"/>
    <w:rsid w:val="0079545C"/>
    <w:rsid w:val="007956A7"/>
    <w:rsid w:val="00796AD9"/>
    <w:rsid w:val="00797A9B"/>
    <w:rsid w:val="007A08BF"/>
    <w:rsid w:val="007A24B4"/>
    <w:rsid w:val="007A2899"/>
    <w:rsid w:val="007A7241"/>
    <w:rsid w:val="007B75B6"/>
    <w:rsid w:val="007C00D6"/>
    <w:rsid w:val="007C0F0D"/>
    <w:rsid w:val="007C1850"/>
    <w:rsid w:val="007C250A"/>
    <w:rsid w:val="007C3391"/>
    <w:rsid w:val="007D4EAE"/>
    <w:rsid w:val="007D4EE6"/>
    <w:rsid w:val="007E05F5"/>
    <w:rsid w:val="00806502"/>
    <w:rsid w:val="00810D40"/>
    <w:rsid w:val="00817656"/>
    <w:rsid w:val="00821929"/>
    <w:rsid w:val="00824077"/>
    <w:rsid w:val="008271BC"/>
    <w:rsid w:val="00835A45"/>
    <w:rsid w:val="00862049"/>
    <w:rsid w:val="0086483D"/>
    <w:rsid w:val="00872CD5"/>
    <w:rsid w:val="00876CDF"/>
    <w:rsid w:val="00893084"/>
    <w:rsid w:val="008A63C6"/>
    <w:rsid w:val="008A66CD"/>
    <w:rsid w:val="008B1F26"/>
    <w:rsid w:val="008B329B"/>
    <w:rsid w:val="008B5A41"/>
    <w:rsid w:val="008C3B9E"/>
    <w:rsid w:val="008E04B5"/>
    <w:rsid w:val="008E05E5"/>
    <w:rsid w:val="008F3D9C"/>
    <w:rsid w:val="008F4BA1"/>
    <w:rsid w:val="008F683B"/>
    <w:rsid w:val="008F7BDA"/>
    <w:rsid w:val="00900570"/>
    <w:rsid w:val="00913627"/>
    <w:rsid w:val="009228F2"/>
    <w:rsid w:val="00933479"/>
    <w:rsid w:val="00940E7C"/>
    <w:rsid w:val="0094109F"/>
    <w:rsid w:val="00945CA7"/>
    <w:rsid w:val="00953823"/>
    <w:rsid w:val="00954D7C"/>
    <w:rsid w:val="00960830"/>
    <w:rsid w:val="00972884"/>
    <w:rsid w:val="0097392A"/>
    <w:rsid w:val="009752A1"/>
    <w:rsid w:val="00991B4A"/>
    <w:rsid w:val="009944D3"/>
    <w:rsid w:val="009A2A70"/>
    <w:rsid w:val="009A6430"/>
    <w:rsid w:val="009B09E3"/>
    <w:rsid w:val="009B4136"/>
    <w:rsid w:val="009C688A"/>
    <w:rsid w:val="009C70EF"/>
    <w:rsid w:val="009C77F1"/>
    <w:rsid w:val="009E199C"/>
    <w:rsid w:val="009E7021"/>
    <w:rsid w:val="009F3483"/>
    <w:rsid w:val="00A00A9C"/>
    <w:rsid w:val="00A07098"/>
    <w:rsid w:val="00A212F9"/>
    <w:rsid w:val="00A40AA7"/>
    <w:rsid w:val="00A40D0F"/>
    <w:rsid w:val="00A52861"/>
    <w:rsid w:val="00A54D19"/>
    <w:rsid w:val="00A62EE1"/>
    <w:rsid w:val="00A76199"/>
    <w:rsid w:val="00A91711"/>
    <w:rsid w:val="00A9734B"/>
    <w:rsid w:val="00AA570C"/>
    <w:rsid w:val="00AB6CE7"/>
    <w:rsid w:val="00AC47E9"/>
    <w:rsid w:val="00AD371B"/>
    <w:rsid w:val="00AE1233"/>
    <w:rsid w:val="00AE4768"/>
    <w:rsid w:val="00AE51F2"/>
    <w:rsid w:val="00AF09BF"/>
    <w:rsid w:val="00AF7ED8"/>
    <w:rsid w:val="00B06FEA"/>
    <w:rsid w:val="00B1598D"/>
    <w:rsid w:val="00B17554"/>
    <w:rsid w:val="00B41FDA"/>
    <w:rsid w:val="00B669ED"/>
    <w:rsid w:val="00B67122"/>
    <w:rsid w:val="00B70B01"/>
    <w:rsid w:val="00B71E08"/>
    <w:rsid w:val="00B72148"/>
    <w:rsid w:val="00B73E9A"/>
    <w:rsid w:val="00B744C2"/>
    <w:rsid w:val="00B745E6"/>
    <w:rsid w:val="00B74AE7"/>
    <w:rsid w:val="00B75D98"/>
    <w:rsid w:val="00B80796"/>
    <w:rsid w:val="00B83A8D"/>
    <w:rsid w:val="00B83DFB"/>
    <w:rsid w:val="00BA03FC"/>
    <w:rsid w:val="00BA5C10"/>
    <w:rsid w:val="00BB1AD8"/>
    <w:rsid w:val="00BD3884"/>
    <w:rsid w:val="00BD4B3B"/>
    <w:rsid w:val="00BE27E3"/>
    <w:rsid w:val="00BF4F21"/>
    <w:rsid w:val="00BF5714"/>
    <w:rsid w:val="00C00611"/>
    <w:rsid w:val="00C0273C"/>
    <w:rsid w:val="00C12D32"/>
    <w:rsid w:val="00C15D57"/>
    <w:rsid w:val="00C17FDA"/>
    <w:rsid w:val="00C3111B"/>
    <w:rsid w:val="00C33DE0"/>
    <w:rsid w:val="00C41645"/>
    <w:rsid w:val="00C4233A"/>
    <w:rsid w:val="00C44443"/>
    <w:rsid w:val="00C47D0E"/>
    <w:rsid w:val="00C50A96"/>
    <w:rsid w:val="00C51295"/>
    <w:rsid w:val="00C57F5F"/>
    <w:rsid w:val="00C604B0"/>
    <w:rsid w:val="00C64A09"/>
    <w:rsid w:val="00C65A1D"/>
    <w:rsid w:val="00C70C99"/>
    <w:rsid w:val="00C743AF"/>
    <w:rsid w:val="00C976AE"/>
    <w:rsid w:val="00CA3507"/>
    <w:rsid w:val="00CB240F"/>
    <w:rsid w:val="00CB2E8A"/>
    <w:rsid w:val="00CD5436"/>
    <w:rsid w:val="00CD573C"/>
    <w:rsid w:val="00CE5464"/>
    <w:rsid w:val="00CF0DE6"/>
    <w:rsid w:val="00CF2AD6"/>
    <w:rsid w:val="00CF3D60"/>
    <w:rsid w:val="00CF4E79"/>
    <w:rsid w:val="00D03D0D"/>
    <w:rsid w:val="00D104A9"/>
    <w:rsid w:val="00D335E7"/>
    <w:rsid w:val="00D40316"/>
    <w:rsid w:val="00D4086D"/>
    <w:rsid w:val="00D53A07"/>
    <w:rsid w:val="00D6277C"/>
    <w:rsid w:val="00D76811"/>
    <w:rsid w:val="00D80202"/>
    <w:rsid w:val="00D83CCD"/>
    <w:rsid w:val="00D927E6"/>
    <w:rsid w:val="00D95894"/>
    <w:rsid w:val="00DA3170"/>
    <w:rsid w:val="00DC1150"/>
    <w:rsid w:val="00DC3F26"/>
    <w:rsid w:val="00DC74BD"/>
    <w:rsid w:val="00DD4394"/>
    <w:rsid w:val="00DD5160"/>
    <w:rsid w:val="00DD5A82"/>
    <w:rsid w:val="00DF0B04"/>
    <w:rsid w:val="00DF1721"/>
    <w:rsid w:val="00DF2FDA"/>
    <w:rsid w:val="00DF31EF"/>
    <w:rsid w:val="00E036AD"/>
    <w:rsid w:val="00E059C0"/>
    <w:rsid w:val="00E12AC2"/>
    <w:rsid w:val="00E17065"/>
    <w:rsid w:val="00E210DA"/>
    <w:rsid w:val="00E22954"/>
    <w:rsid w:val="00E3136E"/>
    <w:rsid w:val="00E35BA3"/>
    <w:rsid w:val="00E366BE"/>
    <w:rsid w:val="00E4118C"/>
    <w:rsid w:val="00E473A0"/>
    <w:rsid w:val="00E50C83"/>
    <w:rsid w:val="00E5464A"/>
    <w:rsid w:val="00E5577C"/>
    <w:rsid w:val="00E57B46"/>
    <w:rsid w:val="00E80154"/>
    <w:rsid w:val="00E84403"/>
    <w:rsid w:val="00E94358"/>
    <w:rsid w:val="00EA44F0"/>
    <w:rsid w:val="00EA5E2E"/>
    <w:rsid w:val="00EA6AC3"/>
    <w:rsid w:val="00EB0952"/>
    <w:rsid w:val="00EB3B73"/>
    <w:rsid w:val="00EE313B"/>
    <w:rsid w:val="00EE340E"/>
    <w:rsid w:val="00EF4EBC"/>
    <w:rsid w:val="00F03C84"/>
    <w:rsid w:val="00F0492B"/>
    <w:rsid w:val="00F06107"/>
    <w:rsid w:val="00F066DE"/>
    <w:rsid w:val="00F123BF"/>
    <w:rsid w:val="00F15394"/>
    <w:rsid w:val="00F35721"/>
    <w:rsid w:val="00F35C91"/>
    <w:rsid w:val="00F36A18"/>
    <w:rsid w:val="00F6484B"/>
    <w:rsid w:val="00F658C6"/>
    <w:rsid w:val="00F664CB"/>
    <w:rsid w:val="00F7076B"/>
    <w:rsid w:val="00F7574E"/>
    <w:rsid w:val="00F83FF3"/>
    <w:rsid w:val="00F84D37"/>
    <w:rsid w:val="00F84ECF"/>
    <w:rsid w:val="00F93BEE"/>
    <w:rsid w:val="00F955FE"/>
    <w:rsid w:val="00F958EC"/>
    <w:rsid w:val="00F97DC1"/>
    <w:rsid w:val="00FB1BF7"/>
    <w:rsid w:val="00FB7E70"/>
    <w:rsid w:val="00FC286F"/>
    <w:rsid w:val="00FC3F39"/>
    <w:rsid w:val="00FC6932"/>
    <w:rsid w:val="00FD5992"/>
    <w:rsid w:val="00FD5D53"/>
    <w:rsid w:val="00FE50D6"/>
    <w:rsid w:val="00FE77FD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A852"/>
  <w15:docId w15:val="{B44DDD27-690E-498B-8AFB-26FE0689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21"/>
    <w:pPr>
      <w:jc w:val="both"/>
    </w:pPr>
    <w:rPr>
      <w:rFonts w:ascii="Arial" w:eastAsia="Times New Roman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A5E2E"/>
    <w:pPr>
      <w:keepNext/>
      <w:spacing w:line="264" w:lineRule="exact"/>
      <w:ind w:left="2880" w:hanging="2880"/>
      <w:jc w:val="center"/>
      <w:outlineLvl w:val="0"/>
    </w:pPr>
    <w:rPr>
      <w:b/>
      <w:snapToGrid w:val="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13D21"/>
    <w:rPr>
      <w:rFonts w:ascii="Book Antiqua" w:hAnsi="Book Antiqua"/>
      <w:snapToGrid w:val="0"/>
    </w:rPr>
  </w:style>
  <w:style w:type="character" w:customStyle="1" w:styleId="TextoindependienteCar">
    <w:name w:val="Texto independiente Car"/>
    <w:link w:val="Textoindependiente"/>
    <w:rsid w:val="00713D21"/>
    <w:rPr>
      <w:rFonts w:ascii="Book Antiqua" w:eastAsia="Times New Roman" w:hAnsi="Book Antiqua" w:cs="Times New Roman"/>
      <w:snapToGrid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13D21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13D2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713D21"/>
    <w:pPr>
      <w:jc w:val="center"/>
    </w:pPr>
    <w:rPr>
      <w:rFonts w:ascii="Times New Roman" w:hAnsi="Times New Roman"/>
      <w:sz w:val="40"/>
    </w:rPr>
  </w:style>
  <w:style w:type="character" w:customStyle="1" w:styleId="TtuloCar">
    <w:name w:val="Título Car"/>
    <w:link w:val="Ttulo"/>
    <w:rsid w:val="00713D21"/>
    <w:rPr>
      <w:rFonts w:ascii="Times New Roman" w:eastAsia="Times New Roman" w:hAnsi="Times New Roman" w:cs="Times New Roman"/>
      <w:sz w:val="4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713D21"/>
    <w:pPr>
      <w:spacing w:before="100" w:beforeAutospacing="1" w:after="100" w:afterAutospacing="1"/>
      <w:jc w:val="left"/>
    </w:pPr>
    <w:rPr>
      <w:rFonts w:ascii="Times New Roman" w:hAnsi="Times New Roman"/>
      <w:color w:val="333333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13D21"/>
    <w:pPr>
      <w:ind w:left="708"/>
    </w:pPr>
  </w:style>
  <w:style w:type="paragraph" w:customStyle="1" w:styleId="Textosinformato1">
    <w:name w:val="Texto sin formato1"/>
    <w:basedOn w:val="Normal"/>
    <w:rsid w:val="00713D21"/>
    <w:pPr>
      <w:jc w:val="left"/>
    </w:pPr>
    <w:rPr>
      <w:rFonts w:ascii="Courier New" w:hAnsi="Courier New"/>
      <w:sz w:val="20"/>
      <w:lang w:val="es-ES"/>
    </w:rPr>
  </w:style>
  <w:style w:type="paragraph" w:styleId="Textodeglobo">
    <w:name w:val="Balloon Text"/>
    <w:basedOn w:val="Normal"/>
    <w:semiHidden/>
    <w:rsid w:val="008B329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F5714"/>
    <w:rPr>
      <w:sz w:val="16"/>
      <w:szCs w:val="16"/>
    </w:rPr>
  </w:style>
  <w:style w:type="paragraph" w:styleId="Textocomentario">
    <w:name w:val="annotation text"/>
    <w:basedOn w:val="Normal"/>
    <w:semiHidden/>
    <w:rsid w:val="00BF5714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BF5714"/>
    <w:rPr>
      <w:b/>
      <w:bCs/>
    </w:rPr>
  </w:style>
  <w:style w:type="paragraph" w:styleId="Encabezado">
    <w:name w:val="header"/>
    <w:basedOn w:val="Normal"/>
    <w:link w:val="EncabezadoCar"/>
    <w:uiPriority w:val="99"/>
    <w:rsid w:val="0046270C"/>
    <w:pPr>
      <w:tabs>
        <w:tab w:val="center" w:pos="4252"/>
        <w:tab w:val="right" w:pos="8504"/>
      </w:tabs>
      <w:jc w:val="center"/>
    </w:pPr>
    <w:rPr>
      <w:rFonts w:eastAsia="Calibri"/>
      <w:sz w:val="22"/>
    </w:rPr>
  </w:style>
  <w:style w:type="character" w:customStyle="1" w:styleId="EncabezadoCar">
    <w:name w:val="Encabezado Car"/>
    <w:link w:val="Encabezado"/>
    <w:uiPriority w:val="99"/>
    <w:rsid w:val="0046270C"/>
    <w:rPr>
      <w:rFonts w:ascii="Arial" w:hAnsi="Arial"/>
      <w:sz w:val="22"/>
      <w:lang w:val="es-ES_tradnl" w:eastAsia="es-ES"/>
    </w:rPr>
  </w:style>
  <w:style w:type="character" w:styleId="Nmerodepgina">
    <w:name w:val="page number"/>
    <w:basedOn w:val="Fuentedeprrafopredeter"/>
    <w:rsid w:val="00793FF0"/>
  </w:style>
  <w:style w:type="paragraph" w:styleId="Piedepgina">
    <w:name w:val="footer"/>
    <w:basedOn w:val="Normal"/>
    <w:link w:val="PiedepginaCar"/>
    <w:uiPriority w:val="99"/>
    <w:semiHidden/>
    <w:unhideWhenUsed/>
    <w:rsid w:val="006E64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6E646D"/>
    <w:rPr>
      <w:rFonts w:ascii="Arial" w:eastAsia="Times New Roman" w:hAnsi="Arial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6E4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4016E4"/>
    <w:rPr>
      <w:rFonts w:ascii="Arial" w:eastAsia="Times New Roman" w:hAnsi="Arial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4016E4"/>
    <w:rPr>
      <w:vertAlign w:val="superscript"/>
    </w:rPr>
  </w:style>
  <w:style w:type="paragraph" w:customStyle="1" w:styleId="Estilo">
    <w:name w:val="Estilo"/>
    <w:rsid w:val="005715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EA5E2E"/>
    <w:rPr>
      <w:rFonts w:ascii="Arial" w:eastAsia="Times New Roman" w:hAnsi="Arial"/>
      <w:b/>
      <w:snapToGrid w:val="0"/>
      <w:sz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DECISIÓN 771 - POLÍTICA ARANCELARIA DE LA COMUNIDAD ANDINA</vt:lpstr>
    </vt:vector>
  </TitlesOfParts>
  <Manager>D.1.2</Manager>
  <Company>SGCAN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DECISIÓN 771 - POLÍTICA ARANCELARIA DE LA COMUNIDAD ANDINA</dc:title>
  <dc:subject>07/12/2011</dc:subject>
  <dc:creator>Antonio Rodríguez</dc:creator>
  <cp:keywords>DECISIÓN 771</cp:keywords>
  <cp:lastModifiedBy>Miguel Hinostroza Villafuerte</cp:lastModifiedBy>
  <cp:revision>8</cp:revision>
  <cp:lastPrinted>2019-01-29T22:49:00Z</cp:lastPrinted>
  <dcterms:created xsi:type="dcterms:W3CDTF">2019-04-29T21:04:00Z</dcterms:created>
  <dcterms:modified xsi:type="dcterms:W3CDTF">2019-04-30T00:11:00Z</dcterms:modified>
  <cp:category>Decisiones</cp:category>
</cp:coreProperties>
</file>