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44" w:rsidRPr="003A2444" w:rsidRDefault="009A45B3" w:rsidP="009A45B3">
      <w:pPr>
        <w:pStyle w:val="Ttulo5"/>
        <w:spacing w:before="0" w:after="0"/>
        <w:ind w:right="5159"/>
        <w:jc w:val="both"/>
        <w:rPr>
          <w:rFonts w:ascii="Arial" w:hAnsi="Arial"/>
          <w:b w:val="0"/>
          <w:i w:val="0"/>
          <w:sz w:val="22"/>
          <w:szCs w:val="22"/>
          <w:lang w:val="es-PE"/>
        </w:rPr>
      </w:pPr>
      <w:r>
        <w:rPr>
          <w:rFonts w:ascii="Arial" w:hAnsi="Arial"/>
          <w:b w:val="0"/>
          <w:i w:val="0"/>
          <w:sz w:val="22"/>
          <w:szCs w:val="22"/>
          <w:lang w:val="es-PE"/>
        </w:rPr>
        <w:t xml:space="preserve">XLIV </w:t>
      </w:r>
      <w:r w:rsidR="00442A16" w:rsidRPr="003A2444">
        <w:rPr>
          <w:rFonts w:ascii="Arial" w:hAnsi="Arial"/>
          <w:b w:val="0"/>
          <w:i w:val="0"/>
          <w:sz w:val="22"/>
          <w:szCs w:val="22"/>
          <w:lang w:val="es-PE"/>
        </w:rPr>
        <w:t>Reunión del Consejo Andino de Ministros de Relaciones Exteriores en forma ampliada</w:t>
      </w:r>
      <w:r w:rsidR="00442A16">
        <w:rPr>
          <w:rFonts w:ascii="Arial" w:hAnsi="Arial"/>
          <w:b w:val="0"/>
          <w:i w:val="0"/>
          <w:sz w:val="22"/>
          <w:szCs w:val="22"/>
          <w:lang w:val="es-PE"/>
        </w:rPr>
        <w:t xml:space="preserve"> </w:t>
      </w:r>
      <w:r w:rsidR="00442A16" w:rsidRPr="003A2444">
        <w:rPr>
          <w:rFonts w:ascii="Arial" w:hAnsi="Arial"/>
          <w:b w:val="0"/>
          <w:i w:val="0"/>
          <w:sz w:val="22"/>
          <w:szCs w:val="22"/>
          <w:lang w:val="es-PE"/>
        </w:rPr>
        <w:t>con los Representantes Titulares ante la Comisión</w:t>
      </w:r>
      <w:r>
        <w:rPr>
          <w:rFonts w:ascii="Arial" w:hAnsi="Arial"/>
          <w:b w:val="0"/>
          <w:i w:val="0"/>
          <w:sz w:val="22"/>
          <w:szCs w:val="22"/>
          <w:lang w:val="es-PE"/>
        </w:rPr>
        <w:t xml:space="preserve"> de la Comunidad Andina</w:t>
      </w:r>
    </w:p>
    <w:p w:rsidR="00E63044" w:rsidRDefault="006C0064" w:rsidP="009A45B3">
      <w:pPr>
        <w:pStyle w:val="Ttulo5"/>
        <w:spacing w:before="0" w:after="0"/>
        <w:ind w:right="5159"/>
        <w:jc w:val="both"/>
        <w:rPr>
          <w:rFonts w:ascii="Arial" w:hAnsi="Arial"/>
          <w:b w:val="0"/>
          <w:i w:val="0"/>
          <w:sz w:val="22"/>
          <w:szCs w:val="22"/>
          <w:lang w:val="es-PE"/>
        </w:rPr>
      </w:pPr>
      <w:r>
        <w:rPr>
          <w:rFonts w:ascii="Arial" w:hAnsi="Arial"/>
          <w:b w:val="0"/>
          <w:i w:val="0"/>
          <w:sz w:val="22"/>
          <w:szCs w:val="22"/>
          <w:lang w:val="es-PE"/>
        </w:rPr>
        <w:t>11</w:t>
      </w:r>
      <w:r w:rsidR="00E63044" w:rsidRPr="003A2444">
        <w:rPr>
          <w:rFonts w:ascii="Arial" w:hAnsi="Arial"/>
          <w:b w:val="0"/>
          <w:i w:val="0"/>
          <w:sz w:val="22"/>
          <w:szCs w:val="22"/>
          <w:lang w:val="es-PE"/>
        </w:rPr>
        <w:t xml:space="preserve"> de </w:t>
      </w:r>
      <w:r>
        <w:rPr>
          <w:rFonts w:ascii="Arial" w:hAnsi="Arial"/>
          <w:b w:val="0"/>
          <w:i w:val="0"/>
          <w:sz w:val="22"/>
          <w:szCs w:val="22"/>
          <w:lang w:val="es-PE"/>
        </w:rPr>
        <w:t>enero</w:t>
      </w:r>
      <w:r w:rsidR="00E63044" w:rsidRPr="003A2444">
        <w:rPr>
          <w:rFonts w:ascii="Arial" w:hAnsi="Arial"/>
          <w:b w:val="0"/>
          <w:i w:val="0"/>
          <w:sz w:val="22"/>
          <w:szCs w:val="22"/>
          <w:lang w:val="es-PE"/>
        </w:rPr>
        <w:t xml:space="preserve"> de </w:t>
      </w:r>
      <w:r>
        <w:rPr>
          <w:rFonts w:ascii="Arial" w:hAnsi="Arial"/>
          <w:b w:val="0"/>
          <w:i w:val="0"/>
          <w:sz w:val="22"/>
          <w:szCs w:val="22"/>
          <w:lang w:val="es-PE"/>
        </w:rPr>
        <w:t>2019</w:t>
      </w:r>
    </w:p>
    <w:p w:rsidR="00F95237" w:rsidRPr="00F95237" w:rsidRDefault="00F95237" w:rsidP="00F95237">
      <w:pPr>
        <w:rPr>
          <w:sz w:val="22"/>
          <w:szCs w:val="22"/>
          <w:lang w:val="es-PE" w:eastAsia="en-US"/>
        </w:rPr>
      </w:pPr>
      <w:r w:rsidRPr="00F95237">
        <w:rPr>
          <w:sz w:val="22"/>
          <w:szCs w:val="22"/>
          <w:lang w:val="es-PE" w:eastAsia="en-US"/>
        </w:rPr>
        <w:t>Lima - Perú</w:t>
      </w:r>
    </w:p>
    <w:p w:rsidR="006C0064" w:rsidRPr="006C0064" w:rsidRDefault="006C0064" w:rsidP="00280F9D">
      <w:pPr>
        <w:rPr>
          <w:lang w:val="es-PE" w:eastAsia="en-US"/>
        </w:rPr>
      </w:pPr>
    </w:p>
    <w:p w:rsidR="00C02C27" w:rsidRPr="003A2444" w:rsidRDefault="00C02C27" w:rsidP="00280F9D">
      <w:pPr>
        <w:ind w:right="4820"/>
        <w:rPr>
          <w:rFonts w:cs="Arial"/>
          <w:sz w:val="24"/>
          <w:szCs w:val="24"/>
        </w:rPr>
      </w:pPr>
    </w:p>
    <w:p w:rsidR="003A3C6E" w:rsidRPr="00F57C52" w:rsidRDefault="003A3C6E" w:rsidP="00280F9D">
      <w:pPr>
        <w:pStyle w:val="Ttulo1"/>
        <w:tabs>
          <w:tab w:val="left" w:pos="425"/>
        </w:tabs>
        <w:rPr>
          <w:rFonts w:cs="Arial"/>
          <w:szCs w:val="24"/>
        </w:rPr>
      </w:pPr>
      <w:r w:rsidRPr="00F57C52">
        <w:rPr>
          <w:rFonts w:cs="Arial"/>
          <w:szCs w:val="24"/>
        </w:rPr>
        <w:t>DECISION</w:t>
      </w:r>
      <w:r w:rsidR="0067062F" w:rsidRPr="00F57C52">
        <w:rPr>
          <w:rFonts w:cs="Arial"/>
          <w:szCs w:val="24"/>
        </w:rPr>
        <w:t xml:space="preserve"> </w:t>
      </w:r>
      <w:r w:rsidR="00F57C52" w:rsidRPr="00F57C52">
        <w:rPr>
          <w:rFonts w:cs="Arial"/>
          <w:szCs w:val="24"/>
        </w:rPr>
        <w:t>836</w:t>
      </w:r>
    </w:p>
    <w:p w:rsidR="003A3C6E" w:rsidRPr="003A2444" w:rsidRDefault="003A3C6E" w:rsidP="00280F9D">
      <w:pPr>
        <w:tabs>
          <w:tab w:val="left" w:pos="425"/>
        </w:tabs>
        <w:jc w:val="both"/>
        <w:rPr>
          <w:rFonts w:cs="Arial"/>
          <w:sz w:val="24"/>
          <w:szCs w:val="24"/>
        </w:rPr>
      </w:pPr>
    </w:p>
    <w:p w:rsidR="003A3C6E" w:rsidRPr="003A2444" w:rsidRDefault="006C0064" w:rsidP="00280F9D">
      <w:pPr>
        <w:pStyle w:val="Ttulo2"/>
        <w:tabs>
          <w:tab w:val="clear" w:pos="426"/>
          <w:tab w:val="left" w:pos="425"/>
        </w:tabs>
        <w:ind w:left="5760"/>
        <w:jc w:val="both"/>
        <w:rPr>
          <w:rFonts w:cs="Arial"/>
          <w:szCs w:val="24"/>
        </w:rPr>
      </w:pPr>
      <w:r>
        <w:rPr>
          <w:szCs w:val="24"/>
        </w:rPr>
        <w:t xml:space="preserve">Elección </w:t>
      </w:r>
      <w:r w:rsidR="00E63044" w:rsidRPr="003A2444">
        <w:rPr>
          <w:szCs w:val="24"/>
        </w:rPr>
        <w:t>del Secretario General de la Comunidad Andina</w:t>
      </w:r>
    </w:p>
    <w:p w:rsidR="003A3C6E" w:rsidRPr="003A2444" w:rsidRDefault="003A3C6E" w:rsidP="00280F9D">
      <w:pPr>
        <w:tabs>
          <w:tab w:val="left" w:pos="425"/>
        </w:tabs>
        <w:jc w:val="both"/>
        <w:rPr>
          <w:rFonts w:cs="Arial"/>
          <w:sz w:val="24"/>
          <w:szCs w:val="24"/>
        </w:rPr>
      </w:pPr>
    </w:p>
    <w:p w:rsidR="006C0064" w:rsidRPr="006C0064" w:rsidRDefault="006C0064" w:rsidP="00280F9D">
      <w:pPr>
        <w:pStyle w:val="Style2"/>
        <w:tabs>
          <w:tab w:val="left" w:pos="425"/>
        </w:tabs>
        <w:ind w:firstLine="0"/>
        <w:rPr>
          <w:rFonts w:ascii="Arial" w:hAnsi="Arial" w:cs="Arial"/>
          <w:bCs/>
          <w:lang w:val="es-ES_tradnl"/>
        </w:rPr>
      </w:pPr>
      <w:r w:rsidRPr="00047A39">
        <w:rPr>
          <w:rFonts w:ascii="Arial" w:hAnsi="Arial" w:cs="Arial"/>
          <w:bCs/>
          <w:lang w:val="es-ES_tradnl"/>
        </w:rPr>
        <w:t xml:space="preserve">EL CONSEJO ANDINO DE MINISTROS DE RELACIONES EXTERIORES, REUNIDO EN </w:t>
      </w:r>
      <w:r w:rsidRPr="006C0064">
        <w:rPr>
          <w:rFonts w:ascii="Arial" w:hAnsi="Arial" w:cs="Arial"/>
          <w:bCs/>
          <w:lang w:val="es-ES_tradnl"/>
        </w:rPr>
        <w:t>FORMA AMPLIADA CON LOS REPRESENTANTES TITULARES ANTE LA COMISION DE LA COMUNIDAD ANDINA,</w:t>
      </w:r>
    </w:p>
    <w:p w:rsidR="00E63044" w:rsidRPr="006C0064" w:rsidRDefault="00E63044" w:rsidP="00280F9D">
      <w:pPr>
        <w:tabs>
          <w:tab w:val="left" w:pos="425"/>
        </w:tabs>
        <w:jc w:val="both"/>
        <w:rPr>
          <w:sz w:val="24"/>
          <w:szCs w:val="24"/>
          <w:lang w:val="es-ES_tradnl"/>
        </w:rPr>
      </w:pPr>
    </w:p>
    <w:p w:rsidR="00E63044" w:rsidRPr="006C0064" w:rsidRDefault="00E63044" w:rsidP="00280F9D">
      <w:pPr>
        <w:tabs>
          <w:tab w:val="left" w:pos="425"/>
        </w:tabs>
        <w:jc w:val="both"/>
        <w:rPr>
          <w:sz w:val="24"/>
          <w:szCs w:val="24"/>
          <w:lang w:val="es-ES_tradnl"/>
        </w:rPr>
      </w:pPr>
      <w:r w:rsidRPr="009A45B3">
        <w:rPr>
          <w:sz w:val="24"/>
          <w:szCs w:val="24"/>
          <w:lang w:val="es-ES_tradnl"/>
        </w:rPr>
        <w:t xml:space="preserve">VISTOS: </w:t>
      </w:r>
      <w:r w:rsidRPr="00CA0A05">
        <w:rPr>
          <w:sz w:val="24"/>
          <w:szCs w:val="24"/>
          <w:lang w:val="es-ES_tradnl"/>
        </w:rPr>
        <w:t xml:space="preserve">Los artículos 17, 20 y 32 del Acuerdo de Cartagena; </w:t>
      </w:r>
      <w:r w:rsidR="00774F79" w:rsidRPr="00CA0A05">
        <w:rPr>
          <w:sz w:val="24"/>
          <w:szCs w:val="24"/>
          <w:lang w:val="es-ES_tradnl"/>
        </w:rPr>
        <w:t>los</w:t>
      </w:r>
      <w:r w:rsidRPr="00CA0A05">
        <w:rPr>
          <w:sz w:val="24"/>
          <w:szCs w:val="24"/>
          <w:lang w:val="es-ES_tradnl"/>
        </w:rPr>
        <w:t xml:space="preserve"> artículo</w:t>
      </w:r>
      <w:r w:rsidR="00774F79" w:rsidRPr="00CA0A05">
        <w:rPr>
          <w:sz w:val="24"/>
          <w:szCs w:val="24"/>
          <w:lang w:val="es-ES_tradnl"/>
        </w:rPr>
        <w:t>s</w:t>
      </w:r>
      <w:r w:rsidRPr="00CA0A05">
        <w:rPr>
          <w:sz w:val="24"/>
          <w:szCs w:val="24"/>
          <w:lang w:val="es-ES_tradnl"/>
        </w:rPr>
        <w:t xml:space="preserve"> </w:t>
      </w:r>
      <w:r w:rsidR="006C0064" w:rsidRPr="00CA0A05">
        <w:rPr>
          <w:rFonts w:cs="Arial"/>
          <w:sz w:val="24"/>
          <w:szCs w:val="24"/>
          <w:lang w:val="es-ES_tradnl"/>
        </w:rPr>
        <w:t xml:space="preserve">5, 6, 7, 8, 12 y </w:t>
      </w:r>
      <w:r w:rsidRPr="00CA0A05">
        <w:rPr>
          <w:sz w:val="24"/>
          <w:szCs w:val="24"/>
          <w:lang w:val="es-ES_tradnl"/>
        </w:rPr>
        <w:t>13 literal c) de</w:t>
      </w:r>
      <w:r w:rsidR="00A16BF5" w:rsidRPr="00CA0A05">
        <w:rPr>
          <w:sz w:val="24"/>
          <w:szCs w:val="24"/>
          <w:lang w:val="es-ES_tradnl"/>
        </w:rPr>
        <w:t xml:space="preserve"> la Decisión 409 que aprueba e</w:t>
      </w:r>
      <w:r w:rsidRPr="00CA0A05">
        <w:rPr>
          <w:sz w:val="24"/>
          <w:szCs w:val="24"/>
          <w:lang w:val="es-ES_tradnl"/>
        </w:rPr>
        <w:t xml:space="preserve">l Reglamento de la Secretaría General de la Comunidad Andina; </w:t>
      </w:r>
      <w:r w:rsidR="006C0064" w:rsidRPr="00CA0A05">
        <w:rPr>
          <w:rFonts w:cs="Arial"/>
          <w:sz w:val="24"/>
          <w:szCs w:val="24"/>
          <w:lang w:val="es-ES_tradnl"/>
        </w:rPr>
        <w:t xml:space="preserve">el artículo 7 literal j) de la Decisión 407; </w:t>
      </w:r>
      <w:r w:rsidRPr="00CA0A05">
        <w:rPr>
          <w:sz w:val="24"/>
          <w:szCs w:val="24"/>
          <w:lang w:val="es-ES_tradnl"/>
        </w:rPr>
        <w:t>la Decisión 597</w:t>
      </w:r>
      <w:r w:rsidR="00267737" w:rsidRPr="00CA0A05">
        <w:rPr>
          <w:sz w:val="24"/>
          <w:szCs w:val="24"/>
          <w:lang w:val="es-ES_tradnl"/>
        </w:rPr>
        <w:t xml:space="preserve"> y 829</w:t>
      </w:r>
      <w:r w:rsidRPr="00CA0A05">
        <w:rPr>
          <w:sz w:val="24"/>
          <w:szCs w:val="24"/>
          <w:lang w:val="es-ES_tradnl"/>
        </w:rPr>
        <w:t>; y, la carta de renuncia</w:t>
      </w:r>
      <w:r w:rsidR="00412702" w:rsidRPr="00CA0A05">
        <w:rPr>
          <w:sz w:val="24"/>
          <w:szCs w:val="24"/>
          <w:lang w:val="es-ES_tradnl"/>
        </w:rPr>
        <w:t xml:space="preserve"> </w:t>
      </w:r>
      <w:r w:rsidRPr="00CA0A05">
        <w:rPr>
          <w:sz w:val="24"/>
          <w:szCs w:val="24"/>
          <w:lang w:val="es-ES_tradnl"/>
        </w:rPr>
        <w:t>presentada por el Secretario General de la Comunidad Andina; y,</w:t>
      </w:r>
    </w:p>
    <w:p w:rsidR="00E63044" w:rsidRPr="006C0064" w:rsidRDefault="00E63044" w:rsidP="00280F9D">
      <w:pPr>
        <w:tabs>
          <w:tab w:val="left" w:pos="425"/>
        </w:tabs>
        <w:jc w:val="both"/>
        <w:rPr>
          <w:sz w:val="24"/>
          <w:szCs w:val="24"/>
          <w:lang w:val="es-ES_tradnl"/>
        </w:rPr>
      </w:pPr>
    </w:p>
    <w:p w:rsidR="001A262D" w:rsidRPr="00267737" w:rsidRDefault="00E63044" w:rsidP="00280F9D">
      <w:pPr>
        <w:tabs>
          <w:tab w:val="left" w:pos="425"/>
        </w:tabs>
        <w:jc w:val="both"/>
        <w:rPr>
          <w:sz w:val="24"/>
          <w:szCs w:val="24"/>
          <w:lang w:val="es-ES_tradnl"/>
        </w:rPr>
      </w:pPr>
      <w:r w:rsidRPr="006C0064">
        <w:rPr>
          <w:sz w:val="24"/>
          <w:szCs w:val="24"/>
          <w:lang w:val="es-ES_tradnl"/>
        </w:rPr>
        <w:t xml:space="preserve">CONSIDERANDO: </w:t>
      </w:r>
      <w:r w:rsidR="001A262D" w:rsidRPr="006C0064">
        <w:rPr>
          <w:sz w:val="24"/>
          <w:szCs w:val="24"/>
          <w:lang w:val="es-ES_tradnl"/>
        </w:rPr>
        <w:t>Que, mediante</w:t>
      </w:r>
      <w:r w:rsidR="001A262D" w:rsidRPr="00267737">
        <w:rPr>
          <w:sz w:val="24"/>
          <w:szCs w:val="24"/>
          <w:lang w:val="es-ES_tradnl"/>
        </w:rPr>
        <w:t xml:space="preserve"> Decisión 829 </w:t>
      </w:r>
      <w:r w:rsidR="00267737" w:rsidRPr="00267737">
        <w:rPr>
          <w:sz w:val="24"/>
          <w:szCs w:val="24"/>
          <w:lang w:val="es-ES_tradnl"/>
        </w:rPr>
        <w:t>d</w:t>
      </w:r>
      <w:r w:rsidR="001A262D" w:rsidRPr="00267737">
        <w:rPr>
          <w:rFonts w:cs="Arial"/>
          <w:bCs/>
          <w:sz w:val="24"/>
          <w:szCs w:val="24"/>
          <w:lang w:val="es-ES_tradnl"/>
        </w:rPr>
        <w:t>el Consejo Andino de Ministros de Relaciones Exteriores, reunido en forma ampliada con los Representantes Titulares ante la Comisión de la Comunidad Andina</w:t>
      </w:r>
      <w:r w:rsidR="00267737" w:rsidRPr="00267737">
        <w:rPr>
          <w:rFonts w:cs="Arial"/>
          <w:bCs/>
          <w:sz w:val="24"/>
          <w:szCs w:val="24"/>
          <w:lang w:val="es-ES_tradnl"/>
        </w:rPr>
        <w:t xml:space="preserve">, se eligió </w:t>
      </w:r>
      <w:r w:rsidR="00267737">
        <w:rPr>
          <w:rFonts w:cs="Arial"/>
          <w:bCs/>
          <w:sz w:val="24"/>
          <w:szCs w:val="24"/>
          <w:lang w:val="es-ES_tradnl"/>
        </w:rPr>
        <w:t xml:space="preserve">con efectividad a partir del 15 de noviembre de 2018, </w:t>
      </w:r>
      <w:r w:rsidR="00267737" w:rsidRPr="00267737">
        <w:rPr>
          <w:rFonts w:cs="Arial"/>
          <w:bCs/>
          <w:sz w:val="24"/>
          <w:szCs w:val="24"/>
          <w:lang w:val="es-ES_tradnl"/>
        </w:rPr>
        <w:t xml:space="preserve">al </w:t>
      </w:r>
      <w:r w:rsidR="00267737" w:rsidRPr="00267737">
        <w:rPr>
          <w:sz w:val="24"/>
          <w:szCs w:val="24"/>
          <w:lang w:val="es-ES_tradnl"/>
        </w:rPr>
        <w:t>señor Héctor Quintero Arredondo como Secretario General de la Comunidad Andina;</w:t>
      </w:r>
    </w:p>
    <w:p w:rsidR="001A262D" w:rsidRDefault="001A262D" w:rsidP="00280F9D">
      <w:pPr>
        <w:tabs>
          <w:tab w:val="left" w:pos="425"/>
        </w:tabs>
        <w:jc w:val="both"/>
        <w:rPr>
          <w:sz w:val="24"/>
          <w:szCs w:val="24"/>
          <w:lang w:val="es-ES_tradnl"/>
        </w:rPr>
      </w:pPr>
    </w:p>
    <w:p w:rsidR="00E63044" w:rsidRPr="00CF49C0" w:rsidRDefault="00E63044" w:rsidP="00280F9D">
      <w:pPr>
        <w:tabs>
          <w:tab w:val="left" w:pos="425"/>
        </w:tabs>
        <w:jc w:val="both"/>
        <w:rPr>
          <w:sz w:val="24"/>
          <w:szCs w:val="24"/>
          <w:lang w:val="es-ES_tradnl"/>
        </w:rPr>
      </w:pPr>
      <w:r w:rsidRPr="003A2444">
        <w:rPr>
          <w:sz w:val="24"/>
          <w:szCs w:val="24"/>
          <w:lang w:val="es-ES_tradnl"/>
        </w:rPr>
        <w:t>Que</w:t>
      </w:r>
      <w:r w:rsidR="00AF3CCA">
        <w:rPr>
          <w:sz w:val="24"/>
          <w:szCs w:val="24"/>
          <w:lang w:val="es-ES_tradnl"/>
        </w:rPr>
        <w:t>,</w:t>
      </w:r>
      <w:r w:rsidRPr="003A2444">
        <w:rPr>
          <w:sz w:val="24"/>
          <w:szCs w:val="24"/>
          <w:lang w:val="es-ES_tradnl"/>
        </w:rPr>
        <w:t xml:space="preserve"> con fecha </w:t>
      </w:r>
      <w:r w:rsidR="009D5BC0">
        <w:rPr>
          <w:sz w:val="24"/>
          <w:szCs w:val="24"/>
          <w:lang w:val="es-ES_tradnl"/>
        </w:rPr>
        <w:t>19</w:t>
      </w:r>
      <w:r w:rsidRPr="009D5BC0">
        <w:rPr>
          <w:sz w:val="24"/>
          <w:szCs w:val="24"/>
          <w:lang w:val="es-ES_tradnl"/>
        </w:rPr>
        <w:t xml:space="preserve"> de </w:t>
      </w:r>
      <w:r w:rsidR="006238EA" w:rsidRPr="009D5BC0">
        <w:rPr>
          <w:sz w:val="24"/>
          <w:szCs w:val="24"/>
          <w:lang w:val="es-ES_tradnl"/>
        </w:rPr>
        <w:t>diciembre</w:t>
      </w:r>
      <w:r w:rsidRPr="009D5BC0">
        <w:rPr>
          <w:sz w:val="24"/>
          <w:szCs w:val="24"/>
          <w:lang w:val="es-ES_tradnl"/>
        </w:rPr>
        <w:t xml:space="preserve"> de 20</w:t>
      </w:r>
      <w:r w:rsidR="006238EA" w:rsidRPr="009D5BC0">
        <w:rPr>
          <w:sz w:val="24"/>
          <w:szCs w:val="24"/>
          <w:lang w:val="es-ES_tradnl"/>
        </w:rPr>
        <w:t>18</w:t>
      </w:r>
      <w:r w:rsidRPr="003A2444">
        <w:rPr>
          <w:sz w:val="24"/>
          <w:szCs w:val="24"/>
          <w:lang w:val="es-ES_tradnl"/>
        </w:rPr>
        <w:t xml:space="preserve"> el Secretario General de la Comunidad Andina, </w:t>
      </w:r>
      <w:r w:rsidR="006238EA">
        <w:rPr>
          <w:sz w:val="24"/>
          <w:szCs w:val="24"/>
          <w:lang w:val="es-ES_tradnl"/>
        </w:rPr>
        <w:t>señor</w:t>
      </w:r>
      <w:r w:rsidRPr="003A2444">
        <w:rPr>
          <w:sz w:val="24"/>
          <w:szCs w:val="24"/>
          <w:lang w:val="es-ES_tradnl"/>
        </w:rPr>
        <w:t xml:space="preserve"> </w:t>
      </w:r>
      <w:r w:rsidR="006238EA">
        <w:rPr>
          <w:sz w:val="24"/>
          <w:szCs w:val="24"/>
          <w:lang w:val="es-ES_tradnl"/>
        </w:rPr>
        <w:t>Héctor Quintero Arredondo</w:t>
      </w:r>
      <w:r w:rsidRPr="003A2444">
        <w:rPr>
          <w:sz w:val="24"/>
          <w:szCs w:val="24"/>
          <w:lang w:val="es-ES_tradnl"/>
        </w:rPr>
        <w:t xml:space="preserve">, presentó a los </w:t>
      </w:r>
      <w:r w:rsidR="006238EA">
        <w:rPr>
          <w:sz w:val="24"/>
          <w:szCs w:val="24"/>
          <w:lang w:val="es-ES_tradnl"/>
        </w:rPr>
        <w:t>Representantes del Consejo And</w:t>
      </w:r>
      <w:r w:rsidR="006238EA" w:rsidRPr="00CF49C0">
        <w:rPr>
          <w:sz w:val="24"/>
          <w:szCs w:val="24"/>
          <w:lang w:val="es-ES_tradnl"/>
        </w:rPr>
        <w:t xml:space="preserve">ino de </w:t>
      </w:r>
      <w:r w:rsidRPr="00CF49C0">
        <w:rPr>
          <w:sz w:val="24"/>
          <w:szCs w:val="24"/>
          <w:lang w:val="es-ES_tradnl"/>
        </w:rPr>
        <w:t xml:space="preserve">Ministros de Relaciones Exteriores y a los </w:t>
      </w:r>
      <w:r w:rsidR="006238EA" w:rsidRPr="00CF49C0">
        <w:rPr>
          <w:sz w:val="24"/>
          <w:szCs w:val="24"/>
          <w:lang w:val="es-ES_tradnl"/>
        </w:rPr>
        <w:t xml:space="preserve">Representantes </w:t>
      </w:r>
      <w:r w:rsidRPr="00CF49C0">
        <w:rPr>
          <w:sz w:val="24"/>
          <w:szCs w:val="24"/>
          <w:lang w:val="es-ES_tradnl"/>
        </w:rPr>
        <w:t>de</w:t>
      </w:r>
      <w:r w:rsidR="006238EA" w:rsidRPr="00CF49C0">
        <w:rPr>
          <w:sz w:val="24"/>
          <w:szCs w:val="24"/>
          <w:lang w:val="es-ES_tradnl"/>
        </w:rPr>
        <w:t xml:space="preserve"> la Comisión d</w:t>
      </w:r>
      <w:r w:rsidRPr="00CF49C0">
        <w:rPr>
          <w:sz w:val="24"/>
          <w:szCs w:val="24"/>
          <w:lang w:val="es-ES_tradnl"/>
        </w:rPr>
        <w:t>e la Comunidad Andina, carta de renuncia a su cargo</w:t>
      </w:r>
      <w:r w:rsidR="0020106B">
        <w:rPr>
          <w:sz w:val="24"/>
          <w:szCs w:val="24"/>
          <w:lang w:val="es-ES_tradnl"/>
        </w:rPr>
        <w:t>.</w:t>
      </w:r>
    </w:p>
    <w:p w:rsidR="00E63044" w:rsidRPr="00CF49C0" w:rsidRDefault="00E63044" w:rsidP="00280F9D">
      <w:pPr>
        <w:tabs>
          <w:tab w:val="left" w:pos="425"/>
        </w:tabs>
        <w:jc w:val="both"/>
        <w:rPr>
          <w:sz w:val="24"/>
          <w:szCs w:val="24"/>
          <w:lang w:val="es-ES_tradnl"/>
        </w:rPr>
      </w:pPr>
    </w:p>
    <w:p w:rsidR="00E63044" w:rsidRPr="00455AC9" w:rsidRDefault="00E63044" w:rsidP="00280F9D">
      <w:pPr>
        <w:tabs>
          <w:tab w:val="left" w:pos="425"/>
        </w:tabs>
        <w:jc w:val="both"/>
        <w:rPr>
          <w:snapToGrid w:val="0"/>
          <w:sz w:val="24"/>
          <w:szCs w:val="24"/>
          <w:lang w:val="es-ES_tradnl"/>
        </w:rPr>
      </w:pPr>
      <w:r w:rsidRPr="00CF49C0">
        <w:rPr>
          <w:sz w:val="24"/>
          <w:szCs w:val="24"/>
          <w:lang w:val="es-ES_tradnl"/>
        </w:rPr>
        <w:t>Que</w:t>
      </w:r>
      <w:r w:rsidR="009D5BC0" w:rsidRPr="00CF49C0">
        <w:rPr>
          <w:sz w:val="24"/>
          <w:szCs w:val="24"/>
          <w:lang w:val="es-ES_tradnl"/>
        </w:rPr>
        <w:t>,</w:t>
      </w:r>
      <w:r w:rsidRPr="00CF49C0">
        <w:rPr>
          <w:sz w:val="24"/>
          <w:szCs w:val="24"/>
          <w:lang w:val="es-ES_tradnl"/>
        </w:rPr>
        <w:t xml:space="preserve"> conforme a lo dispuesto en el</w:t>
      </w:r>
      <w:r w:rsidR="009B00C8" w:rsidRPr="00CF49C0">
        <w:rPr>
          <w:sz w:val="24"/>
          <w:szCs w:val="24"/>
          <w:lang w:val="es-ES_tradnl"/>
        </w:rPr>
        <w:t xml:space="preserve"> literal c) del</w:t>
      </w:r>
      <w:r w:rsidRPr="00CF49C0">
        <w:rPr>
          <w:sz w:val="24"/>
          <w:szCs w:val="24"/>
          <w:lang w:val="es-ES_tradnl"/>
        </w:rPr>
        <w:t xml:space="preserve"> artículo 13 de</w:t>
      </w:r>
      <w:r w:rsidR="00455AC9" w:rsidRPr="00CF49C0">
        <w:rPr>
          <w:sz w:val="24"/>
          <w:szCs w:val="24"/>
          <w:lang w:val="es-ES_tradnl"/>
        </w:rPr>
        <w:t xml:space="preserve"> la Decisión 409</w:t>
      </w:r>
      <w:r w:rsidR="009B00C8" w:rsidRPr="00CF49C0">
        <w:rPr>
          <w:sz w:val="24"/>
          <w:szCs w:val="24"/>
          <w:lang w:val="es-ES_tradnl"/>
        </w:rPr>
        <w:t xml:space="preserve"> que </w:t>
      </w:r>
      <w:r w:rsidR="009D5BC0" w:rsidRPr="00CF49C0">
        <w:rPr>
          <w:sz w:val="24"/>
          <w:szCs w:val="24"/>
          <w:lang w:val="es-ES_tradnl"/>
        </w:rPr>
        <w:t xml:space="preserve">aprueba </w:t>
      </w:r>
      <w:r w:rsidR="009B00C8" w:rsidRPr="00CF49C0">
        <w:rPr>
          <w:sz w:val="24"/>
          <w:szCs w:val="24"/>
          <w:lang w:val="es-ES_tradnl"/>
        </w:rPr>
        <w:t>el</w:t>
      </w:r>
      <w:r w:rsidR="00455AC9" w:rsidRPr="00CF49C0">
        <w:rPr>
          <w:sz w:val="24"/>
          <w:szCs w:val="24"/>
          <w:lang w:val="es-ES_tradnl"/>
        </w:rPr>
        <w:t xml:space="preserve"> </w:t>
      </w:r>
      <w:r w:rsidRPr="00CF49C0">
        <w:rPr>
          <w:sz w:val="24"/>
          <w:szCs w:val="24"/>
          <w:lang w:val="es-ES_tradnl"/>
        </w:rPr>
        <w:t xml:space="preserve">Reglamento de la Secretaría General, </w:t>
      </w:r>
      <w:r w:rsidR="00455AC9" w:rsidRPr="00CF49C0">
        <w:rPr>
          <w:sz w:val="24"/>
          <w:szCs w:val="24"/>
          <w:lang w:val="es-ES_tradnl"/>
        </w:rPr>
        <w:t>e</w:t>
      </w:r>
      <w:r w:rsidR="00267737" w:rsidRPr="00CF49C0">
        <w:rPr>
          <w:snapToGrid w:val="0"/>
          <w:sz w:val="24"/>
          <w:szCs w:val="24"/>
          <w:lang w:val="es-ES_tradnl"/>
        </w:rPr>
        <w:t>l Consejo Andino de Ministros de Rel</w:t>
      </w:r>
      <w:r w:rsidR="00267737" w:rsidRPr="00455AC9">
        <w:rPr>
          <w:snapToGrid w:val="0"/>
          <w:sz w:val="24"/>
          <w:lang w:val="es-ES_tradnl"/>
        </w:rPr>
        <w:t>aciones Exteriores, en Reunión Ampliada</w:t>
      </w:r>
      <w:r w:rsidR="00455AC9" w:rsidRPr="00455AC9">
        <w:rPr>
          <w:rFonts w:cs="Arial"/>
          <w:bCs/>
          <w:sz w:val="24"/>
          <w:szCs w:val="24"/>
          <w:lang w:val="es-ES_tradnl"/>
        </w:rPr>
        <w:t xml:space="preserve"> </w:t>
      </w:r>
      <w:r w:rsidR="00455AC9" w:rsidRPr="00267737">
        <w:rPr>
          <w:rFonts w:cs="Arial"/>
          <w:bCs/>
          <w:sz w:val="24"/>
          <w:szCs w:val="24"/>
          <w:lang w:val="es-ES_tradnl"/>
        </w:rPr>
        <w:t>con los Representantes Titulares ante la Comisión de la Comunidad Andina</w:t>
      </w:r>
      <w:r w:rsidR="00267737" w:rsidRPr="00455AC9">
        <w:rPr>
          <w:snapToGrid w:val="0"/>
          <w:sz w:val="24"/>
          <w:lang w:val="es-ES_tradnl"/>
        </w:rPr>
        <w:t>, declarará la vacancia del Secretario General</w:t>
      </w:r>
      <w:r w:rsidR="006C0064">
        <w:rPr>
          <w:snapToGrid w:val="0"/>
          <w:sz w:val="24"/>
          <w:lang w:val="es-ES_tradnl"/>
        </w:rPr>
        <w:t xml:space="preserve"> </w:t>
      </w:r>
      <w:r w:rsidR="00455AC9" w:rsidRPr="00455AC9">
        <w:rPr>
          <w:snapToGrid w:val="0"/>
          <w:sz w:val="24"/>
          <w:lang w:val="es-ES_tradnl"/>
        </w:rPr>
        <w:t>en caso de</w:t>
      </w:r>
      <w:r w:rsidR="00267737" w:rsidRPr="00455AC9">
        <w:rPr>
          <w:snapToGrid w:val="0"/>
          <w:sz w:val="24"/>
          <w:lang w:val="es-ES_tradnl"/>
        </w:rPr>
        <w:t xml:space="preserve"> </w:t>
      </w:r>
      <w:r w:rsidR="00455AC9">
        <w:rPr>
          <w:snapToGrid w:val="0"/>
          <w:sz w:val="24"/>
          <w:lang w:val="es-ES_tradnl"/>
        </w:rPr>
        <w:t>r</w:t>
      </w:r>
      <w:r w:rsidR="00267737" w:rsidRPr="00455AC9">
        <w:rPr>
          <w:snapToGrid w:val="0"/>
          <w:sz w:val="24"/>
          <w:lang w:val="es-ES_tradnl"/>
        </w:rPr>
        <w:t>enuncia</w:t>
      </w:r>
      <w:r w:rsidR="00455AC9" w:rsidRPr="00455AC9">
        <w:rPr>
          <w:snapToGrid w:val="0"/>
          <w:sz w:val="24"/>
          <w:lang w:val="es-ES_tradnl"/>
        </w:rPr>
        <w:t xml:space="preserve"> aceptada</w:t>
      </w:r>
      <w:r w:rsidR="009B00C8">
        <w:rPr>
          <w:snapToGrid w:val="0"/>
          <w:sz w:val="24"/>
          <w:lang w:val="es-ES_tradnl"/>
        </w:rPr>
        <w:t xml:space="preserve"> por dicho órgano comunitario</w:t>
      </w:r>
      <w:r w:rsidR="00455AC9" w:rsidRPr="00455AC9">
        <w:rPr>
          <w:snapToGrid w:val="0"/>
          <w:sz w:val="24"/>
          <w:lang w:val="es-ES_tradnl"/>
        </w:rPr>
        <w:t>.</w:t>
      </w:r>
    </w:p>
    <w:p w:rsidR="00E63044" w:rsidRDefault="00E63044" w:rsidP="00280F9D">
      <w:pPr>
        <w:tabs>
          <w:tab w:val="left" w:pos="425"/>
        </w:tabs>
        <w:jc w:val="both"/>
        <w:rPr>
          <w:snapToGrid w:val="0"/>
          <w:sz w:val="24"/>
          <w:szCs w:val="24"/>
          <w:lang w:val="es-ES_tradnl"/>
        </w:rPr>
      </w:pPr>
    </w:p>
    <w:p w:rsidR="00280F9D" w:rsidRPr="00CF49C0" w:rsidRDefault="00280F9D" w:rsidP="00280F9D">
      <w:pPr>
        <w:tabs>
          <w:tab w:val="left" w:pos="425"/>
        </w:tabs>
        <w:jc w:val="both"/>
        <w:rPr>
          <w:rFonts w:cs="Arial"/>
          <w:sz w:val="24"/>
          <w:szCs w:val="24"/>
        </w:rPr>
      </w:pPr>
      <w:r w:rsidRPr="00CF49C0">
        <w:rPr>
          <w:rFonts w:cs="Arial"/>
          <w:sz w:val="24"/>
          <w:szCs w:val="24"/>
        </w:rPr>
        <w:t xml:space="preserve">Que, con ocasión de la </w:t>
      </w:r>
      <w:r>
        <w:rPr>
          <w:rFonts w:cs="Arial"/>
          <w:sz w:val="24"/>
          <w:szCs w:val="24"/>
        </w:rPr>
        <w:t>renuncia</w:t>
      </w:r>
      <w:r w:rsidRPr="00CF49C0">
        <w:rPr>
          <w:rFonts w:cs="Arial"/>
          <w:sz w:val="24"/>
          <w:szCs w:val="24"/>
        </w:rPr>
        <w:t xml:space="preserve"> y advirtiendo la necesidad de atender una coyuntura de carácter excepcional, específica y temporal, los </w:t>
      </w:r>
      <w:r>
        <w:rPr>
          <w:rFonts w:cs="Arial"/>
          <w:sz w:val="24"/>
          <w:szCs w:val="24"/>
        </w:rPr>
        <w:t xml:space="preserve">Países </w:t>
      </w:r>
      <w:r w:rsidRPr="00CF49C0">
        <w:rPr>
          <w:rFonts w:cs="Arial"/>
          <w:sz w:val="24"/>
          <w:szCs w:val="24"/>
        </w:rPr>
        <w:t xml:space="preserve">Miembros han manifestado por consenso su voluntad de proceder en esta oportunidad a la elección de un Secretario General de nacionalidad </w:t>
      </w:r>
      <w:r>
        <w:rPr>
          <w:rFonts w:cs="Arial"/>
          <w:sz w:val="24"/>
          <w:szCs w:val="24"/>
        </w:rPr>
        <w:t>colombiana</w:t>
      </w:r>
      <w:r w:rsidRPr="00CF49C0">
        <w:rPr>
          <w:rFonts w:cs="Arial"/>
          <w:sz w:val="24"/>
          <w:szCs w:val="24"/>
        </w:rPr>
        <w:t xml:space="preserve">, para que continúe y concluya el periodo del mandato del señor </w:t>
      </w:r>
      <w:r>
        <w:rPr>
          <w:rFonts w:cs="Arial"/>
          <w:sz w:val="24"/>
          <w:szCs w:val="24"/>
        </w:rPr>
        <w:t>Héctor Quintero Arredondo</w:t>
      </w:r>
      <w:r w:rsidRPr="00CF49C0">
        <w:rPr>
          <w:rFonts w:cs="Arial"/>
          <w:sz w:val="24"/>
          <w:szCs w:val="24"/>
        </w:rPr>
        <w:t>, como Secretario General elegido hasta el 1</w:t>
      </w:r>
      <w:r>
        <w:rPr>
          <w:rFonts w:cs="Arial"/>
          <w:sz w:val="24"/>
          <w:szCs w:val="24"/>
        </w:rPr>
        <w:t>5</w:t>
      </w:r>
      <w:r w:rsidRPr="00CF49C0">
        <w:rPr>
          <w:rFonts w:cs="Arial"/>
          <w:sz w:val="24"/>
          <w:szCs w:val="24"/>
        </w:rPr>
        <w:t xml:space="preserve"> de </w:t>
      </w:r>
      <w:r>
        <w:rPr>
          <w:rFonts w:cs="Arial"/>
          <w:sz w:val="24"/>
          <w:szCs w:val="24"/>
        </w:rPr>
        <w:t>noviembre</w:t>
      </w:r>
      <w:r w:rsidRPr="00CF49C0">
        <w:rPr>
          <w:rFonts w:cs="Arial"/>
          <w:sz w:val="24"/>
          <w:szCs w:val="24"/>
        </w:rPr>
        <w:t xml:space="preserve"> de 20</w:t>
      </w:r>
      <w:r>
        <w:rPr>
          <w:rFonts w:cs="Arial"/>
          <w:sz w:val="24"/>
          <w:szCs w:val="24"/>
        </w:rPr>
        <w:t>23</w:t>
      </w:r>
      <w:r w:rsidRPr="00CF49C0">
        <w:rPr>
          <w:rFonts w:cs="Arial"/>
          <w:sz w:val="24"/>
          <w:szCs w:val="24"/>
        </w:rPr>
        <w:t>;</w:t>
      </w:r>
    </w:p>
    <w:p w:rsidR="00455AC9" w:rsidRPr="0055344B" w:rsidRDefault="00455AC9" w:rsidP="00280F9D">
      <w:pPr>
        <w:tabs>
          <w:tab w:val="left" w:pos="426"/>
        </w:tabs>
        <w:jc w:val="both"/>
        <w:rPr>
          <w:sz w:val="24"/>
          <w:szCs w:val="24"/>
          <w:lang w:val="es-ES_tradnl"/>
        </w:rPr>
      </w:pPr>
    </w:p>
    <w:p w:rsidR="00280F9D" w:rsidRDefault="00280F9D" w:rsidP="00280F9D">
      <w:pPr>
        <w:pStyle w:val="Style2"/>
        <w:tabs>
          <w:tab w:val="left" w:pos="425"/>
        </w:tabs>
        <w:ind w:firstLine="0"/>
        <w:rPr>
          <w:rFonts w:ascii="Arial" w:hAnsi="Arial" w:cs="Arial"/>
          <w:lang w:val="es-ES_tradnl"/>
        </w:rPr>
      </w:pPr>
      <w:r w:rsidRPr="00047A39">
        <w:rPr>
          <w:rFonts w:ascii="Arial" w:hAnsi="Arial" w:cs="Arial"/>
          <w:lang w:val="es-ES_tradnl"/>
        </w:rPr>
        <w:t>Que, de conformidad con el artículo 32 del Acuerdo de Cartagena y el artículo 7 literal j) de la Decisión 407, corresponde al Consejo Andino de Ministros de Relaciones Exteriores, en reunión ampliada con los representantes titulares ante la Comisión de la Comunidad Andina, elegir al Secretario General de la Comunidad Andina;</w:t>
      </w:r>
    </w:p>
    <w:p w:rsidR="004E7E07" w:rsidRPr="00047A39" w:rsidRDefault="004E7E07" w:rsidP="00280F9D">
      <w:pPr>
        <w:pStyle w:val="Style2"/>
        <w:tabs>
          <w:tab w:val="left" w:pos="425"/>
        </w:tabs>
        <w:ind w:firstLine="0"/>
        <w:rPr>
          <w:rFonts w:ascii="Arial" w:hAnsi="Arial" w:cs="Arial"/>
          <w:lang w:val="es-ES_tradnl"/>
        </w:rPr>
      </w:pPr>
    </w:p>
    <w:p w:rsidR="00E63044" w:rsidRPr="0055344B" w:rsidRDefault="00E63044" w:rsidP="00280F9D">
      <w:pPr>
        <w:tabs>
          <w:tab w:val="left" w:pos="425"/>
        </w:tabs>
        <w:jc w:val="both"/>
        <w:rPr>
          <w:snapToGrid w:val="0"/>
          <w:sz w:val="24"/>
          <w:szCs w:val="24"/>
          <w:lang w:val="es-ES_tradnl"/>
        </w:rPr>
      </w:pPr>
    </w:p>
    <w:p w:rsidR="00E63044" w:rsidRPr="0055344B" w:rsidRDefault="00E63044" w:rsidP="00280F9D">
      <w:pPr>
        <w:pStyle w:val="Textoindependiente"/>
        <w:tabs>
          <w:tab w:val="clear" w:pos="426"/>
          <w:tab w:val="left" w:pos="425"/>
        </w:tabs>
        <w:rPr>
          <w:szCs w:val="24"/>
          <w:lang w:val="es-ES_tradnl"/>
        </w:rPr>
      </w:pPr>
      <w:r w:rsidRPr="0055344B">
        <w:rPr>
          <w:szCs w:val="24"/>
          <w:lang w:val="es-ES_tradnl"/>
        </w:rPr>
        <w:lastRenderedPageBreak/>
        <w:t>DECIDE:</w:t>
      </w:r>
    </w:p>
    <w:p w:rsidR="00E63044" w:rsidRPr="0055344B" w:rsidRDefault="00E63044" w:rsidP="00280F9D">
      <w:pPr>
        <w:tabs>
          <w:tab w:val="left" w:pos="425"/>
        </w:tabs>
        <w:jc w:val="both"/>
        <w:rPr>
          <w:sz w:val="24"/>
          <w:szCs w:val="24"/>
          <w:lang w:val="es-ES_tradnl"/>
        </w:rPr>
      </w:pPr>
    </w:p>
    <w:p w:rsidR="00E63044" w:rsidRPr="0055344B" w:rsidRDefault="00E63044" w:rsidP="00280F9D">
      <w:pPr>
        <w:tabs>
          <w:tab w:val="left" w:pos="425"/>
        </w:tabs>
        <w:jc w:val="both"/>
        <w:rPr>
          <w:sz w:val="24"/>
          <w:szCs w:val="24"/>
          <w:lang w:val="es-ES_tradnl"/>
        </w:rPr>
      </w:pPr>
      <w:r w:rsidRPr="0055344B">
        <w:rPr>
          <w:b/>
          <w:sz w:val="24"/>
          <w:szCs w:val="24"/>
          <w:lang w:val="es-ES_tradnl"/>
        </w:rPr>
        <w:t>Artículo 1.-</w:t>
      </w:r>
      <w:r w:rsidRPr="0055344B">
        <w:rPr>
          <w:sz w:val="24"/>
          <w:szCs w:val="24"/>
          <w:lang w:val="es-ES_tradnl"/>
        </w:rPr>
        <w:t xml:space="preserve"> Aceptar la </w:t>
      </w:r>
      <w:r w:rsidRPr="00D83C7B">
        <w:rPr>
          <w:sz w:val="24"/>
          <w:szCs w:val="24"/>
          <w:lang w:val="es-ES_tradnl"/>
        </w:rPr>
        <w:t xml:space="preserve">renuncia del </w:t>
      </w:r>
      <w:r w:rsidR="006238EA" w:rsidRPr="00D83C7B">
        <w:rPr>
          <w:sz w:val="24"/>
          <w:szCs w:val="24"/>
          <w:lang w:val="es-ES_tradnl"/>
        </w:rPr>
        <w:t xml:space="preserve">señor Héctor Quintero Arredondo </w:t>
      </w:r>
      <w:r w:rsidRPr="00D83C7B">
        <w:rPr>
          <w:sz w:val="24"/>
          <w:szCs w:val="24"/>
          <w:lang w:val="es-ES_tradnl"/>
        </w:rPr>
        <w:t>al cargo de Secretario General de la Comunidad Andina</w:t>
      </w:r>
      <w:r w:rsidR="00D83C7B" w:rsidRPr="00D83C7B">
        <w:rPr>
          <w:sz w:val="24"/>
          <w:szCs w:val="24"/>
          <w:lang w:val="es-ES_tradnl"/>
        </w:rPr>
        <w:t xml:space="preserve">, </w:t>
      </w:r>
      <w:r w:rsidR="00D83C7B" w:rsidRPr="00D83C7B">
        <w:rPr>
          <w:rFonts w:cs="Arial"/>
          <w:sz w:val="24"/>
          <w:szCs w:val="24"/>
        </w:rPr>
        <w:t xml:space="preserve">agradeciéndole por sus aportes al servicio de la </w:t>
      </w:r>
      <w:r w:rsidR="006613FE">
        <w:rPr>
          <w:rFonts w:cs="Arial"/>
          <w:sz w:val="24"/>
          <w:szCs w:val="24"/>
        </w:rPr>
        <w:t>i</w:t>
      </w:r>
      <w:r w:rsidR="00D83C7B" w:rsidRPr="00D83C7B">
        <w:rPr>
          <w:rFonts w:cs="Arial"/>
          <w:sz w:val="24"/>
          <w:szCs w:val="24"/>
        </w:rPr>
        <w:t xml:space="preserve">ntegración </w:t>
      </w:r>
      <w:r w:rsidR="006613FE">
        <w:rPr>
          <w:rFonts w:cs="Arial"/>
          <w:sz w:val="24"/>
          <w:szCs w:val="24"/>
        </w:rPr>
        <w:t>a</w:t>
      </w:r>
      <w:r w:rsidR="00D83C7B" w:rsidRPr="00D83C7B">
        <w:rPr>
          <w:rFonts w:cs="Arial"/>
          <w:sz w:val="24"/>
          <w:szCs w:val="24"/>
        </w:rPr>
        <w:t>ndina,</w:t>
      </w:r>
      <w:r w:rsidRPr="00D83C7B">
        <w:rPr>
          <w:sz w:val="24"/>
          <w:szCs w:val="24"/>
          <w:lang w:val="es-ES_tradnl"/>
        </w:rPr>
        <w:t xml:space="preserve"> a partir del</w:t>
      </w:r>
      <w:r w:rsidRPr="0055344B">
        <w:rPr>
          <w:sz w:val="24"/>
          <w:szCs w:val="24"/>
          <w:lang w:val="es-ES_tradnl"/>
        </w:rPr>
        <w:t xml:space="preserve"> </w:t>
      </w:r>
      <w:r w:rsidR="0055344B" w:rsidRPr="00774F79">
        <w:rPr>
          <w:sz w:val="24"/>
          <w:szCs w:val="24"/>
          <w:lang w:val="es-ES_tradnl"/>
        </w:rPr>
        <w:t>1</w:t>
      </w:r>
      <w:r w:rsidR="001A262D" w:rsidRPr="00774F79">
        <w:rPr>
          <w:sz w:val="24"/>
          <w:szCs w:val="24"/>
          <w:lang w:val="es-ES_tradnl"/>
        </w:rPr>
        <w:t>1</w:t>
      </w:r>
      <w:r w:rsidRPr="00774F79">
        <w:rPr>
          <w:sz w:val="24"/>
          <w:szCs w:val="24"/>
          <w:lang w:val="es-ES_tradnl"/>
        </w:rPr>
        <w:t xml:space="preserve"> de </w:t>
      </w:r>
      <w:r w:rsidR="006238EA" w:rsidRPr="00774F79">
        <w:rPr>
          <w:sz w:val="24"/>
          <w:szCs w:val="24"/>
          <w:lang w:val="es-ES_tradnl"/>
        </w:rPr>
        <w:t>e</w:t>
      </w:r>
      <w:r w:rsidR="0055344B" w:rsidRPr="00774F79">
        <w:rPr>
          <w:sz w:val="24"/>
          <w:szCs w:val="24"/>
          <w:lang w:val="es-ES_tradnl"/>
        </w:rPr>
        <w:t>nero</w:t>
      </w:r>
      <w:r w:rsidRPr="00774F79">
        <w:rPr>
          <w:sz w:val="24"/>
          <w:szCs w:val="24"/>
          <w:lang w:val="es-ES_tradnl"/>
        </w:rPr>
        <w:t xml:space="preserve"> de 20</w:t>
      </w:r>
      <w:r w:rsidR="006238EA" w:rsidRPr="00774F79">
        <w:rPr>
          <w:sz w:val="24"/>
          <w:szCs w:val="24"/>
          <w:lang w:val="es-ES_tradnl"/>
        </w:rPr>
        <w:t>1</w:t>
      </w:r>
      <w:r w:rsidR="0055344B" w:rsidRPr="00774F79">
        <w:rPr>
          <w:sz w:val="24"/>
          <w:szCs w:val="24"/>
          <w:lang w:val="es-ES_tradnl"/>
        </w:rPr>
        <w:t>9</w:t>
      </w:r>
      <w:r w:rsidRPr="00774F79">
        <w:rPr>
          <w:sz w:val="24"/>
          <w:szCs w:val="24"/>
          <w:lang w:val="es-ES_tradnl"/>
        </w:rPr>
        <w:t>.</w:t>
      </w:r>
    </w:p>
    <w:p w:rsidR="00E63044" w:rsidRPr="0055344B" w:rsidRDefault="00E63044" w:rsidP="00280F9D">
      <w:pPr>
        <w:tabs>
          <w:tab w:val="left" w:pos="425"/>
        </w:tabs>
        <w:jc w:val="both"/>
        <w:rPr>
          <w:sz w:val="24"/>
          <w:szCs w:val="24"/>
          <w:lang w:val="es-ES_tradnl"/>
        </w:rPr>
      </w:pPr>
    </w:p>
    <w:p w:rsidR="00CF49C0" w:rsidRPr="00462745" w:rsidRDefault="00E63044" w:rsidP="00280F9D">
      <w:pPr>
        <w:tabs>
          <w:tab w:val="left" w:pos="425"/>
        </w:tabs>
        <w:jc w:val="both"/>
        <w:rPr>
          <w:rFonts w:cs="Arial"/>
          <w:sz w:val="24"/>
          <w:szCs w:val="24"/>
        </w:rPr>
      </w:pPr>
      <w:r w:rsidRPr="0055344B">
        <w:rPr>
          <w:b/>
          <w:sz w:val="24"/>
          <w:szCs w:val="24"/>
          <w:lang w:val="es-ES_tradnl"/>
        </w:rPr>
        <w:t>Artículo 2.-</w:t>
      </w:r>
      <w:r w:rsidRPr="0055344B">
        <w:rPr>
          <w:sz w:val="24"/>
          <w:szCs w:val="24"/>
          <w:lang w:val="es-ES_tradnl"/>
        </w:rPr>
        <w:t xml:space="preserve"> </w:t>
      </w:r>
      <w:r w:rsidR="006C0064" w:rsidRPr="0055344B">
        <w:rPr>
          <w:rFonts w:cs="Arial"/>
          <w:sz w:val="24"/>
          <w:szCs w:val="24"/>
          <w:lang w:val="es-ES_tradnl"/>
        </w:rPr>
        <w:t xml:space="preserve">Elegir </w:t>
      </w:r>
      <w:r w:rsidR="00CF49C0" w:rsidRPr="0055344B">
        <w:rPr>
          <w:rFonts w:cs="Arial"/>
          <w:sz w:val="24"/>
          <w:szCs w:val="24"/>
        </w:rPr>
        <w:t xml:space="preserve">por consenso del Consejo Andino de Ministros de Relaciones Exteriores en Reunión Ampliada con los representantes ante la Comisión, al señor </w:t>
      </w:r>
      <w:r w:rsidR="006C0064" w:rsidRPr="0055344B">
        <w:rPr>
          <w:rFonts w:cs="Arial"/>
          <w:sz w:val="24"/>
          <w:szCs w:val="24"/>
          <w:lang w:val="es-ES_tradnl"/>
        </w:rPr>
        <w:t>Jorge Hernando Pedraza Gutiérrez</w:t>
      </w:r>
      <w:r w:rsidR="00CF49C0" w:rsidRPr="0055344B">
        <w:rPr>
          <w:rFonts w:cs="Arial"/>
          <w:sz w:val="24"/>
          <w:szCs w:val="24"/>
          <w:lang w:val="es-ES_tradnl"/>
        </w:rPr>
        <w:t>, de nacionalidad colombiana,</w:t>
      </w:r>
      <w:r w:rsidR="006C0064" w:rsidRPr="0055344B">
        <w:rPr>
          <w:rFonts w:cs="Arial"/>
          <w:sz w:val="24"/>
          <w:szCs w:val="24"/>
          <w:lang w:val="es-ES_tradnl"/>
        </w:rPr>
        <w:t xml:space="preserve"> como Secretario </w:t>
      </w:r>
      <w:r w:rsidR="006C0064" w:rsidRPr="00462745">
        <w:rPr>
          <w:rFonts w:cs="Arial"/>
          <w:sz w:val="24"/>
          <w:szCs w:val="24"/>
          <w:lang w:val="es-ES_tradnl"/>
        </w:rPr>
        <w:t xml:space="preserve">General de la Comunidad Andina, </w:t>
      </w:r>
      <w:r w:rsidR="00CF49C0" w:rsidRPr="00462745">
        <w:rPr>
          <w:rFonts w:cs="Arial"/>
          <w:sz w:val="24"/>
          <w:szCs w:val="24"/>
        </w:rPr>
        <w:t xml:space="preserve">por el periodo que resta hasta completar el mandato de 5 años del Secretario General saliente, cargo </w:t>
      </w:r>
      <w:r w:rsidR="0055344B" w:rsidRPr="00462745">
        <w:rPr>
          <w:rFonts w:cs="Arial"/>
          <w:sz w:val="24"/>
          <w:szCs w:val="24"/>
        </w:rPr>
        <w:t xml:space="preserve">que asumirá a partir </w:t>
      </w:r>
      <w:r w:rsidR="00774F79" w:rsidRPr="00462745">
        <w:rPr>
          <w:rFonts w:cs="Arial"/>
          <w:sz w:val="24"/>
          <w:szCs w:val="24"/>
        </w:rPr>
        <w:t>del 1</w:t>
      </w:r>
      <w:r w:rsidR="000F0E7A" w:rsidRPr="00462745">
        <w:rPr>
          <w:rFonts w:cs="Arial"/>
          <w:sz w:val="24"/>
          <w:szCs w:val="24"/>
        </w:rPr>
        <w:t>1</w:t>
      </w:r>
      <w:r w:rsidR="00774F79" w:rsidRPr="00462745">
        <w:rPr>
          <w:rFonts w:cs="Arial"/>
          <w:sz w:val="24"/>
          <w:szCs w:val="24"/>
        </w:rPr>
        <w:t xml:space="preserve"> de enero</w:t>
      </w:r>
      <w:r w:rsidR="0055344B" w:rsidRPr="00462745">
        <w:rPr>
          <w:rFonts w:cs="Arial"/>
          <w:sz w:val="24"/>
          <w:szCs w:val="24"/>
        </w:rPr>
        <w:t xml:space="preserve"> de 2019</w:t>
      </w:r>
      <w:r w:rsidR="006B75C0" w:rsidRPr="00462745">
        <w:rPr>
          <w:rFonts w:cs="Arial"/>
          <w:sz w:val="24"/>
          <w:szCs w:val="24"/>
        </w:rPr>
        <w:t>.</w:t>
      </w:r>
      <w:r w:rsidR="00CF49C0" w:rsidRPr="00462745">
        <w:rPr>
          <w:rFonts w:cs="Arial"/>
          <w:sz w:val="24"/>
          <w:szCs w:val="24"/>
        </w:rPr>
        <w:t xml:space="preserve"> </w:t>
      </w:r>
    </w:p>
    <w:p w:rsidR="0055344B" w:rsidRPr="00462745" w:rsidRDefault="0055344B" w:rsidP="00280F9D">
      <w:pPr>
        <w:tabs>
          <w:tab w:val="left" w:pos="425"/>
        </w:tabs>
        <w:jc w:val="both"/>
        <w:rPr>
          <w:rFonts w:cs="Arial"/>
          <w:sz w:val="24"/>
          <w:szCs w:val="24"/>
          <w:lang w:val="es-ES_tradnl"/>
        </w:rPr>
      </w:pPr>
    </w:p>
    <w:p w:rsidR="00E63044" w:rsidRPr="00462745" w:rsidRDefault="0055344B" w:rsidP="00280F9D">
      <w:pPr>
        <w:pStyle w:val="Style2"/>
        <w:tabs>
          <w:tab w:val="left" w:pos="425"/>
        </w:tabs>
        <w:ind w:firstLine="0"/>
        <w:rPr>
          <w:lang w:val="es-ES_tradnl"/>
        </w:rPr>
      </w:pPr>
      <w:r w:rsidRPr="00462745">
        <w:rPr>
          <w:rFonts w:ascii="Arial" w:hAnsi="Arial" w:cs="Arial"/>
          <w:b/>
          <w:lang w:val="es-ES_tradnl"/>
        </w:rPr>
        <w:tab/>
      </w:r>
    </w:p>
    <w:p w:rsidR="00E63044" w:rsidRPr="003A2444" w:rsidRDefault="00E63044" w:rsidP="00280F9D">
      <w:pPr>
        <w:tabs>
          <w:tab w:val="left" w:pos="425"/>
        </w:tabs>
        <w:jc w:val="both"/>
        <w:rPr>
          <w:sz w:val="24"/>
          <w:szCs w:val="24"/>
          <w:lang w:val="es-ES_tradnl"/>
        </w:rPr>
      </w:pPr>
      <w:r w:rsidRPr="00462745">
        <w:rPr>
          <w:sz w:val="24"/>
          <w:szCs w:val="24"/>
          <w:lang w:val="es-ES_tradnl"/>
        </w:rPr>
        <w:t xml:space="preserve">Dada en la ciudad de Lima, Perú, a los </w:t>
      </w:r>
      <w:r w:rsidR="00774F79" w:rsidRPr="00462745">
        <w:rPr>
          <w:sz w:val="24"/>
          <w:szCs w:val="24"/>
          <w:lang w:val="es-ES_tradnl"/>
        </w:rPr>
        <w:t>11</w:t>
      </w:r>
      <w:r w:rsidR="00267737" w:rsidRPr="00462745">
        <w:rPr>
          <w:sz w:val="24"/>
          <w:szCs w:val="24"/>
          <w:lang w:val="es-ES_tradnl"/>
        </w:rPr>
        <w:t xml:space="preserve"> </w:t>
      </w:r>
      <w:r w:rsidRPr="00462745">
        <w:rPr>
          <w:sz w:val="24"/>
          <w:szCs w:val="24"/>
          <w:lang w:val="es-ES_tradnl"/>
        </w:rPr>
        <w:t xml:space="preserve">días del mes de </w:t>
      </w:r>
      <w:r w:rsidR="00D83C7B" w:rsidRPr="00462745">
        <w:rPr>
          <w:sz w:val="24"/>
          <w:szCs w:val="24"/>
          <w:lang w:val="es-ES_tradnl"/>
        </w:rPr>
        <w:t>enero</w:t>
      </w:r>
      <w:r w:rsidRPr="00462745">
        <w:rPr>
          <w:sz w:val="24"/>
          <w:szCs w:val="24"/>
          <w:lang w:val="es-ES_tradnl"/>
        </w:rPr>
        <w:t xml:space="preserve"> del año dos mil </w:t>
      </w:r>
      <w:r w:rsidR="00774F79" w:rsidRPr="00462745">
        <w:rPr>
          <w:sz w:val="24"/>
          <w:szCs w:val="24"/>
          <w:lang w:val="es-ES_tradnl"/>
        </w:rPr>
        <w:t>diecinueve</w:t>
      </w:r>
      <w:r w:rsidRPr="00462745">
        <w:rPr>
          <w:sz w:val="24"/>
          <w:szCs w:val="24"/>
          <w:lang w:val="es-ES_tradnl"/>
        </w:rPr>
        <w:t>.</w:t>
      </w:r>
    </w:p>
    <w:p w:rsidR="00E63044" w:rsidRPr="003A2444" w:rsidRDefault="00E63044" w:rsidP="00280F9D">
      <w:pPr>
        <w:tabs>
          <w:tab w:val="left" w:pos="425"/>
        </w:tabs>
        <w:jc w:val="both"/>
        <w:rPr>
          <w:rFonts w:cs="Arial"/>
          <w:sz w:val="24"/>
          <w:szCs w:val="24"/>
          <w:lang w:val="es-ES_tradnl"/>
        </w:rPr>
      </w:pPr>
    </w:p>
    <w:p w:rsidR="00813C51" w:rsidRPr="003A2444" w:rsidRDefault="00813C51" w:rsidP="00280F9D">
      <w:pPr>
        <w:tabs>
          <w:tab w:val="left" w:pos="425"/>
        </w:tabs>
        <w:rPr>
          <w:rFonts w:cs="Arial"/>
          <w:sz w:val="24"/>
          <w:szCs w:val="24"/>
        </w:rPr>
      </w:pPr>
    </w:p>
    <w:p w:rsidR="00813C51" w:rsidRPr="003A2444" w:rsidRDefault="00813C51" w:rsidP="00280F9D">
      <w:pPr>
        <w:tabs>
          <w:tab w:val="left" w:pos="425"/>
        </w:tabs>
        <w:rPr>
          <w:rFonts w:cs="Arial"/>
          <w:sz w:val="24"/>
          <w:szCs w:val="24"/>
        </w:rPr>
      </w:pPr>
    </w:p>
    <w:p w:rsidR="00813C51" w:rsidRPr="003A2444" w:rsidRDefault="00813C51" w:rsidP="00280F9D">
      <w:pPr>
        <w:tabs>
          <w:tab w:val="left" w:pos="425"/>
        </w:tabs>
        <w:rPr>
          <w:rFonts w:cs="Arial"/>
          <w:sz w:val="24"/>
          <w:szCs w:val="24"/>
        </w:rPr>
      </w:pPr>
    </w:p>
    <w:p w:rsidR="00813C51" w:rsidRPr="003A2444" w:rsidRDefault="00813C51" w:rsidP="00280F9D">
      <w:pPr>
        <w:tabs>
          <w:tab w:val="left" w:pos="425"/>
        </w:tabs>
        <w:jc w:val="center"/>
        <w:rPr>
          <w:rFonts w:cs="Arial"/>
          <w:sz w:val="24"/>
          <w:szCs w:val="24"/>
        </w:rPr>
      </w:pPr>
      <w:bookmarkStart w:id="0" w:name="_GoBack"/>
      <w:bookmarkEnd w:id="0"/>
      <w:r w:rsidRPr="003A2444">
        <w:rPr>
          <w:rFonts w:cs="Arial"/>
          <w:sz w:val="24"/>
          <w:szCs w:val="24"/>
        </w:rPr>
        <w:t>* * * * * *</w:t>
      </w:r>
    </w:p>
    <w:sectPr w:rsidR="00813C51" w:rsidRPr="003A2444" w:rsidSect="00813C51">
      <w:headerReference w:type="default" r:id="rId7"/>
      <w:pgSz w:w="11906" w:h="16838" w:code="9"/>
      <w:pgMar w:top="1247" w:right="1247" w:bottom="1021" w:left="1247" w:header="851"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6D" w:rsidRDefault="00FF566D">
      <w:r>
        <w:separator/>
      </w:r>
    </w:p>
  </w:endnote>
  <w:endnote w:type="continuationSeparator" w:id="0">
    <w:p w:rsidR="00FF566D" w:rsidRDefault="00FF5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6D" w:rsidRDefault="00FF566D">
      <w:r>
        <w:separator/>
      </w:r>
    </w:p>
  </w:footnote>
  <w:footnote w:type="continuationSeparator" w:id="0">
    <w:p w:rsidR="00FF566D" w:rsidRDefault="00FF5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9E" w:rsidRDefault="00820F9E">
    <w:pPr>
      <w:pStyle w:val="Encabezado"/>
      <w:jc w:val="center"/>
      <w:rPr>
        <w:sz w:val="22"/>
      </w:rPr>
    </w:pPr>
    <w:r>
      <w:rPr>
        <w:rStyle w:val="Nmerodepgina"/>
        <w:sz w:val="22"/>
      </w:rPr>
      <w:t xml:space="preserve">- </w:t>
    </w:r>
    <w:r w:rsidR="007F3155">
      <w:rPr>
        <w:rStyle w:val="Nmerodepgina"/>
        <w:sz w:val="22"/>
      </w:rPr>
      <w:fldChar w:fldCharType="begin"/>
    </w:r>
    <w:r>
      <w:rPr>
        <w:rStyle w:val="Nmerodepgina"/>
        <w:sz w:val="22"/>
      </w:rPr>
      <w:instrText xml:space="preserve"> PAGE </w:instrText>
    </w:r>
    <w:r w:rsidR="007F3155">
      <w:rPr>
        <w:rStyle w:val="Nmerodepgina"/>
        <w:sz w:val="22"/>
      </w:rPr>
      <w:fldChar w:fldCharType="separate"/>
    </w:r>
    <w:r w:rsidR="004E7E07">
      <w:rPr>
        <w:rStyle w:val="Nmerodepgina"/>
        <w:noProof/>
        <w:sz w:val="22"/>
      </w:rPr>
      <w:t>2</w:t>
    </w:r>
    <w:r w:rsidR="007F3155">
      <w:rPr>
        <w:rStyle w:val="Nmerodepgina"/>
        <w:sz w:val="22"/>
      </w:rPr>
      <w:fldChar w:fldCharType="end"/>
    </w:r>
    <w:r>
      <w:rPr>
        <w:rStyle w:val="Nmerodepgina"/>
        <w:sz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E25D9"/>
    <w:rsid w:val="000059EB"/>
    <w:rsid w:val="000F0E7A"/>
    <w:rsid w:val="0018319B"/>
    <w:rsid w:val="001919DA"/>
    <w:rsid w:val="001919DC"/>
    <w:rsid w:val="001A262D"/>
    <w:rsid w:val="001F0AD5"/>
    <w:rsid w:val="0020106B"/>
    <w:rsid w:val="00267737"/>
    <w:rsid w:val="0027338D"/>
    <w:rsid w:val="00280F9D"/>
    <w:rsid w:val="00372BA9"/>
    <w:rsid w:val="003A2444"/>
    <w:rsid w:val="003A3C6E"/>
    <w:rsid w:val="003D6D53"/>
    <w:rsid w:val="004065DF"/>
    <w:rsid w:val="00412702"/>
    <w:rsid w:val="00442A16"/>
    <w:rsid w:val="00455AC9"/>
    <w:rsid w:val="00461A10"/>
    <w:rsid w:val="00462745"/>
    <w:rsid w:val="004E25D9"/>
    <w:rsid w:val="004E7E07"/>
    <w:rsid w:val="004F3296"/>
    <w:rsid w:val="004F58A5"/>
    <w:rsid w:val="0055344B"/>
    <w:rsid w:val="00587274"/>
    <w:rsid w:val="005C7034"/>
    <w:rsid w:val="005F3791"/>
    <w:rsid w:val="006128E5"/>
    <w:rsid w:val="006238EA"/>
    <w:rsid w:val="00625D04"/>
    <w:rsid w:val="006613FE"/>
    <w:rsid w:val="0067062F"/>
    <w:rsid w:val="006B75C0"/>
    <w:rsid w:val="006C0064"/>
    <w:rsid w:val="00702DA0"/>
    <w:rsid w:val="00774F79"/>
    <w:rsid w:val="007D1063"/>
    <w:rsid w:val="007E3ED2"/>
    <w:rsid w:val="007F3155"/>
    <w:rsid w:val="00813C51"/>
    <w:rsid w:val="00814C66"/>
    <w:rsid w:val="00820F9E"/>
    <w:rsid w:val="00833DF2"/>
    <w:rsid w:val="008A710F"/>
    <w:rsid w:val="008E4165"/>
    <w:rsid w:val="009801A0"/>
    <w:rsid w:val="009A45B3"/>
    <w:rsid w:val="009B00C8"/>
    <w:rsid w:val="009B06DF"/>
    <w:rsid w:val="009D5BC0"/>
    <w:rsid w:val="009D5DBC"/>
    <w:rsid w:val="00A108CA"/>
    <w:rsid w:val="00A16BF5"/>
    <w:rsid w:val="00A66C03"/>
    <w:rsid w:val="00A837E4"/>
    <w:rsid w:val="00AD590C"/>
    <w:rsid w:val="00AE3EB6"/>
    <w:rsid w:val="00AF3CCA"/>
    <w:rsid w:val="00AF79C1"/>
    <w:rsid w:val="00B14C29"/>
    <w:rsid w:val="00B82A47"/>
    <w:rsid w:val="00B94B4A"/>
    <w:rsid w:val="00B970ED"/>
    <w:rsid w:val="00C02C27"/>
    <w:rsid w:val="00CA0A05"/>
    <w:rsid w:val="00CF49C0"/>
    <w:rsid w:val="00D83C7B"/>
    <w:rsid w:val="00D87EE5"/>
    <w:rsid w:val="00E63044"/>
    <w:rsid w:val="00E7464C"/>
    <w:rsid w:val="00E86E8F"/>
    <w:rsid w:val="00EC0DFE"/>
    <w:rsid w:val="00F56B1D"/>
    <w:rsid w:val="00F57C52"/>
    <w:rsid w:val="00F95237"/>
    <w:rsid w:val="00FB5AA3"/>
    <w:rsid w:val="00FF56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6E"/>
    <w:rPr>
      <w:rFonts w:ascii="Arial" w:hAnsi="Arial"/>
      <w:lang w:val="es-ES" w:eastAsia="es-ES"/>
    </w:rPr>
  </w:style>
  <w:style w:type="paragraph" w:styleId="Ttulo1">
    <w:name w:val="heading 1"/>
    <w:basedOn w:val="Normal"/>
    <w:next w:val="Normal"/>
    <w:qFormat/>
    <w:rsid w:val="003A3C6E"/>
    <w:pPr>
      <w:keepNext/>
      <w:jc w:val="center"/>
      <w:outlineLvl w:val="0"/>
    </w:pPr>
    <w:rPr>
      <w:b/>
      <w:sz w:val="24"/>
    </w:rPr>
  </w:style>
  <w:style w:type="paragraph" w:styleId="Ttulo2">
    <w:name w:val="heading 2"/>
    <w:basedOn w:val="Normal"/>
    <w:next w:val="Normal"/>
    <w:qFormat/>
    <w:rsid w:val="003A3C6E"/>
    <w:pPr>
      <w:keepNext/>
      <w:tabs>
        <w:tab w:val="left" w:pos="426"/>
      </w:tabs>
      <w:ind w:left="5812"/>
      <w:jc w:val="right"/>
      <w:outlineLvl w:val="1"/>
    </w:pPr>
    <w:rPr>
      <w:sz w:val="24"/>
    </w:rPr>
  </w:style>
  <w:style w:type="paragraph" w:styleId="Ttulo5">
    <w:name w:val="heading 5"/>
    <w:basedOn w:val="Normal"/>
    <w:next w:val="Normal"/>
    <w:qFormat/>
    <w:rsid w:val="00E63044"/>
    <w:pPr>
      <w:spacing w:before="240" w:after="60"/>
      <w:outlineLvl w:val="4"/>
    </w:pPr>
    <w:rPr>
      <w:rFonts w:ascii="Times New Roman" w:hAnsi="Times New Roman"/>
      <w:b/>
      <w:bCs/>
      <w:i/>
      <w:iCs/>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A3C6E"/>
    <w:pPr>
      <w:tabs>
        <w:tab w:val="center" w:pos="4252"/>
        <w:tab w:val="right" w:pos="8504"/>
      </w:tabs>
    </w:pPr>
  </w:style>
  <w:style w:type="character" w:styleId="Nmerodepgina">
    <w:name w:val="page number"/>
    <w:basedOn w:val="Fuentedeprrafopredeter"/>
    <w:rsid w:val="003A3C6E"/>
  </w:style>
  <w:style w:type="paragraph" w:customStyle="1" w:styleId="Decicentro">
    <w:name w:val="Decicentro"/>
    <w:basedOn w:val="Normal"/>
    <w:rsid w:val="00AF79C1"/>
    <w:pPr>
      <w:jc w:val="center"/>
    </w:pPr>
    <w:rPr>
      <w:b/>
      <w:snapToGrid w:val="0"/>
      <w:sz w:val="24"/>
      <w:u w:val="single"/>
      <w:lang w:val="es-ES_tradnl"/>
    </w:rPr>
  </w:style>
  <w:style w:type="paragraph" w:styleId="Textodeglobo">
    <w:name w:val="Balloon Text"/>
    <w:basedOn w:val="Normal"/>
    <w:semiHidden/>
    <w:rsid w:val="00461A10"/>
    <w:rPr>
      <w:rFonts w:ascii="Tahoma" w:hAnsi="Tahoma" w:cs="Tahoma"/>
      <w:sz w:val="16"/>
      <w:szCs w:val="16"/>
    </w:rPr>
  </w:style>
  <w:style w:type="paragraph" w:styleId="Sangra2detindependiente">
    <w:name w:val="Body Text Indent 2"/>
    <w:basedOn w:val="Normal"/>
    <w:rsid w:val="00E63044"/>
    <w:pPr>
      <w:ind w:left="5670"/>
    </w:pPr>
    <w:rPr>
      <w:sz w:val="24"/>
      <w:lang w:val="es-ES_tradnl" w:eastAsia="en-US"/>
    </w:rPr>
  </w:style>
  <w:style w:type="paragraph" w:styleId="Textoindependiente">
    <w:name w:val="Body Text"/>
    <w:basedOn w:val="Normal"/>
    <w:rsid w:val="00E63044"/>
    <w:pPr>
      <w:tabs>
        <w:tab w:val="left" w:pos="426"/>
      </w:tabs>
      <w:jc w:val="center"/>
    </w:pPr>
    <w:rPr>
      <w:b/>
      <w:sz w:val="24"/>
      <w:lang w:eastAsia="en-US"/>
    </w:rPr>
  </w:style>
  <w:style w:type="paragraph" w:customStyle="1" w:styleId="Style2">
    <w:name w:val="Style 2"/>
    <w:basedOn w:val="Normal"/>
    <w:rsid w:val="006C0064"/>
    <w:pPr>
      <w:widowControl w:val="0"/>
      <w:autoSpaceDE w:val="0"/>
      <w:autoSpaceDN w:val="0"/>
      <w:ind w:firstLine="720"/>
      <w:jc w:val="both"/>
    </w:pPr>
    <w:rPr>
      <w:rFonts w:ascii="Times New Roman" w:hAnsi="Times New Roman"/>
      <w:sz w:val="24"/>
      <w:szCs w:val="24"/>
      <w:lang w:val="en-US" w:eastAsia="es-PE"/>
    </w:rPr>
  </w:style>
  <w:style w:type="character" w:styleId="Refdecomentario">
    <w:name w:val="annotation reference"/>
    <w:basedOn w:val="Fuentedeprrafopredeter"/>
    <w:uiPriority w:val="99"/>
    <w:semiHidden/>
    <w:unhideWhenUsed/>
    <w:rsid w:val="0055344B"/>
    <w:rPr>
      <w:sz w:val="16"/>
      <w:szCs w:val="16"/>
    </w:rPr>
  </w:style>
  <w:style w:type="paragraph" w:styleId="Textocomentario">
    <w:name w:val="annotation text"/>
    <w:basedOn w:val="Normal"/>
    <w:link w:val="TextocomentarioCar"/>
    <w:uiPriority w:val="99"/>
    <w:semiHidden/>
    <w:unhideWhenUsed/>
    <w:rsid w:val="0055344B"/>
  </w:style>
  <w:style w:type="character" w:customStyle="1" w:styleId="TextocomentarioCar">
    <w:name w:val="Texto comentario Car"/>
    <w:basedOn w:val="Fuentedeprrafopredeter"/>
    <w:link w:val="Textocomentario"/>
    <w:uiPriority w:val="99"/>
    <w:semiHidden/>
    <w:rsid w:val="0055344B"/>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55344B"/>
    <w:rPr>
      <w:b/>
      <w:bCs/>
    </w:rPr>
  </w:style>
  <w:style w:type="character" w:customStyle="1" w:styleId="AsuntodelcomentarioCar">
    <w:name w:val="Asunto del comentario Car"/>
    <w:basedOn w:val="TextocomentarioCar"/>
    <w:link w:val="Asuntodelcomentario"/>
    <w:uiPriority w:val="99"/>
    <w:semiHidden/>
    <w:rsid w:val="0055344B"/>
    <w:rPr>
      <w:rFonts w:ascii="Arial" w:hAnsi="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6E"/>
    <w:rPr>
      <w:rFonts w:ascii="Arial" w:hAnsi="Arial"/>
      <w:lang w:val="es-ES" w:eastAsia="es-ES"/>
    </w:rPr>
  </w:style>
  <w:style w:type="paragraph" w:styleId="Ttulo1">
    <w:name w:val="heading 1"/>
    <w:basedOn w:val="Normal"/>
    <w:next w:val="Normal"/>
    <w:qFormat/>
    <w:rsid w:val="003A3C6E"/>
    <w:pPr>
      <w:keepNext/>
      <w:jc w:val="center"/>
      <w:outlineLvl w:val="0"/>
    </w:pPr>
    <w:rPr>
      <w:b/>
      <w:sz w:val="24"/>
    </w:rPr>
  </w:style>
  <w:style w:type="paragraph" w:styleId="Ttulo2">
    <w:name w:val="heading 2"/>
    <w:basedOn w:val="Normal"/>
    <w:next w:val="Normal"/>
    <w:qFormat/>
    <w:rsid w:val="003A3C6E"/>
    <w:pPr>
      <w:keepNext/>
      <w:tabs>
        <w:tab w:val="left" w:pos="426"/>
      </w:tabs>
      <w:ind w:left="5812"/>
      <w:jc w:val="right"/>
      <w:outlineLvl w:val="1"/>
    </w:pPr>
    <w:rPr>
      <w:sz w:val="24"/>
    </w:rPr>
  </w:style>
  <w:style w:type="paragraph" w:styleId="Ttulo5">
    <w:name w:val="heading 5"/>
    <w:basedOn w:val="Normal"/>
    <w:next w:val="Normal"/>
    <w:qFormat/>
    <w:rsid w:val="00E63044"/>
    <w:pPr>
      <w:spacing w:before="240" w:after="60"/>
      <w:outlineLvl w:val="4"/>
    </w:pPr>
    <w:rPr>
      <w:rFonts w:ascii="Times New Roman" w:hAnsi="Times New Roman"/>
      <w:b/>
      <w:bCs/>
      <w:i/>
      <w:iCs/>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A3C6E"/>
    <w:pPr>
      <w:tabs>
        <w:tab w:val="center" w:pos="4252"/>
        <w:tab w:val="right" w:pos="8504"/>
      </w:tabs>
    </w:pPr>
  </w:style>
  <w:style w:type="character" w:styleId="Nmerodepgina">
    <w:name w:val="page number"/>
    <w:basedOn w:val="Fuentedeprrafopredeter"/>
    <w:rsid w:val="003A3C6E"/>
  </w:style>
  <w:style w:type="paragraph" w:customStyle="1" w:styleId="Decicentro">
    <w:name w:val="Decicentro"/>
    <w:basedOn w:val="Normal"/>
    <w:rsid w:val="00AF79C1"/>
    <w:pPr>
      <w:jc w:val="center"/>
    </w:pPr>
    <w:rPr>
      <w:b/>
      <w:snapToGrid w:val="0"/>
      <w:sz w:val="24"/>
      <w:u w:val="single"/>
      <w:lang w:val="es-ES_tradnl"/>
    </w:rPr>
  </w:style>
  <w:style w:type="paragraph" w:styleId="Textodeglobo">
    <w:name w:val="Balloon Text"/>
    <w:basedOn w:val="Normal"/>
    <w:semiHidden/>
    <w:rsid w:val="00461A10"/>
    <w:rPr>
      <w:rFonts w:ascii="Tahoma" w:hAnsi="Tahoma" w:cs="Tahoma"/>
      <w:sz w:val="16"/>
      <w:szCs w:val="16"/>
    </w:rPr>
  </w:style>
  <w:style w:type="paragraph" w:styleId="Sangra2detindependiente">
    <w:name w:val="Body Text Indent 2"/>
    <w:basedOn w:val="Normal"/>
    <w:rsid w:val="00E63044"/>
    <w:pPr>
      <w:ind w:left="5670"/>
    </w:pPr>
    <w:rPr>
      <w:sz w:val="24"/>
      <w:lang w:val="es-ES_tradnl" w:eastAsia="en-US"/>
    </w:rPr>
  </w:style>
  <w:style w:type="paragraph" w:styleId="Textoindependiente">
    <w:name w:val="Body Text"/>
    <w:basedOn w:val="Normal"/>
    <w:rsid w:val="00E63044"/>
    <w:pPr>
      <w:tabs>
        <w:tab w:val="left" w:pos="426"/>
      </w:tabs>
      <w:jc w:val="center"/>
    </w:pPr>
    <w:rPr>
      <w:b/>
      <w:sz w:val="24"/>
      <w:lang w:eastAsia="en-US"/>
    </w:rPr>
  </w:style>
  <w:style w:type="paragraph" w:customStyle="1" w:styleId="Style2">
    <w:name w:val="Style 2"/>
    <w:basedOn w:val="Normal"/>
    <w:rsid w:val="006C0064"/>
    <w:pPr>
      <w:widowControl w:val="0"/>
      <w:autoSpaceDE w:val="0"/>
      <w:autoSpaceDN w:val="0"/>
      <w:ind w:firstLine="720"/>
      <w:jc w:val="both"/>
    </w:pPr>
    <w:rPr>
      <w:rFonts w:ascii="Times New Roman" w:hAnsi="Times New Roman"/>
      <w:sz w:val="24"/>
      <w:szCs w:val="24"/>
      <w:lang w:val="en-US" w:eastAsia="es-PE"/>
    </w:rPr>
  </w:style>
  <w:style w:type="character" w:styleId="Refdecomentario">
    <w:name w:val="annotation reference"/>
    <w:basedOn w:val="Fuentedeprrafopredeter"/>
    <w:uiPriority w:val="99"/>
    <w:semiHidden/>
    <w:unhideWhenUsed/>
    <w:rsid w:val="0055344B"/>
    <w:rPr>
      <w:sz w:val="16"/>
      <w:szCs w:val="16"/>
    </w:rPr>
  </w:style>
  <w:style w:type="paragraph" w:styleId="Textocomentario">
    <w:name w:val="annotation text"/>
    <w:basedOn w:val="Normal"/>
    <w:link w:val="TextocomentarioCar"/>
    <w:uiPriority w:val="99"/>
    <w:semiHidden/>
    <w:unhideWhenUsed/>
    <w:rsid w:val="0055344B"/>
  </w:style>
  <w:style w:type="character" w:customStyle="1" w:styleId="TextocomentarioCar">
    <w:name w:val="Texto comentario Car"/>
    <w:basedOn w:val="Fuentedeprrafopredeter"/>
    <w:link w:val="Textocomentario"/>
    <w:uiPriority w:val="99"/>
    <w:semiHidden/>
    <w:rsid w:val="0055344B"/>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55344B"/>
    <w:rPr>
      <w:b/>
      <w:bCs/>
    </w:rPr>
  </w:style>
  <w:style w:type="character" w:customStyle="1" w:styleId="AsuntodelcomentarioCar">
    <w:name w:val="Asunto del comentario Car"/>
    <w:basedOn w:val="TextocomentarioCar"/>
    <w:link w:val="Asuntodelcomentario"/>
    <w:uiPriority w:val="99"/>
    <w:semiHidden/>
    <w:rsid w:val="0055344B"/>
    <w:rPr>
      <w:rFonts w:ascii="Arial" w:hAnsi="Arial"/>
      <w:b/>
      <w:bCs/>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6C2C-03CD-4409-A2DA-A857D2AC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DECISION 640 - RENUNCIA DEL SECRETARIO GENERAL DE LA COMUNIDAD ANDINA - VIGESIMOPRIMERA REUNIÓN DEL CONSEJO ANDINO DE MINISTROS DE RELACIONES EXTERIORES EN FORMA AMPLIADA CON LOS REPRESENTANTES TITULARES ANTE LA COMISIÓN</vt:lpstr>
    </vt:vector>
  </TitlesOfParts>
  <Manager>5.11</Manager>
  <Company>SGCA</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02/08/2006</dc:subject>
  <dc:creator>Victor Párraga</dc:creator>
  <cp:lastModifiedBy>vparraga</cp:lastModifiedBy>
  <cp:revision>2</cp:revision>
  <cp:lastPrinted>2019-01-11T13:56:00Z</cp:lastPrinted>
  <dcterms:created xsi:type="dcterms:W3CDTF">2019-01-11T23:59:00Z</dcterms:created>
  <dcterms:modified xsi:type="dcterms:W3CDTF">2019-01-11T23:59:00Z</dcterms:modified>
  <cp:category>Decisiones</cp:category>
</cp:coreProperties>
</file>