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1E64" w14:textId="5570D2FD" w:rsidR="00EF5466" w:rsidRPr="002D0ACE" w:rsidRDefault="00EF5466" w:rsidP="00E16951">
      <w:pPr>
        <w:spacing w:line="240" w:lineRule="auto"/>
        <w:jc w:val="center"/>
        <w:rPr>
          <w:rFonts w:cs="Arial"/>
          <w:b/>
        </w:rPr>
      </w:pPr>
      <w:r w:rsidRPr="002D0ACE">
        <w:rPr>
          <w:rFonts w:cs="Arial"/>
          <w:noProof/>
          <w:lang w:eastAsia="es-PE"/>
        </w:rPr>
        <w:drawing>
          <wp:anchor distT="0" distB="0" distL="114300" distR="114300" simplePos="0" relativeHeight="251659264" behindDoc="1" locked="0" layoutInCell="1" allowOverlap="1" wp14:anchorId="645B0C8C" wp14:editId="13FD527E">
            <wp:simplePos x="0" y="0"/>
            <wp:positionH relativeFrom="margin">
              <wp:posOffset>0</wp:posOffset>
            </wp:positionH>
            <wp:positionV relativeFrom="paragraph">
              <wp:posOffset>276225</wp:posOffset>
            </wp:positionV>
            <wp:extent cx="1903730" cy="485775"/>
            <wp:effectExtent l="0" t="0" r="1270" b="9525"/>
            <wp:wrapTight wrapText="bothSides">
              <wp:wrapPolygon edited="0">
                <wp:start x="0" y="0"/>
                <wp:lineTo x="0" y="21176"/>
                <wp:lineTo x="21398" y="21176"/>
                <wp:lineTo x="21398" y="0"/>
                <wp:lineTo x="0" y="0"/>
              </wp:wrapPolygon>
            </wp:wrapTight>
            <wp:docPr id="2" name="Imagen 2"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265C62F" w14:textId="78527A5F" w:rsidR="00EF5466" w:rsidRPr="002D0ACE" w:rsidRDefault="00EF5466" w:rsidP="00E16951">
      <w:pPr>
        <w:spacing w:line="240" w:lineRule="auto"/>
        <w:jc w:val="center"/>
        <w:rPr>
          <w:rFonts w:cs="Arial"/>
          <w:b/>
        </w:rPr>
      </w:pPr>
    </w:p>
    <w:p w14:paraId="0F2D7D1C" w14:textId="5F25528B" w:rsidR="00EF5466" w:rsidRPr="002D0ACE" w:rsidRDefault="00EF5466" w:rsidP="00E16951">
      <w:pPr>
        <w:spacing w:line="240" w:lineRule="auto"/>
        <w:jc w:val="center"/>
        <w:rPr>
          <w:rFonts w:cs="Arial"/>
          <w:b/>
        </w:rPr>
      </w:pPr>
    </w:p>
    <w:p w14:paraId="35DC8141" w14:textId="77777777" w:rsidR="00EF5466" w:rsidRPr="002D0ACE" w:rsidRDefault="00EF5466" w:rsidP="00E16951">
      <w:pPr>
        <w:spacing w:line="240" w:lineRule="auto"/>
        <w:jc w:val="center"/>
        <w:rPr>
          <w:rFonts w:cs="Arial"/>
          <w:b/>
        </w:rPr>
      </w:pPr>
    </w:p>
    <w:p w14:paraId="24F379EC" w14:textId="04084245" w:rsidR="00A22943" w:rsidRPr="002D0ACE" w:rsidRDefault="00EF5466" w:rsidP="00E16951">
      <w:pPr>
        <w:spacing w:line="240" w:lineRule="auto"/>
        <w:contextualSpacing/>
        <w:jc w:val="center"/>
        <w:rPr>
          <w:rFonts w:cs="Arial"/>
          <w:b/>
          <w:u w:val="single"/>
        </w:rPr>
      </w:pPr>
      <w:r w:rsidRPr="002D0ACE">
        <w:rPr>
          <w:rFonts w:cs="Arial"/>
          <w:b/>
          <w:u w:val="single"/>
        </w:rPr>
        <w:t>DICTAMEN N°</w:t>
      </w:r>
      <w:r w:rsidR="005D2357" w:rsidRPr="002D0ACE">
        <w:rPr>
          <w:rFonts w:cs="Arial"/>
          <w:b/>
          <w:u w:val="single"/>
        </w:rPr>
        <w:t xml:space="preserve"> </w:t>
      </w:r>
      <w:r w:rsidR="007B7332" w:rsidRPr="007B7332">
        <w:rPr>
          <w:rFonts w:cs="Arial"/>
          <w:b/>
          <w:u w:val="single"/>
        </w:rPr>
        <w:t>00</w:t>
      </w:r>
      <w:r w:rsidR="004A69E6">
        <w:rPr>
          <w:rFonts w:cs="Arial"/>
          <w:b/>
          <w:u w:val="single"/>
        </w:rPr>
        <w:t>3</w:t>
      </w:r>
      <w:r w:rsidR="007B7332" w:rsidRPr="007B7332">
        <w:rPr>
          <w:rFonts w:cs="Arial"/>
          <w:b/>
          <w:u w:val="single"/>
        </w:rPr>
        <w:t>-2023</w:t>
      </w:r>
    </w:p>
    <w:p w14:paraId="788BC688" w14:textId="77777777" w:rsidR="00EF5466" w:rsidRPr="002D0ACE" w:rsidRDefault="00EF5466" w:rsidP="00E16951">
      <w:pPr>
        <w:spacing w:line="240" w:lineRule="auto"/>
        <w:contextualSpacing/>
        <w:jc w:val="center"/>
        <w:rPr>
          <w:rFonts w:cs="Arial"/>
          <w:b/>
          <w:u w:val="single"/>
        </w:rPr>
      </w:pPr>
    </w:p>
    <w:p w14:paraId="2B9917E5" w14:textId="77777777" w:rsidR="00A22943" w:rsidRPr="002D0ACE" w:rsidRDefault="00A22943" w:rsidP="00D9670F">
      <w:pPr>
        <w:spacing w:after="0" w:line="240" w:lineRule="auto"/>
        <w:contextualSpacing/>
        <w:jc w:val="center"/>
        <w:rPr>
          <w:rFonts w:cs="Arial"/>
          <w:b/>
        </w:rPr>
      </w:pPr>
      <w:r w:rsidRPr="002D0ACE">
        <w:rPr>
          <w:rFonts w:cs="Arial"/>
          <w:b/>
        </w:rPr>
        <w:t>DE LA SECRETARÍA GENERAL DE LA COMUNIDAD ANDINA</w:t>
      </w:r>
    </w:p>
    <w:p w14:paraId="555C0974" w14:textId="77777777" w:rsidR="00D9670F" w:rsidRDefault="00D9670F" w:rsidP="00D9670F">
      <w:pPr>
        <w:spacing w:after="0" w:line="240" w:lineRule="auto"/>
        <w:rPr>
          <w:rFonts w:cs="Arial"/>
        </w:rPr>
      </w:pPr>
    </w:p>
    <w:p w14:paraId="63C3E978" w14:textId="7A52CBA9" w:rsidR="001B4800" w:rsidRPr="002D0ACE" w:rsidRDefault="00D9670F" w:rsidP="00D9670F">
      <w:pPr>
        <w:spacing w:after="0" w:line="240" w:lineRule="auto"/>
        <w:rPr>
          <w:rFonts w:cs="Arial"/>
        </w:rPr>
      </w:pPr>
      <w:r w:rsidRPr="00D9670F">
        <w:rPr>
          <w:rFonts w:cs="Arial"/>
        </w:rPr>
        <w:t>Reclamo interpuesto por la Sociedad Nacional de Industrias y la señora Susana Esperanza Ruiz Chang contra la República del Perú</w:t>
      </w:r>
    </w:p>
    <w:p w14:paraId="6DE07A81" w14:textId="003F1EB6" w:rsidR="00A22943" w:rsidRPr="002D0ACE" w:rsidRDefault="00A22943" w:rsidP="00E16951">
      <w:pPr>
        <w:spacing w:line="240" w:lineRule="auto"/>
        <w:jc w:val="right"/>
        <w:rPr>
          <w:rFonts w:cs="Arial"/>
        </w:rPr>
      </w:pPr>
      <w:r w:rsidRPr="003C266F">
        <w:rPr>
          <w:rFonts w:cs="Arial"/>
        </w:rPr>
        <w:t>Lima,</w:t>
      </w:r>
      <w:r w:rsidR="007B7332" w:rsidRPr="003C266F">
        <w:rPr>
          <w:rFonts w:cs="Arial"/>
        </w:rPr>
        <w:t xml:space="preserve"> </w:t>
      </w:r>
      <w:r w:rsidR="004A69E6">
        <w:rPr>
          <w:rFonts w:cs="Arial"/>
        </w:rPr>
        <w:t>16</w:t>
      </w:r>
      <w:r w:rsidR="007B7332" w:rsidRPr="003C266F">
        <w:rPr>
          <w:rFonts w:cs="Arial"/>
        </w:rPr>
        <w:t xml:space="preserve"> </w:t>
      </w:r>
      <w:r w:rsidR="00394CEC" w:rsidRPr="003C266F">
        <w:rPr>
          <w:rFonts w:cs="Arial"/>
        </w:rPr>
        <w:t xml:space="preserve">de </w:t>
      </w:r>
      <w:r w:rsidR="00FE5C15" w:rsidRPr="003C266F">
        <w:rPr>
          <w:rFonts w:cs="Arial"/>
        </w:rPr>
        <w:t>febrero</w:t>
      </w:r>
      <w:r w:rsidR="003570A3" w:rsidRPr="003C266F">
        <w:rPr>
          <w:rFonts w:cs="Arial"/>
        </w:rPr>
        <w:t xml:space="preserve"> </w:t>
      </w:r>
      <w:r w:rsidR="00112853" w:rsidRPr="003C266F">
        <w:rPr>
          <w:rFonts w:cs="Arial"/>
        </w:rPr>
        <w:t>de 202</w:t>
      </w:r>
      <w:r w:rsidR="00B446F7" w:rsidRPr="003C266F">
        <w:rPr>
          <w:rFonts w:cs="Arial"/>
        </w:rPr>
        <w:t>3</w:t>
      </w:r>
    </w:p>
    <w:p w14:paraId="57C8A5DE" w14:textId="2560344E" w:rsidR="00A22943" w:rsidRPr="002D0ACE" w:rsidRDefault="00A22943" w:rsidP="00E16951">
      <w:pPr>
        <w:spacing w:line="240" w:lineRule="auto"/>
        <w:rPr>
          <w:rFonts w:cs="Arial"/>
          <w:b/>
          <w:u w:val="single"/>
        </w:rPr>
      </w:pPr>
      <w:r w:rsidRPr="002D0ACE">
        <w:rPr>
          <w:rFonts w:cs="Arial"/>
          <w:b/>
        </w:rPr>
        <w:t>I.</w:t>
      </w:r>
      <w:r w:rsidR="00795741">
        <w:rPr>
          <w:rFonts w:cs="Arial"/>
          <w:b/>
        </w:rPr>
        <w:t xml:space="preserve"> </w:t>
      </w:r>
      <w:r w:rsidRPr="002D0ACE">
        <w:rPr>
          <w:rFonts w:cs="Arial"/>
          <w:b/>
        </w:rPr>
        <w:t>SUMILLA.</w:t>
      </w:r>
      <w:r w:rsidR="00D57CDA" w:rsidRPr="002D0ACE">
        <w:rPr>
          <w:rFonts w:cs="Arial"/>
          <w:b/>
        </w:rPr>
        <w:t xml:space="preserve"> </w:t>
      </w:r>
      <w:r w:rsidRPr="002D0ACE">
        <w:rPr>
          <w:rFonts w:cs="Arial"/>
          <w:b/>
        </w:rPr>
        <w:t>-</w:t>
      </w:r>
    </w:p>
    <w:p w14:paraId="36447218" w14:textId="0079D78B" w:rsidR="000816D0" w:rsidRPr="002D0ACE" w:rsidRDefault="006B7BF8" w:rsidP="002D0ACE">
      <w:pPr>
        <w:pStyle w:val="Prrafodelista"/>
        <w:numPr>
          <w:ilvl w:val="0"/>
          <w:numId w:val="1"/>
        </w:numPr>
        <w:spacing w:line="240" w:lineRule="auto"/>
        <w:ind w:left="0" w:hanging="567"/>
        <w:jc w:val="both"/>
        <w:rPr>
          <w:rFonts w:cs="Arial"/>
        </w:rPr>
      </w:pPr>
      <w:r>
        <w:rPr>
          <w:rFonts w:cs="Arial"/>
        </w:rPr>
        <w:t>El señor</w:t>
      </w:r>
      <w:r w:rsidR="008C7F66">
        <w:rPr>
          <w:rFonts w:cs="Arial"/>
        </w:rPr>
        <w:t xml:space="preserve"> F</w:t>
      </w:r>
      <w:r w:rsidR="009C4096">
        <w:rPr>
          <w:rFonts w:cs="Arial"/>
        </w:rPr>
        <w:t xml:space="preserve">elipe </w:t>
      </w:r>
      <w:proofErr w:type="spellStart"/>
      <w:r w:rsidR="009C4096">
        <w:rPr>
          <w:rFonts w:cs="Arial"/>
        </w:rPr>
        <w:t>Berttoni</w:t>
      </w:r>
      <w:proofErr w:type="spellEnd"/>
      <w:r w:rsidR="009C4096">
        <w:rPr>
          <w:rFonts w:cs="Arial"/>
        </w:rPr>
        <w:t xml:space="preserve"> </w:t>
      </w:r>
      <w:proofErr w:type="spellStart"/>
      <w:r w:rsidR="009C4096">
        <w:rPr>
          <w:rFonts w:cs="Arial"/>
        </w:rPr>
        <w:t>Guibert</w:t>
      </w:r>
      <w:proofErr w:type="spellEnd"/>
      <w:r w:rsidR="009C4096">
        <w:rPr>
          <w:rFonts w:cs="Arial"/>
        </w:rPr>
        <w:t>, en su calidad de apoderado,</w:t>
      </w:r>
      <w:r w:rsidR="006F6DC0" w:rsidRPr="002D0ACE">
        <w:rPr>
          <w:rFonts w:cs="Arial"/>
        </w:rPr>
        <w:t xml:space="preserve"> en nombre y representación de </w:t>
      </w:r>
      <w:r w:rsidR="009C4096">
        <w:rPr>
          <w:rFonts w:cs="Arial"/>
        </w:rPr>
        <w:t>la Sociedad Nacional de industrias, en adelante “S</w:t>
      </w:r>
      <w:r w:rsidR="008C7F66">
        <w:rPr>
          <w:rFonts w:cs="Arial"/>
        </w:rPr>
        <w:t>NI</w:t>
      </w:r>
      <w:r w:rsidR="009C4096">
        <w:rPr>
          <w:rFonts w:cs="Arial"/>
        </w:rPr>
        <w:t>” y la señora Susana Esperanza Ruiz Chang</w:t>
      </w:r>
      <w:r w:rsidR="008E4BB9" w:rsidRPr="002D0ACE">
        <w:rPr>
          <w:rFonts w:cs="Arial"/>
        </w:rPr>
        <w:t>, en adelante la “Reclamante</w:t>
      </w:r>
      <w:r w:rsidR="009C4096">
        <w:rPr>
          <w:rFonts w:cs="Arial"/>
        </w:rPr>
        <w:t xml:space="preserve"> o Reclamantes</w:t>
      </w:r>
      <w:r w:rsidR="008E4BB9" w:rsidRPr="002D0ACE">
        <w:rPr>
          <w:rFonts w:cs="Arial"/>
        </w:rPr>
        <w:t>”, presenta</w:t>
      </w:r>
      <w:r>
        <w:rPr>
          <w:rFonts w:cs="Arial"/>
        </w:rPr>
        <w:t>n</w:t>
      </w:r>
      <w:r w:rsidR="008E4BB9" w:rsidRPr="002D0ACE">
        <w:rPr>
          <w:rFonts w:cs="Arial"/>
        </w:rPr>
        <w:t xml:space="preserve"> ante la Secretaría General de la Comunidad Andina, en adelante “SGCAN”, reclamo contra la República del Perú, en adelante </w:t>
      </w:r>
      <w:r w:rsidR="009C4096">
        <w:rPr>
          <w:rFonts w:cs="Arial"/>
        </w:rPr>
        <w:t>la</w:t>
      </w:r>
      <w:r w:rsidR="008E4BB9" w:rsidRPr="002D0ACE">
        <w:rPr>
          <w:rFonts w:cs="Arial"/>
        </w:rPr>
        <w:t xml:space="preserve"> “Reclamada</w:t>
      </w:r>
      <w:r w:rsidR="009C4096">
        <w:rPr>
          <w:rFonts w:cs="Arial"/>
        </w:rPr>
        <w:t xml:space="preserve"> o Reclamado</w:t>
      </w:r>
      <w:r w:rsidR="008E4BB9" w:rsidRPr="002D0ACE">
        <w:rPr>
          <w:rFonts w:cs="Arial"/>
        </w:rPr>
        <w:t xml:space="preserve">”, </w:t>
      </w:r>
      <w:r w:rsidR="009C4096" w:rsidRPr="009C4096">
        <w:rPr>
          <w:rFonts w:cs="Arial"/>
        </w:rPr>
        <w:t>por presunto incumplimiento de los artículos 1 al 10 y 12 al 15 de la Decisión 827 – Lineamientos para la elaboración, adopción y aplicación de reglamentos técnicos y procedimientos de evaluación de la conformidad en los P</w:t>
      </w:r>
      <w:r w:rsidR="009C4096">
        <w:rPr>
          <w:rFonts w:cs="Arial"/>
        </w:rPr>
        <w:t xml:space="preserve">aíses Miembros </w:t>
      </w:r>
      <w:r w:rsidR="009C4096" w:rsidRPr="009C4096">
        <w:rPr>
          <w:rFonts w:cs="Arial"/>
        </w:rPr>
        <w:t>de la C</w:t>
      </w:r>
      <w:r w:rsidR="009C4096">
        <w:rPr>
          <w:rFonts w:cs="Arial"/>
        </w:rPr>
        <w:t xml:space="preserve">omunidad Andina, en adelante “CAN”, </w:t>
      </w:r>
      <w:r w:rsidR="009C4096" w:rsidRPr="009C4096">
        <w:rPr>
          <w:rFonts w:cs="Arial"/>
        </w:rPr>
        <w:t>a nivel comunitario; los artículos 7, 10, 11, 25, 28 y 37 de la Decisión 850 – Sistema Andino de la Calidad; y el artículo 4 del Tratado de Creación del Tribunal de Justicia de la Comunidad Andina.</w:t>
      </w:r>
    </w:p>
    <w:p w14:paraId="7C0287D7" w14:textId="77777777" w:rsidR="001B4800" w:rsidRPr="002D0ACE" w:rsidRDefault="001B4800" w:rsidP="002D0ACE">
      <w:pPr>
        <w:pStyle w:val="Prrafodelista"/>
        <w:spacing w:line="240" w:lineRule="auto"/>
        <w:ind w:left="0" w:hanging="567"/>
        <w:jc w:val="both"/>
        <w:rPr>
          <w:rFonts w:cs="Arial"/>
        </w:rPr>
      </w:pPr>
    </w:p>
    <w:p w14:paraId="77A16EAC" w14:textId="0FE1D57E" w:rsidR="00BA6A3A" w:rsidRPr="002D0ACE" w:rsidRDefault="00A22943" w:rsidP="002D0ACE">
      <w:pPr>
        <w:pStyle w:val="Prrafodelista"/>
        <w:numPr>
          <w:ilvl w:val="0"/>
          <w:numId w:val="1"/>
        </w:numPr>
        <w:spacing w:line="240" w:lineRule="auto"/>
        <w:ind w:left="0" w:hanging="567"/>
        <w:jc w:val="both"/>
        <w:rPr>
          <w:rFonts w:cs="Arial"/>
          <w:b/>
        </w:rPr>
      </w:pPr>
      <w:r w:rsidRPr="002D0ACE">
        <w:rPr>
          <w:rFonts w:cs="Arial"/>
        </w:rPr>
        <w:t>El presente Dictamen se emite en el marco de lo dispuesto en el artículo 2</w:t>
      </w:r>
      <w:r w:rsidR="00CF6D3E" w:rsidRPr="002D0ACE">
        <w:rPr>
          <w:rFonts w:cs="Arial"/>
        </w:rPr>
        <w:t>5</w:t>
      </w:r>
      <w:r w:rsidRPr="002D0ACE">
        <w:rPr>
          <w:rFonts w:cs="Arial"/>
        </w:rPr>
        <w:t xml:space="preserve"> del</w:t>
      </w:r>
      <w:r w:rsidR="005A5792" w:rsidRPr="002D0ACE">
        <w:rPr>
          <w:rFonts w:cs="Arial"/>
        </w:rPr>
        <w:t xml:space="preserve"> Tratado </w:t>
      </w:r>
      <w:r w:rsidR="00CF6D3E" w:rsidRPr="002D0ACE">
        <w:rPr>
          <w:rFonts w:cs="Arial"/>
        </w:rPr>
        <w:t>de Creación</w:t>
      </w:r>
      <w:r w:rsidR="005A5792" w:rsidRPr="002D0ACE">
        <w:rPr>
          <w:rFonts w:cs="Arial"/>
        </w:rPr>
        <w:t xml:space="preserve"> del Tribunal de Justicia de la Comunidad Andina </w:t>
      </w:r>
      <w:r w:rsidR="00D57CDA" w:rsidRPr="002D0ACE">
        <w:rPr>
          <w:rFonts w:cs="Arial"/>
        </w:rPr>
        <w:t>(</w:t>
      </w:r>
      <w:r w:rsidRPr="002D0ACE">
        <w:rPr>
          <w:rFonts w:cs="Arial"/>
        </w:rPr>
        <w:t>TCTJCA</w:t>
      </w:r>
      <w:r w:rsidR="00D57CDA" w:rsidRPr="002D0ACE">
        <w:rPr>
          <w:rFonts w:cs="Arial"/>
        </w:rPr>
        <w:t>)</w:t>
      </w:r>
      <w:r w:rsidR="005A5792" w:rsidRPr="002D0ACE">
        <w:rPr>
          <w:rFonts w:cs="Arial"/>
        </w:rPr>
        <w:t xml:space="preserve"> (</w:t>
      </w:r>
      <w:r w:rsidR="00721E0F" w:rsidRPr="002D0ACE">
        <w:rPr>
          <w:rFonts w:cs="Arial"/>
        </w:rPr>
        <w:t xml:space="preserve">Codificado en </w:t>
      </w:r>
      <w:r w:rsidR="005A5792" w:rsidRPr="002D0ACE">
        <w:rPr>
          <w:rFonts w:cs="Arial"/>
        </w:rPr>
        <w:t>Decisión 472)</w:t>
      </w:r>
      <w:r w:rsidR="00721E0F" w:rsidRPr="002D0ACE">
        <w:rPr>
          <w:rFonts w:cs="Arial"/>
        </w:rPr>
        <w:t>, l</w:t>
      </w:r>
      <w:r w:rsidRPr="002D0ACE">
        <w:rPr>
          <w:rFonts w:cs="Arial"/>
        </w:rPr>
        <w:t>a Decisión 623 (Reglamento de la Fase Prejudicial de la Acción de Incumplimiento)</w:t>
      </w:r>
      <w:r w:rsidR="00721E0F" w:rsidRPr="002D0ACE">
        <w:rPr>
          <w:rFonts w:cs="Arial"/>
        </w:rPr>
        <w:t xml:space="preserve"> y la Decisión 425</w:t>
      </w:r>
      <w:r w:rsidR="003D20A5">
        <w:rPr>
          <w:rFonts w:cs="Arial"/>
        </w:rPr>
        <w:t xml:space="preserve"> (</w:t>
      </w:r>
      <w:r w:rsidR="00721E0F" w:rsidRPr="002D0ACE">
        <w:rPr>
          <w:rFonts w:cs="Arial"/>
        </w:rPr>
        <w:t>Reglamento de Procedimientos Administrativos de la SGCAN</w:t>
      </w:r>
      <w:r w:rsidR="003D20A5">
        <w:rPr>
          <w:rFonts w:cs="Arial"/>
        </w:rPr>
        <w:t>)</w:t>
      </w:r>
      <w:r w:rsidRPr="002D0ACE">
        <w:rPr>
          <w:rFonts w:cs="Arial"/>
        </w:rPr>
        <w:t>.</w:t>
      </w:r>
    </w:p>
    <w:p w14:paraId="097CD3C9" w14:textId="609E315C" w:rsidR="002D0ACE" w:rsidRPr="002D0ACE" w:rsidRDefault="006A2495" w:rsidP="00E16951">
      <w:pPr>
        <w:spacing w:line="240" w:lineRule="auto"/>
        <w:jc w:val="both"/>
        <w:rPr>
          <w:rFonts w:cs="Arial"/>
          <w:b/>
        </w:rPr>
      </w:pPr>
      <w:r w:rsidRPr="002D0ACE">
        <w:rPr>
          <w:rFonts w:cs="Arial"/>
          <w:b/>
        </w:rPr>
        <w:t>I</w:t>
      </w:r>
      <w:r w:rsidR="00A22943" w:rsidRPr="002D0ACE">
        <w:rPr>
          <w:rFonts w:cs="Arial"/>
          <w:b/>
        </w:rPr>
        <w:t>I. RELACIÓN DE LAS ACTUACIONES DEL PROCEDIMIENTO (ANTECEDENTES).</w:t>
      </w:r>
      <w:r w:rsidR="00D57CDA" w:rsidRPr="002D0ACE">
        <w:rPr>
          <w:rFonts w:cs="Arial"/>
          <w:b/>
        </w:rPr>
        <w:t xml:space="preserve"> </w:t>
      </w:r>
      <w:r w:rsidR="002D0ACE" w:rsidRPr="002D0ACE">
        <w:rPr>
          <w:rFonts w:cs="Arial"/>
          <w:b/>
        </w:rPr>
        <w:t>–</w:t>
      </w:r>
    </w:p>
    <w:p w14:paraId="2158626A" w14:textId="60622B60" w:rsidR="00B446F7" w:rsidRPr="002D0ACE" w:rsidRDefault="001D33BD" w:rsidP="002D0ACE">
      <w:pPr>
        <w:pStyle w:val="Prrafodelista"/>
        <w:numPr>
          <w:ilvl w:val="0"/>
          <w:numId w:val="1"/>
        </w:numPr>
        <w:spacing w:line="240" w:lineRule="auto"/>
        <w:ind w:left="0" w:hanging="567"/>
        <w:jc w:val="both"/>
        <w:rPr>
          <w:rFonts w:cs="Arial"/>
        </w:rPr>
      </w:pPr>
      <w:r w:rsidRPr="002D0ACE">
        <w:rPr>
          <w:rFonts w:cs="Arial"/>
        </w:rPr>
        <w:t>Mediante</w:t>
      </w:r>
      <w:r w:rsidR="000816D0" w:rsidRPr="002D0ACE">
        <w:rPr>
          <w:rFonts w:cs="Arial"/>
        </w:rPr>
        <w:t xml:space="preserve"> carta de </w:t>
      </w:r>
      <w:r w:rsidR="00667E5F">
        <w:rPr>
          <w:rFonts w:cs="Arial"/>
        </w:rPr>
        <w:t>4</w:t>
      </w:r>
      <w:r w:rsidR="000816D0" w:rsidRPr="002D0ACE">
        <w:rPr>
          <w:rFonts w:cs="Arial"/>
        </w:rPr>
        <w:t xml:space="preserve"> de </w:t>
      </w:r>
      <w:r w:rsidR="00667E5F">
        <w:rPr>
          <w:rFonts w:cs="Arial"/>
        </w:rPr>
        <w:t>noviembre</w:t>
      </w:r>
      <w:r w:rsidR="000816D0" w:rsidRPr="002D0ACE">
        <w:rPr>
          <w:rFonts w:cs="Arial"/>
        </w:rPr>
        <w:t xml:space="preserve"> de 2022, recibida por la SGCAN e</w:t>
      </w:r>
      <w:r w:rsidR="000F637C" w:rsidRPr="002D0ACE">
        <w:rPr>
          <w:rFonts w:cs="Arial"/>
        </w:rPr>
        <w:t>l</w:t>
      </w:r>
      <w:r w:rsidR="000816D0" w:rsidRPr="002D0ACE">
        <w:rPr>
          <w:rFonts w:cs="Arial"/>
        </w:rPr>
        <w:t xml:space="preserve"> 7 de </w:t>
      </w:r>
      <w:r w:rsidR="00667E5F">
        <w:rPr>
          <w:rFonts w:cs="Arial"/>
        </w:rPr>
        <w:t>noviembre</w:t>
      </w:r>
      <w:r w:rsidR="000816D0" w:rsidRPr="002D0ACE">
        <w:rPr>
          <w:rFonts w:cs="Arial"/>
        </w:rPr>
        <w:t xml:space="preserve"> de 2022, </w:t>
      </w:r>
      <w:bookmarkStart w:id="0" w:name="_Hlk125370786"/>
      <w:r w:rsidR="00F92547">
        <w:rPr>
          <w:rFonts w:cs="Arial"/>
        </w:rPr>
        <w:t>el</w:t>
      </w:r>
      <w:r w:rsidR="000816D0" w:rsidRPr="002D0ACE">
        <w:rPr>
          <w:rFonts w:cs="Arial"/>
        </w:rPr>
        <w:t xml:space="preserve"> señor </w:t>
      </w:r>
      <w:r w:rsidR="00667E5F" w:rsidRPr="00667E5F">
        <w:rPr>
          <w:rFonts w:cs="Arial"/>
        </w:rPr>
        <w:t xml:space="preserve">Felipe </w:t>
      </w:r>
      <w:proofErr w:type="spellStart"/>
      <w:r w:rsidR="00667E5F" w:rsidRPr="00667E5F">
        <w:rPr>
          <w:rFonts w:cs="Arial"/>
        </w:rPr>
        <w:t>Berttoni</w:t>
      </w:r>
      <w:proofErr w:type="spellEnd"/>
      <w:r w:rsidR="00667E5F" w:rsidRPr="00667E5F">
        <w:rPr>
          <w:rFonts w:cs="Arial"/>
        </w:rPr>
        <w:t xml:space="preserve"> </w:t>
      </w:r>
      <w:proofErr w:type="spellStart"/>
      <w:r w:rsidR="00667E5F" w:rsidRPr="00667E5F">
        <w:rPr>
          <w:rFonts w:cs="Arial"/>
        </w:rPr>
        <w:t>Guibert</w:t>
      </w:r>
      <w:proofErr w:type="spellEnd"/>
      <w:r w:rsidR="00667E5F" w:rsidRPr="00667E5F">
        <w:rPr>
          <w:rFonts w:cs="Arial"/>
        </w:rPr>
        <w:t xml:space="preserve">, en su calidad de apoderado, en nombre y representación de la Sociedad Nacional de </w:t>
      </w:r>
      <w:r w:rsidR="00F92547">
        <w:rPr>
          <w:rFonts w:cs="Arial"/>
        </w:rPr>
        <w:t>I</w:t>
      </w:r>
      <w:r w:rsidR="00667E5F" w:rsidRPr="00667E5F">
        <w:rPr>
          <w:rFonts w:cs="Arial"/>
        </w:rPr>
        <w:t>ndustrias</w:t>
      </w:r>
      <w:r w:rsidR="00F92547">
        <w:rPr>
          <w:rFonts w:cs="Arial"/>
        </w:rPr>
        <w:t xml:space="preserve"> (en adelante SNI)</w:t>
      </w:r>
      <w:r w:rsidR="00667E5F" w:rsidRPr="00667E5F">
        <w:rPr>
          <w:rFonts w:cs="Arial"/>
        </w:rPr>
        <w:t xml:space="preserve">, y la señora Susana Esperanza Ruiz Chang, </w:t>
      </w:r>
      <w:r w:rsidR="00667E5F">
        <w:rPr>
          <w:rFonts w:cs="Arial"/>
        </w:rPr>
        <w:t xml:space="preserve">como </w:t>
      </w:r>
      <w:r w:rsidR="00667E5F" w:rsidRPr="00667E5F">
        <w:rPr>
          <w:rFonts w:cs="Arial"/>
        </w:rPr>
        <w:t>Reclamante</w:t>
      </w:r>
      <w:r w:rsidR="00667E5F">
        <w:rPr>
          <w:rFonts w:cs="Arial"/>
        </w:rPr>
        <w:t>s</w:t>
      </w:r>
      <w:bookmarkEnd w:id="0"/>
      <w:r w:rsidR="00667E5F" w:rsidRPr="00667E5F">
        <w:rPr>
          <w:rFonts w:cs="Arial"/>
        </w:rPr>
        <w:t xml:space="preserve">, </w:t>
      </w:r>
      <w:r w:rsidR="000816D0" w:rsidRPr="002D0ACE">
        <w:rPr>
          <w:rFonts w:cs="Arial"/>
        </w:rPr>
        <w:t xml:space="preserve">presentó ante la </w:t>
      </w:r>
      <w:r w:rsidR="00667E5F">
        <w:rPr>
          <w:rFonts w:cs="Arial"/>
        </w:rPr>
        <w:t>S</w:t>
      </w:r>
      <w:r w:rsidR="000816D0" w:rsidRPr="002D0ACE">
        <w:rPr>
          <w:rFonts w:cs="Arial"/>
        </w:rPr>
        <w:t>GCAN el reclamo por supuesto incumplimiento contra la República del Perú</w:t>
      </w:r>
      <w:r w:rsidR="00667E5F">
        <w:rPr>
          <w:rFonts w:cs="Arial"/>
        </w:rPr>
        <w:t>.</w:t>
      </w:r>
    </w:p>
    <w:p w14:paraId="6112FF09" w14:textId="77777777" w:rsidR="00325EEE" w:rsidRPr="002D0ACE" w:rsidRDefault="00325EEE" w:rsidP="002D0ACE">
      <w:pPr>
        <w:pStyle w:val="Prrafodelista"/>
        <w:spacing w:line="240" w:lineRule="auto"/>
        <w:ind w:left="0" w:hanging="567"/>
        <w:jc w:val="both"/>
        <w:rPr>
          <w:rFonts w:cs="Arial"/>
          <w:highlight w:val="yellow"/>
        </w:rPr>
      </w:pPr>
    </w:p>
    <w:p w14:paraId="4B1F8B25" w14:textId="7BB5158C" w:rsidR="00571916" w:rsidRPr="00D1057E" w:rsidRDefault="00E65E5E" w:rsidP="00D1057E">
      <w:pPr>
        <w:pStyle w:val="Prrafodelista"/>
        <w:numPr>
          <w:ilvl w:val="0"/>
          <w:numId w:val="1"/>
        </w:numPr>
        <w:spacing w:line="240" w:lineRule="auto"/>
        <w:ind w:left="0" w:hanging="567"/>
        <w:jc w:val="both"/>
        <w:rPr>
          <w:rFonts w:cs="Arial"/>
        </w:rPr>
      </w:pPr>
      <w:r w:rsidRPr="002D0ACE">
        <w:rPr>
          <w:rFonts w:cs="Arial"/>
        </w:rPr>
        <w:t xml:space="preserve">Con comunicación </w:t>
      </w:r>
      <w:r w:rsidR="00571916" w:rsidRPr="002D0ACE">
        <w:rPr>
          <w:rFonts w:cs="Arial"/>
        </w:rPr>
        <w:t>SG/E/SJ/</w:t>
      </w:r>
      <w:r w:rsidR="00D1057E">
        <w:rPr>
          <w:rFonts w:cs="Arial"/>
        </w:rPr>
        <w:t>1616</w:t>
      </w:r>
      <w:r w:rsidR="00571916" w:rsidRPr="002D0ACE">
        <w:rPr>
          <w:rFonts w:cs="Arial"/>
        </w:rPr>
        <w:t xml:space="preserve">/2022 de </w:t>
      </w:r>
      <w:r w:rsidR="00D1057E">
        <w:rPr>
          <w:rFonts w:cs="Arial"/>
        </w:rPr>
        <w:t>10</w:t>
      </w:r>
      <w:r w:rsidR="00571916" w:rsidRPr="002D0ACE">
        <w:rPr>
          <w:rFonts w:cs="Arial"/>
        </w:rPr>
        <w:t xml:space="preserve"> de </w:t>
      </w:r>
      <w:r w:rsidR="00D1057E">
        <w:rPr>
          <w:rFonts w:cs="Arial"/>
        </w:rPr>
        <w:t>noviembre</w:t>
      </w:r>
      <w:r w:rsidR="00571916" w:rsidRPr="002D0ACE">
        <w:rPr>
          <w:rFonts w:cs="Arial"/>
        </w:rPr>
        <w:t xml:space="preserve"> de 2022</w:t>
      </w:r>
      <w:r w:rsidR="001D33BD" w:rsidRPr="002D0ACE">
        <w:rPr>
          <w:rFonts w:cs="Arial"/>
        </w:rPr>
        <w:t xml:space="preserve">, la SGCAN notificó a </w:t>
      </w:r>
      <w:r w:rsidR="00D1057E">
        <w:rPr>
          <w:rFonts w:cs="Arial"/>
        </w:rPr>
        <w:t xml:space="preserve">la Sociedad Nacional de </w:t>
      </w:r>
      <w:r w:rsidR="0058663B">
        <w:rPr>
          <w:rFonts w:cs="Arial"/>
        </w:rPr>
        <w:t>I</w:t>
      </w:r>
      <w:r w:rsidR="00D1057E">
        <w:rPr>
          <w:rFonts w:cs="Arial"/>
        </w:rPr>
        <w:t xml:space="preserve">ndustrias </w:t>
      </w:r>
      <w:r w:rsidR="001D33BD" w:rsidRPr="002D0ACE">
        <w:rPr>
          <w:rFonts w:cs="Arial"/>
        </w:rPr>
        <w:t xml:space="preserve">el análisis de admisibilidad del reclamo </w:t>
      </w:r>
      <w:r w:rsidR="00D1057E">
        <w:rPr>
          <w:rFonts w:cs="Arial"/>
        </w:rPr>
        <w:t xml:space="preserve">para su respectivo trámite </w:t>
      </w:r>
      <w:r w:rsidR="00562B78" w:rsidRPr="00D1057E">
        <w:rPr>
          <w:rFonts w:cs="Arial"/>
        </w:rPr>
        <w:t xml:space="preserve">y </w:t>
      </w:r>
      <w:r w:rsidR="0058663B">
        <w:rPr>
          <w:rFonts w:cs="Arial"/>
        </w:rPr>
        <w:t xml:space="preserve">posteriormente </w:t>
      </w:r>
      <w:r w:rsidR="00D1057E">
        <w:rPr>
          <w:rFonts w:cs="Arial"/>
        </w:rPr>
        <w:t xml:space="preserve">se </w:t>
      </w:r>
      <w:r w:rsidR="00562B78" w:rsidRPr="00D1057E">
        <w:rPr>
          <w:rFonts w:cs="Arial"/>
        </w:rPr>
        <w:t xml:space="preserve">dispuso su traslado al gobierno de la República del Perú para su contestación y a los demás Países Miembros de la Comunidad Andina para que presenten los elementos de información que estimen </w:t>
      </w:r>
      <w:r w:rsidR="00D1057E">
        <w:rPr>
          <w:rFonts w:cs="Arial"/>
        </w:rPr>
        <w:t>necesarios</w:t>
      </w:r>
      <w:r w:rsidR="00562B78" w:rsidRPr="00D1057E">
        <w:rPr>
          <w:rFonts w:cs="Arial"/>
        </w:rPr>
        <w:t>.</w:t>
      </w:r>
    </w:p>
    <w:p w14:paraId="5A32AB05" w14:textId="77777777" w:rsidR="00571916" w:rsidRPr="002D0ACE" w:rsidRDefault="00571916" w:rsidP="002D0ACE">
      <w:pPr>
        <w:pStyle w:val="Prrafodelista"/>
        <w:spacing w:line="240" w:lineRule="auto"/>
        <w:ind w:hanging="567"/>
        <w:rPr>
          <w:rFonts w:cs="Arial"/>
        </w:rPr>
      </w:pPr>
    </w:p>
    <w:p w14:paraId="12F4F39E" w14:textId="3FF67A2D" w:rsidR="00571916" w:rsidRPr="002D0ACE" w:rsidRDefault="003645FF" w:rsidP="002D0ACE">
      <w:pPr>
        <w:pStyle w:val="Prrafodelista"/>
        <w:numPr>
          <w:ilvl w:val="0"/>
          <w:numId w:val="1"/>
        </w:numPr>
        <w:spacing w:line="240" w:lineRule="auto"/>
        <w:ind w:left="0" w:hanging="567"/>
        <w:jc w:val="both"/>
        <w:rPr>
          <w:rFonts w:cs="Arial"/>
        </w:rPr>
      </w:pPr>
      <w:r w:rsidRPr="002D0ACE">
        <w:rPr>
          <w:rFonts w:cs="Arial"/>
        </w:rPr>
        <w:t xml:space="preserve">Por medio de la </w:t>
      </w:r>
      <w:r w:rsidR="00571916" w:rsidRPr="002D0ACE">
        <w:rPr>
          <w:rFonts w:cs="Arial"/>
        </w:rPr>
        <w:t>comunicación SG/E/SJ/1</w:t>
      </w:r>
      <w:r w:rsidR="00D92DFE">
        <w:rPr>
          <w:rFonts w:cs="Arial"/>
        </w:rPr>
        <w:t>617</w:t>
      </w:r>
      <w:r w:rsidR="00571916" w:rsidRPr="002D0ACE">
        <w:rPr>
          <w:rFonts w:cs="Arial"/>
        </w:rPr>
        <w:t>/2022 de 1</w:t>
      </w:r>
      <w:r w:rsidR="00D92DFE">
        <w:rPr>
          <w:rFonts w:cs="Arial"/>
        </w:rPr>
        <w:t>0</w:t>
      </w:r>
      <w:r w:rsidR="00571916" w:rsidRPr="002D0ACE">
        <w:rPr>
          <w:rFonts w:cs="Arial"/>
        </w:rPr>
        <w:t xml:space="preserve"> de </w:t>
      </w:r>
      <w:r w:rsidR="00D92DFE">
        <w:rPr>
          <w:rFonts w:cs="Arial"/>
        </w:rPr>
        <w:t>noviembre</w:t>
      </w:r>
      <w:r w:rsidR="00571916" w:rsidRPr="002D0ACE">
        <w:rPr>
          <w:rFonts w:cs="Arial"/>
        </w:rPr>
        <w:t xml:space="preserve"> de 2022</w:t>
      </w:r>
      <w:r w:rsidRPr="002D0ACE">
        <w:rPr>
          <w:rFonts w:cs="Arial"/>
        </w:rPr>
        <w:t>, la SGCAN corrió traslado a la República del Perú de la admisión del reclamo</w:t>
      </w:r>
      <w:r w:rsidR="00BF5A3B">
        <w:rPr>
          <w:rFonts w:cs="Arial"/>
        </w:rPr>
        <w:t>,</w:t>
      </w:r>
      <w:r w:rsidR="00D92DFE">
        <w:rPr>
          <w:rFonts w:cs="Arial"/>
        </w:rPr>
        <w:t xml:space="preserve"> </w:t>
      </w:r>
      <w:r w:rsidR="00D92DFE" w:rsidRPr="00D92DFE">
        <w:rPr>
          <w:rFonts w:cs="Arial"/>
        </w:rPr>
        <w:t>por presunto incumplimiento de los artículos 1 al 10 y 12 al 15 de la Decisión 827 – Lineamientos para la elaboración, adopción y aplicación de reglamentos técnicos y procedimientos de evaluación de la conformidad en los Países Miembros de la Comunidad Andina, en adelante “CAN”, a nivel comunitario; los artículos 7, 10, 11, 25, 28 y 37 de la Decisión 850 – Sistema Andino de la Calidad; y el artículo 4 del Tratado de Creación del Tribunal de Justicia de la Comunidad Andina.</w:t>
      </w:r>
    </w:p>
    <w:p w14:paraId="5DB0DCD2" w14:textId="77777777" w:rsidR="003645FF" w:rsidRPr="002D0ACE" w:rsidRDefault="003645FF" w:rsidP="00E16951">
      <w:pPr>
        <w:pStyle w:val="Prrafodelista"/>
        <w:spacing w:line="240" w:lineRule="auto"/>
        <w:rPr>
          <w:rFonts w:cs="Arial"/>
        </w:rPr>
      </w:pPr>
    </w:p>
    <w:p w14:paraId="44115C53" w14:textId="052AB39C" w:rsidR="00571916" w:rsidRPr="002D0ACE" w:rsidRDefault="00571916" w:rsidP="002D0ACE">
      <w:pPr>
        <w:pStyle w:val="Prrafodelista"/>
        <w:numPr>
          <w:ilvl w:val="0"/>
          <w:numId w:val="1"/>
        </w:numPr>
        <w:spacing w:line="240" w:lineRule="auto"/>
        <w:ind w:left="0" w:hanging="567"/>
        <w:jc w:val="both"/>
        <w:rPr>
          <w:rFonts w:cs="Arial"/>
        </w:rPr>
      </w:pPr>
      <w:r w:rsidRPr="002D0ACE">
        <w:rPr>
          <w:rFonts w:cs="Arial"/>
        </w:rPr>
        <w:lastRenderedPageBreak/>
        <w:t>Con comunicación SG/E/SJ/1</w:t>
      </w:r>
      <w:r w:rsidR="002F211C">
        <w:rPr>
          <w:rFonts w:cs="Arial"/>
        </w:rPr>
        <w:t>618</w:t>
      </w:r>
      <w:r w:rsidRPr="002D0ACE">
        <w:rPr>
          <w:rFonts w:cs="Arial"/>
        </w:rPr>
        <w:t>/2022 de 1</w:t>
      </w:r>
      <w:r w:rsidR="002F211C">
        <w:rPr>
          <w:rFonts w:cs="Arial"/>
        </w:rPr>
        <w:t>0</w:t>
      </w:r>
      <w:r w:rsidRPr="002D0ACE">
        <w:rPr>
          <w:rFonts w:cs="Arial"/>
        </w:rPr>
        <w:t xml:space="preserve"> de </w:t>
      </w:r>
      <w:r w:rsidR="002F211C">
        <w:rPr>
          <w:rFonts w:cs="Arial"/>
        </w:rPr>
        <w:t>noviembre</w:t>
      </w:r>
      <w:r w:rsidRPr="002D0ACE">
        <w:rPr>
          <w:rFonts w:cs="Arial"/>
        </w:rPr>
        <w:t xml:space="preserve"> de 2022</w:t>
      </w:r>
      <w:r w:rsidR="004A25EA" w:rsidRPr="002D0ACE">
        <w:rPr>
          <w:rFonts w:cs="Arial"/>
        </w:rPr>
        <w:t xml:space="preserve">, la SGCAN corrió traslado a los demás Países Miembros de la admisión del </w:t>
      </w:r>
      <w:r w:rsidR="006820A1" w:rsidRPr="006820A1">
        <w:rPr>
          <w:rFonts w:cs="Arial"/>
        </w:rPr>
        <w:t>reclamo</w:t>
      </w:r>
      <w:r w:rsidR="00AE7594">
        <w:rPr>
          <w:rFonts w:cs="Arial"/>
        </w:rPr>
        <w:t>.</w:t>
      </w:r>
    </w:p>
    <w:p w14:paraId="45BB41B9" w14:textId="77777777" w:rsidR="0073139C" w:rsidRPr="002D0ACE" w:rsidRDefault="0073139C" w:rsidP="002D0ACE">
      <w:pPr>
        <w:pStyle w:val="Prrafodelista"/>
        <w:spacing w:line="240" w:lineRule="auto"/>
        <w:ind w:left="0" w:hanging="567"/>
        <w:jc w:val="both"/>
        <w:rPr>
          <w:rFonts w:cs="Arial"/>
        </w:rPr>
      </w:pPr>
    </w:p>
    <w:p w14:paraId="750E63A3" w14:textId="45BCA5E1" w:rsidR="00571916" w:rsidRPr="002D0ACE" w:rsidRDefault="0073139C" w:rsidP="002D0ACE">
      <w:pPr>
        <w:pStyle w:val="Prrafodelista"/>
        <w:numPr>
          <w:ilvl w:val="0"/>
          <w:numId w:val="1"/>
        </w:numPr>
        <w:spacing w:line="240" w:lineRule="auto"/>
        <w:ind w:left="0" w:hanging="567"/>
        <w:jc w:val="both"/>
        <w:rPr>
          <w:rFonts w:cs="Arial"/>
        </w:rPr>
      </w:pPr>
      <w:r w:rsidRPr="002D0ACE">
        <w:rPr>
          <w:rFonts w:cs="Arial"/>
        </w:rPr>
        <w:t xml:space="preserve">Mediante </w:t>
      </w:r>
      <w:r w:rsidR="00571916" w:rsidRPr="002D0ACE">
        <w:rPr>
          <w:rFonts w:cs="Arial"/>
        </w:rPr>
        <w:t>comunicaci</w:t>
      </w:r>
      <w:r w:rsidRPr="002D0ACE">
        <w:rPr>
          <w:rFonts w:cs="Arial"/>
        </w:rPr>
        <w:t xml:space="preserve">ón </w:t>
      </w:r>
      <w:r w:rsidR="00571916" w:rsidRPr="002D0ACE">
        <w:rPr>
          <w:rFonts w:cs="Arial"/>
        </w:rPr>
        <w:t>SG/E/SJ/17</w:t>
      </w:r>
      <w:r w:rsidR="0024606B">
        <w:rPr>
          <w:rFonts w:cs="Arial"/>
        </w:rPr>
        <w:t>60</w:t>
      </w:r>
      <w:r w:rsidR="00571916" w:rsidRPr="002D0ACE">
        <w:rPr>
          <w:rFonts w:cs="Arial"/>
        </w:rPr>
        <w:t>/2022</w:t>
      </w:r>
      <w:r w:rsidRPr="002D0ACE">
        <w:rPr>
          <w:rFonts w:cs="Arial"/>
        </w:rPr>
        <w:t xml:space="preserve"> </w:t>
      </w:r>
      <w:r w:rsidR="00571916" w:rsidRPr="002D0ACE">
        <w:rPr>
          <w:rFonts w:cs="Arial"/>
        </w:rPr>
        <w:t xml:space="preserve">de 5 de </w:t>
      </w:r>
      <w:r w:rsidR="0024606B">
        <w:rPr>
          <w:rFonts w:cs="Arial"/>
        </w:rPr>
        <w:t>dici</w:t>
      </w:r>
      <w:r w:rsidR="00571916" w:rsidRPr="002D0ACE">
        <w:rPr>
          <w:rFonts w:cs="Arial"/>
        </w:rPr>
        <w:t>embre de 2022</w:t>
      </w:r>
      <w:r w:rsidRPr="002D0ACE">
        <w:rPr>
          <w:rFonts w:cs="Arial"/>
        </w:rPr>
        <w:t xml:space="preserve">, la SGCAN convocó a la reclamante a </w:t>
      </w:r>
      <w:r w:rsidR="005F563D">
        <w:rPr>
          <w:rFonts w:cs="Arial"/>
        </w:rPr>
        <w:t>R</w:t>
      </w:r>
      <w:r w:rsidRPr="002D0ACE">
        <w:rPr>
          <w:rFonts w:cs="Arial"/>
        </w:rPr>
        <w:t xml:space="preserve">eunión </w:t>
      </w:r>
      <w:r w:rsidR="005F563D">
        <w:rPr>
          <w:rFonts w:cs="Arial"/>
        </w:rPr>
        <w:t>I</w:t>
      </w:r>
      <w:r w:rsidRPr="002D0ACE">
        <w:rPr>
          <w:rFonts w:cs="Arial"/>
        </w:rPr>
        <w:t>nformativa prevista para el 2</w:t>
      </w:r>
      <w:r w:rsidR="0024606B">
        <w:rPr>
          <w:rFonts w:cs="Arial"/>
        </w:rPr>
        <w:t xml:space="preserve">6 </w:t>
      </w:r>
      <w:r w:rsidRPr="002D0ACE">
        <w:rPr>
          <w:rFonts w:cs="Arial"/>
        </w:rPr>
        <w:t xml:space="preserve">de </w:t>
      </w:r>
      <w:r w:rsidR="0024606B">
        <w:rPr>
          <w:rFonts w:cs="Arial"/>
        </w:rPr>
        <w:t>enero</w:t>
      </w:r>
      <w:r w:rsidRPr="002D0ACE">
        <w:rPr>
          <w:rFonts w:cs="Arial"/>
        </w:rPr>
        <w:t xml:space="preserve"> de 202</w:t>
      </w:r>
      <w:r w:rsidR="0024606B">
        <w:rPr>
          <w:rFonts w:cs="Arial"/>
        </w:rPr>
        <w:t>3</w:t>
      </w:r>
      <w:r w:rsidRPr="002D0ACE">
        <w:rPr>
          <w:rFonts w:cs="Arial"/>
        </w:rPr>
        <w:t>, con la finalidad de recabar mayor información complementaria.</w:t>
      </w:r>
    </w:p>
    <w:p w14:paraId="4226589F" w14:textId="77777777" w:rsidR="00571916" w:rsidRPr="002D0ACE" w:rsidRDefault="00571916" w:rsidP="002D0ACE">
      <w:pPr>
        <w:pStyle w:val="Prrafodelista"/>
        <w:spacing w:line="240" w:lineRule="auto"/>
        <w:ind w:hanging="567"/>
        <w:rPr>
          <w:rFonts w:cs="Arial"/>
        </w:rPr>
      </w:pPr>
    </w:p>
    <w:p w14:paraId="2175E030" w14:textId="0C1F4A68" w:rsidR="00571916" w:rsidRPr="002D0ACE" w:rsidRDefault="00571916" w:rsidP="002D0ACE">
      <w:pPr>
        <w:pStyle w:val="Prrafodelista"/>
        <w:numPr>
          <w:ilvl w:val="0"/>
          <w:numId w:val="1"/>
        </w:numPr>
        <w:spacing w:line="240" w:lineRule="auto"/>
        <w:ind w:left="0" w:hanging="567"/>
        <w:jc w:val="both"/>
        <w:rPr>
          <w:rFonts w:cs="Arial"/>
        </w:rPr>
      </w:pPr>
      <w:r w:rsidRPr="002D0ACE">
        <w:rPr>
          <w:rFonts w:cs="Arial"/>
        </w:rPr>
        <w:t>Con comunicación SG/E/SJ/17</w:t>
      </w:r>
      <w:r w:rsidR="00DB6E89">
        <w:rPr>
          <w:rFonts w:cs="Arial"/>
        </w:rPr>
        <w:t>61</w:t>
      </w:r>
      <w:r w:rsidRPr="002D0ACE">
        <w:rPr>
          <w:rFonts w:cs="Arial"/>
        </w:rPr>
        <w:t>/2022 de</w:t>
      </w:r>
      <w:r w:rsidR="00DB6E89">
        <w:rPr>
          <w:rFonts w:cs="Arial"/>
        </w:rPr>
        <w:t xml:space="preserve"> </w:t>
      </w:r>
      <w:r w:rsidR="00DB6E89" w:rsidRPr="00DB6E89">
        <w:rPr>
          <w:rFonts w:cs="Arial"/>
        </w:rPr>
        <w:t>5 de diciembre de 2022</w:t>
      </w:r>
      <w:r w:rsidR="0073139C" w:rsidRPr="002D0ACE">
        <w:rPr>
          <w:rFonts w:cs="Arial"/>
        </w:rPr>
        <w:t>, la SGCAN convocó a la reclamada a la reunión informativa prevista para el 2</w:t>
      </w:r>
      <w:r w:rsidR="00DB6E89">
        <w:rPr>
          <w:rFonts w:cs="Arial"/>
        </w:rPr>
        <w:t xml:space="preserve">6 </w:t>
      </w:r>
      <w:r w:rsidR="0073139C" w:rsidRPr="002D0ACE">
        <w:rPr>
          <w:rFonts w:cs="Arial"/>
        </w:rPr>
        <w:t xml:space="preserve">de </w:t>
      </w:r>
      <w:r w:rsidR="00DB6E89">
        <w:rPr>
          <w:rFonts w:cs="Arial"/>
        </w:rPr>
        <w:t>enero</w:t>
      </w:r>
      <w:r w:rsidR="0073139C" w:rsidRPr="002D0ACE">
        <w:rPr>
          <w:rFonts w:cs="Arial"/>
        </w:rPr>
        <w:t xml:space="preserve"> de 202</w:t>
      </w:r>
      <w:r w:rsidR="00DB6E89">
        <w:rPr>
          <w:rFonts w:cs="Arial"/>
        </w:rPr>
        <w:t>3</w:t>
      </w:r>
      <w:r w:rsidR="0073139C" w:rsidRPr="002D0ACE">
        <w:rPr>
          <w:rFonts w:cs="Arial"/>
        </w:rPr>
        <w:t>.</w:t>
      </w:r>
    </w:p>
    <w:p w14:paraId="58A93145" w14:textId="77777777" w:rsidR="00571916" w:rsidRPr="002D0ACE" w:rsidRDefault="00571916" w:rsidP="002D0ACE">
      <w:pPr>
        <w:pStyle w:val="Prrafodelista"/>
        <w:spacing w:line="240" w:lineRule="auto"/>
        <w:ind w:hanging="567"/>
        <w:rPr>
          <w:rFonts w:cs="Arial"/>
        </w:rPr>
      </w:pPr>
    </w:p>
    <w:p w14:paraId="23F066EC" w14:textId="55664B95" w:rsidR="00571916" w:rsidRPr="002D0ACE" w:rsidRDefault="0073139C" w:rsidP="002D0ACE">
      <w:pPr>
        <w:pStyle w:val="Prrafodelista"/>
        <w:numPr>
          <w:ilvl w:val="0"/>
          <w:numId w:val="1"/>
        </w:numPr>
        <w:spacing w:line="240" w:lineRule="auto"/>
        <w:ind w:left="0" w:hanging="567"/>
        <w:jc w:val="both"/>
        <w:rPr>
          <w:rFonts w:cs="Arial"/>
        </w:rPr>
      </w:pPr>
      <w:r w:rsidRPr="002D0ACE">
        <w:rPr>
          <w:rFonts w:cs="Arial"/>
        </w:rPr>
        <w:t>A través de la</w:t>
      </w:r>
      <w:r w:rsidR="00571916" w:rsidRPr="002D0ACE">
        <w:rPr>
          <w:rFonts w:cs="Arial"/>
        </w:rPr>
        <w:t xml:space="preserve"> comunicación SG/E/SJ/17</w:t>
      </w:r>
      <w:r w:rsidR="00DC5EEE">
        <w:rPr>
          <w:rFonts w:cs="Arial"/>
        </w:rPr>
        <w:t>62</w:t>
      </w:r>
      <w:r w:rsidR="00571916" w:rsidRPr="002D0ACE">
        <w:rPr>
          <w:rFonts w:cs="Arial"/>
        </w:rPr>
        <w:t xml:space="preserve">/2022 de 5 de </w:t>
      </w:r>
      <w:r w:rsidR="00DC5EEE">
        <w:rPr>
          <w:rFonts w:cs="Arial"/>
        </w:rPr>
        <w:t>dici</w:t>
      </w:r>
      <w:r w:rsidR="00571916" w:rsidRPr="002D0ACE">
        <w:rPr>
          <w:rFonts w:cs="Arial"/>
        </w:rPr>
        <w:t>embre de 2022</w:t>
      </w:r>
      <w:r w:rsidRPr="002D0ACE">
        <w:rPr>
          <w:rFonts w:cs="Arial"/>
        </w:rPr>
        <w:t xml:space="preserve">, la SGCAN convocó a los demás Países Miembros a la </w:t>
      </w:r>
      <w:r w:rsidR="004B317F">
        <w:rPr>
          <w:rFonts w:cs="Arial"/>
        </w:rPr>
        <w:t>R</w:t>
      </w:r>
      <w:r w:rsidRPr="002D0ACE">
        <w:rPr>
          <w:rFonts w:cs="Arial"/>
        </w:rPr>
        <w:t xml:space="preserve">eunión </w:t>
      </w:r>
      <w:r w:rsidR="004B317F">
        <w:rPr>
          <w:rFonts w:cs="Arial"/>
        </w:rPr>
        <w:t>I</w:t>
      </w:r>
      <w:r w:rsidRPr="002D0ACE">
        <w:rPr>
          <w:rFonts w:cs="Arial"/>
        </w:rPr>
        <w:t>nformativa prevista para el 2</w:t>
      </w:r>
      <w:r w:rsidR="00DC5EEE">
        <w:rPr>
          <w:rFonts w:cs="Arial"/>
        </w:rPr>
        <w:t>6</w:t>
      </w:r>
      <w:r w:rsidRPr="002D0ACE">
        <w:rPr>
          <w:rFonts w:cs="Arial"/>
        </w:rPr>
        <w:t xml:space="preserve"> de </w:t>
      </w:r>
      <w:r w:rsidR="00DC5EEE">
        <w:rPr>
          <w:rFonts w:cs="Arial"/>
        </w:rPr>
        <w:t>enero</w:t>
      </w:r>
      <w:r w:rsidRPr="002D0ACE">
        <w:rPr>
          <w:rFonts w:cs="Arial"/>
        </w:rPr>
        <w:t xml:space="preserve"> de 202</w:t>
      </w:r>
      <w:r w:rsidR="00DC5EEE">
        <w:rPr>
          <w:rFonts w:cs="Arial"/>
        </w:rPr>
        <w:t>3</w:t>
      </w:r>
      <w:r w:rsidRPr="002D0ACE">
        <w:rPr>
          <w:rFonts w:cs="Arial"/>
        </w:rPr>
        <w:t>.</w:t>
      </w:r>
    </w:p>
    <w:p w14:paraId="3ED81B2C" w14:textId="77777777" w:rsidR="00571916" w:rsidRPr="002D0ACE" w:rsidRDefault="00571916" w:rsidP="00E16951">
      <w:pPr>
        <w:pStyle w:val="Prrafodelista"/>
        <w:spacing w:line="240" w:lineRule="auto"/>
        <w:rPr>
          <w:rFonts w:cs="Arial"/>
        </w:rPr>
      </w:pPr>
    </w:p>
    <w:p w14:paraId="7E1DB77B" w14:textId="19BA0E4B" w:rsidR="00571916" w:rsidRPr="002D0ACE" w:rsidRDefault="0088228C" w:rsidP="002D0ACE">
      <w:pPr>
        <w:pStyle w:val="Prrafodelista"/>
        <w:numPr>
          <w:ilvl w:val="0"/>
          <w:numId w:val="1"/>
        </w:numPr>
        <w:spacing w:line="240" w:lineRule="auto"/>
        <w:ind w:left="0" w:hanging="567"/>
        <w:jc w:val="both"/>
        <w:rPr>
          <w:rFonts w:cs="Arial"/>
        </w:rPr>
      </w:pPr>
      <w:r w:rsidRPr="002D0ACE">
        <w:rPr>
          <w:rFonts w:cs="Arial"/>
        </w:rPr>
        <w:t>Mediante correo</w:t>
      </w:r>
      <w:r w:rsidR="00571916" w:rsidRPr="002D0ACE">
        <w:rPr>
          <w:rFonts w:cs="Arial"/>
        </w:rPr>
        <w:t xml:space="preserve"> </w:t>
      </w:r>
      <w:r w:rsidR="009661ED">
        <w:rPr>
          <w:rFonts w:cs="Arial"/>
        </w:rPr>
        <w:t xml:space="preserve">electrónico </w:t>
      </w:r>
      <w:r w:rsidR="00571916" w:rsidRPr="002D0ACE">
        <w:rPr>
          <w:rFonts w:cs="Arial"/>
        </w:rPr>
        <w:t xml:space="preserve">de </w:t>
      </w:r>
      <w:r w:rsidR="009661ED">
        <w:rPr>
          <w:rFonts w:cs="Arial"/>
        </w:rPr>
        <w:t>1</w:t>
      </w:r>
      <w:r w:rsidR="00571916" w:rsidRPr="002D0ACE">
        <w:rPr>
          <w:rFonts w:cs="Arial"/>
        </w:rPr>
        <w:t xml:space="preserve">2 de </w:t>
      </w:r>
      <w:r w:rsidR="009661ED">
        <w:rPr>
          <w:rFonts w:cs="Arial"/>
        </w:rPr>
        <w:t>diciembre</w:t>
      </w:r>
      <w:r w:rsidR="00571916" w:rsidRPr="002D0ACE">
        <w:rPr>
          <w:rFonts w:cs="Arial"/>
        </w:rPr>
        <w:t xml:space="preserve"> de 2022</w:t>
      </w:r>
      <w:r w:rsidR="009F27ED" w:rsidRPr="002D0ACE">
        <w:rPr>
          <w:rFonts w:cs="Arial"/>
        </w:rPr>
        <w:t xml:space="preserve">, la </w:t>
      </w:r>
      <w:r w:rsidR="009661ED">
        <w:rPr>
          <w:rFonts w:cs="Arial"/>
        </w:rPr>
        <w:t>Sociedad Nacional de Industrias, recibida en la misma fecha en la SGCAN, adjunt</w:t>
      </w:r>
      <w:r w:rsidR="004B317F">
        <w:rPr>
          <w:rFonts w:cs="Arial"/>
        </w:rPr>
        <w:t>ó</w:t>
      </w:r>
      <w:r w:rsidR="009661ED">
        <w:rPr>
          <w:rFonts w:cs="Arial"/>
        </w:rPr>
        <w:t xml:space="preserve"> un escrito </w:t>
      </w:r>
      <w:r w:rsidR="004734A0" w:rsidRPr="002D0ACE">
        <w:rPr>
          <w:rFonts w:cs="Arial"/>
        </w:rPr>
        <w:t>solicit</w:t>
      </w:r>
      <w:r w:rsidR="009661ED">
        <w:rPr>
          <w:rFonts w:cs="Arial"/>
        </w:rPr>
        <w:t xml:space="preserve">ando </w:t>
      </w:r>
      <w:r w:rsidR="004734A0" w:rsidRPr="002D0ACE">
        <w:rPr>
          <w:rFonts w:cs="Arial"/>
        </w:rPr>
        <w:t xml:space="preserve">a la SGCAN </w:t>
      </w:r>
      <w:r w:rsidR="009661ED">
        <w:rPr>
          <w:rFonts w:cs="Arial"/>
        </w:rPr>
        <w:t xml:space="preserve">que la reunión informativa convocada de manera virtual se realice de forma presencia en la sede de la SGCAN y también acreditó a las personas para </w:t>
      </w:r>
      <w:r w:rsidR="004B317F">
        <w:rPr>
          <w:rFonts w:cs="Arial"/>
        </w:rPr>
        <w:t>l</w:t>
      </w:r>
      <w:r w:rsidR="009661ED">
        <w:rPr>
          <w:rFonts w:cs="Arial"/>
        </w:rPr>
        <w:t>a reunión informativa.</w:t>
      </w:r>
    </w:p>
    <w:p w14:paraId="7DB2874A" w14:textId="77777777" w:rsidR="009661ED" w:rsidRPr="009661ED" w:rsidRDefault="009661ED" w:rsidP="009661ED">
      <w:pPr>
        <w:pStyle w:val="Prrafodelista"/>
        <w:ind w:hanging="567"/>
        <w:rPr>
          <w:rFonts w:cs="Arial"/>
        </w:rPr>
      </w:pPr>
    </w:p>
    <w:p w14:paraId="501645EC" w14:textId="4E979C96" w:rsidR="00C639E0" w:rsidRDefault="00571916" w:rsidP="00C639E0">
      <w:pPr>
        <w:pStyle w:val="Prrafodelista"/>
        <w:numPr>
          <w:ilvl w:val="0"/>
          <w:numId w:val="1"/>
        </w:numPr>
        <w:spacing w:line="240" w:lineRule="auto"/>
        <w:ind w:left="0" w:hanging="567"/>
        <w:jc w:val="both"/>
        <w:rPr>
          <w:rFonts w:cs="Arial"/>
        </w:rPr>
      </w:pPr>
      <w:r w:rsidRPr="002D0ACE">
        <w:rPr>
          <w:rFonts w:cs="Arial"/>
        </w:rPr>
        <w:t>Con comunicación SG/E/SJ/17</w:t>
      </w:r>
      <w:r w:rsidR="009661ED">
        <w:rPr>
          <w:rFonts w:cs="Arial"/>
        </w:rPr>
        <w:t>89</w:t>
      </w:r>
      <w:r w:rsidRPr="002D0ACE">
        <w:rPr>
          <w:rFonts w:cs="Arial"/>
        </w:rPr>
        <w:t xml:space="preserve">/2022 de </w:t>
      </w:r>
      <w:r w:rsidR="009661ED">
        <w:rPr>
          <w:rFonts w:cs="Arial"/>
        </w:rPr>
        <w:t>1</w:t>
      </w:r>
      <w:r w:rsidRPr="002D0ACE">
        <w:rPr>
          <w:rFonts w:cs="Arial"/>
        </w:rPr>
        <w:t xml:space="preserve">3 de </w:t>
      </w:r>
      <w:r w:rsidR="009661ED">
        <w:rPr>
          <w:rFonts w:cs="Arial"/>
        </w:rPr>
        <w:t>dici</w:t>
      </w:r>
      <w:r w:rsidRPr="002D0ACE">
        <w:rPr>
          <w:rFonts w:cs="Arial"/>
        </w:rPr>
        <w:t>embre de 2022</w:t>
      </w:r>
      <w:r w:rsidR="00390989" w:rsidRPr="002D0ACE">
        <w:rPr>
          <w:rFonts w:cs="Arial"/>
        </w:rPr>
        <w:t>, la SGCAN acusó recibo de la solicitud presentada por la reclamada</w:t>
      </w:r>
      <w:r w:rsidR="009661ED">
        <w:rPr>
          <w:rFonts w:cs="Arial"/>
        </w:rPr>
        <w:t xml:space="preserve">, con relación a la presencialidad de la reunión informativa, explicando que, </w:t>
      </w:r>
      <w:r w:rsidR="009661ED" w:rsidRPr="009661ED">
        <w:rPr>
          <w:rFonts w:cs="Arial"/>
        </w:rPr>
        <w:t xml:space="preserve">siguiendo las recomendaciones en el ámbito de la salud </w:t>
      </w:r>
      <w:r w:rsidR="009661ED">
        <w:rPr>
          <w:rFonts w:cs="Arial"/>
        </w:rPr>
        <w:t xml:space="preserve">por el </w:t>
      </w:r>
      <w:r w:rsidR="00DF0137">
        <w:rPr>
          <w:rFonts w:cs="Arial"/>
        </w:rPr>
        <w:t>G</w:t>
      </w:r>
      <w:r w:rsidR="009661ED">
        <w:rPr>
          <w:rFonts w:cs="Arial"/>
        </w:rPr>
        <w:t xml:space="preserve">obierno peruano, </w:t>
      </w:r>
      <w:r w:rsidR="009661ED" w:rsidRPr="009661ED">
        <w:rPr>
          <w:rFonts w:cs="Arial"/>
        </w:rPr>
        <w:t>precautelando la seguridad sanitaria en general y la vida de las personas, tiene a bien mantener la reunión informativa de manera virtual para la fecha prevista.</w:t>
      </w:r>
    </w:p>
    <w:p w14:paraId="0185620E" w14:textId="77777777" w:rsidR="00C639E0" w:rsidRPr="00C639E0" w:rsidRDefault="00C639E0" w:rsidP="00C639E0">
      <w:pPr>
        <w:pStyle w:val="Prrafodelista"/>
        <w:rPr>
          <w:rFonts w:cs="Arial"/>
        </w:rPr>
      </w:pPr>
    </w:p>
    <w:p w14:paraId="70F3B614" w14:textId="037CC3D9" w:rsidR="009633A6" w:rsidRDefault="00C639E0" w:rsidP="009633A6">
      <w:pPr>
        <w:pStyle w:val="Prrafodelista"/>
        <w:numPr>
          <w:ilvl w:val="0"/>
          <w:numId w:val="1"/>
        </w:numPr>
        <w:spacing w:line="240" w:lineRule="auto"/>
        <w:ind w:left="0" w:hanging="567"/>
        <w:jc w:val="both"/>
        <w:rPr>
          <w:rFonts w:cs="Arial"/>
        </w:rPr>
      </w:pPr>
      <w:r w:rsidRPr="00C639E0">
        <w:rPr>
          <w:rFonts w:cs="Arial"/>
        </w:rPr>
        <w:t>Por medio del OFICIO Nº</w:t>
      </w:r>
      <w:r>
        <w:rPr>
          <w:rFonts w:cs="Arial"/>
        </w:rPr>
        <w:t xml:space="preserve"> </w:t>
      </w:r>
      <w:r w:rsidRPr="00C639E0">
        <w:rPr>
          <w:rFonts w:cs="Arial"/>
        </w:rPr>
        <w:t>0</w:t>
      </w:r>
      <w:r>
        <w:rPr>
          <w:rFonts w:cs="Arial"/>
        </w:rPr>
        <w:t>01</w:t>
      </w:r>
      <w:r w:rsidRPr="00C639E0">
        <w:rPr>
          <w:rFonts w:cs="Arial"/>
        </w:rPr>
        <w:t>-202</w:t>
      </w:r>
      <w:r>
        <w:rPr>
          <w:rFonts w:cs="Arial"/>
        </w:rPr>
        <w:t>3</w:t>
      </w:r>
      <w:r w:rsidRPr="00C639E0">
        <w:rPr>
          <w:rFonts w:cs="Arial"/>
        </w:rPr>
        <w:t xml:space="preserve">-MINCETUR/VMCE/DGGJCI de </w:t>
      </w:r>
      <w:r>
        <w:rPr>
          <w:rFonts w:cs="Arial"/>
        </w:rPr>
        <w:t>11</w:t>
      </w:r>
      <w:r w:rsidRPr="00C639E0">
        <w:rPr>
          <w:rFonts w:cs="Arial"/>
        </w:rPr>
        <w:t xml:space="preserve"> de </w:t>
      </w:r>
      <w:r>
        <w:rPr>
          <w:rFonts w:cs="Arial"/>
        </w:rPr>
        <w:t xml:space="preserve">enero </w:t>
      </w:r>
      <w:r w:rsidRPr="00C639E0">
        <w:rPr>
          <w:rFonts w:cs="Arial"/>
        </w:rPr>
        <w:t>de 202</w:t>
      </w:r>
      <w:r>
        <w:rPr>
          <w:rFonts w:cs="Arial"/>
        </w:rPr>
        <w:t>3</w:t>
      </w:r>
      <w:r w:rsidRPr="00C639E0">
        <w:rPr>
          <w:rFonts w:cs="Arial"/>
        </w:rPr>
        <w:t>,</w:t>
      </w:r>
      <w:r>
        <w:rPr>
          <w:rFonts w:cs="Arial"/>
        </w:rPr>
        <w:t xml:space="preserve"> recibida en la SGCAN el 12 de enero de 2023,</w:t>
      </w:r>
      <w:r w:rsidRPr="00C639E0">
        <w:rPr>
          <w:rFonts w:cs="Arial"/>
        </w:rPr>
        <w:t xml:space="preserve"> la reclamada remite su contestación al reclamo por supuesto incumplimiento </w:t>
      </w:r>
      <w:r w:rsidR="00B67428">
        <w:rPr>
          <w:rFonts w:cs="Arial"/>
        </w:rPr>
        <w:t>de normas comunitarias</w:t>
      </w:r>
      <w:r w:rsidRPr="00C639E0">
        <w:rPr>
          <w:rFonts w:cs="Arial"/>
        </w:rPr>
        <w:t>.</w:t>
      </w:r>
    </w:p>
    <w:p w14:paraId="509CFE5F" w14:textId="77777777" w:rsidR="009633A6" w:rsidRPr="009633A6" w:rsidRDefault="009633A6" w:rsidP="009633A6">
      <w:pPr>
        <w:pStyle w:val="Prrafodelista"/>
        <w:rPr>
          <w:rFonts w:cs="Arial"/>
        </w:rPr>
      </w:pPr>
    </w:p>
    <w:p w14:paraId="29BCA4E1" w14:textId="5F0122CC" w:rsidR="00E95C18" w:rsidRDefault="009633A6" w:rsidP="00E95C18">
      <w:pPr>
        <w:pStyle w:val="Prrafodelista"/>
        <w:numPr>
          <w:ilvl w:val="0"/>
          <w:numId w:val="1"/>
        </w:numPr>
        <w:spacing w:line="240" w:lineRule="auto"/>
        <w:ind w:left="0" w:hanging="567"/>
        <w:jc w:val="both"/>
        <w:rPr>
          <w:rFonts w:cs="Arial"/>
        </w:rPr>
      </w:pPr>
      <w:r w:rsidRPr="009633A6">
        <w:rPr>
          <w:rFonts w:cs="Arial"/>
        </w:rPr>
        <w:t>Mediante comunicación SG/E/SJ/</w:t>
      </w:r>
      <w:r>
        <w:rPr>
          <w:rFonts w:cs="Arial"/>
        </w:rPr>
        <w:t>07</w:t>
      </w:r>
      <w:r w:rsidR="0096651A">
        <w:rPr>
          <w:rFonts w:cs="Arial"/>
        </w:rPr>
        <w:t>2</w:t>
      </w:r>
      <w:r w:rsidRPr="009633A6">
        <w:rPr>
          <w:rFonts w:cs="Arial"/>
        </w:rPr>
        <w:t>/202</w:t>
      </w:r>
      <w:r>
        <w:rPr>
          <w:rFonts w:cs="Arial"/>
        </w:rPr>
        <w:t>3</w:t>
      </w:r>
      <w:r w:rsidRPr="009633A6">
        <w:rPr>
          <w:rFonts w:cs="Arial"/>
        </w:rPr>
        <w:t xml:space="preserve"> de 1</w:t>
      </w:r>
      <w:r>
        <w:rPr>
          <w:rFonts w:cs="Arial"/>
        </w:rPr>
        <w:t>9</w:t>
      </w:r>
      <w:r w:rsidRPr="009633A6">
        <w:rPr>
          <w:rFonts w:cs="Arial"/>
        </w:rPr>
        <w:t xml:space="preserve"> de </w:t>
      </w:r>
      <w:r>
        <w:rPr>
          <w:rFonts w:cs="Arial"/>
        </w:rPr>
        <w:t>enero</w:t>
      </w:r>
      <w:r w:rsidRPr="009633A6">
        <w:rPr>
          <w:rFonts w:cs="Arial"/>
        </w:rPr>
        <w:t xml:space="preserve"> de 202</w:t>
      </w:r>
      <w:r>
        <w:rPr>
          <w:rFonts w:cs="Arial"/>
        </w:rPr>
        <w:t>3</w:t>
      </w:r>
      <w:r w:rsidRPr="009633A6">
        <w:rPr>
          <w:rFonts w:cs="Arial"/>
        </w:rPr>
        <w:t>, la SGCAN acusó recibo de la contestación al reclamo presentado por la reclamada mediante OFICIO Nº 001-2023-MINCETUR/VMCE/DGGJCI de 11 de enero de 2023.</w:t>
      </w:r>
    </w:p>
    <w:p w14:paraId="450E1FBC" w14:textId="77777777" w:rsidR="00E95C18" w:rsidRPr="00E95C18" w:rsidRDefault="00E95C18" w:rsidP="00E95C18">
      <w:pPr>
        <w:pStyle w:val="Prrafodelista"/>
        <w:rPr>
          <w:rFonts w:cs="Arial"/>
        </w:rPr>
      </w:pPr>
    </w:p>
    <w:p w14:paraId="1D684ECA" w14:textId="77777777" w:rsidR="00F04160" w:rsidRDefault="00E95C18" w:rsidP="00F04160">
      <w:pPr>
        <w:pStyle w:val="Prrafodelista"/>
        <w:numPr>
          <w:ilvl w:val="0"/>
          <w:numId w:val="1"/>
        </w:numPr>
        <w:spacing w:line="240" w:lineRule="auto"/>
        <w:ind w:left="0" w:hanging="567"/>
        <w:jc w:val="both"/>
        <w:rPr>
          <w:rFonts w:cs="Arial"/>
        </w:rPr>
      </w:pPr>
      <w:r w:rsidRPr="00E95C18">
        <w:rPr>
          <w:rFonts w:cs="Arial"/>
        </w:rPr>
        <w:t xml:space="preserve">Con comunicación </w:t>
      </w:r>
      <w:r w:rsidR="0096651A" w:rsidRPr="0096651A">
        <w:rPr>
          <w:rFonts w:cs="Arial"/>
        </w:rPr>
        <w:t>SG/E/SJ/073/2023 de 19 de enero de 2023</w:t>
      </w:r>
      <w:r w:rsidRPr="00E95C18">
        <w:rPr>
          <w:rFonts w:cs="Arial"/>
        </w:rPr>
        <w:t xml:space="preserve">, la SGCAN corrió traslado a la reclamante de la contestación al reclamo presentado por la reclamada mediante </w:t>
      </w:r>
      <w:bookmarkStart w:id="1" w:name="_Hlk125382312"/>
      <w:r w:rsidR="009633A6" w:rsidRPr="009633A6">
        <w:rPr>
          <w:rFonts w:cs="Arial"/>
        </w:rPr>
        <w:t>OFICIO Nº</w:t>
      </w:r>
      <w:r w:rsidR="0096651A" w:rsidRPr="0096651A">
        <w:rPr>
          <w:rFonts w:cs="Arial"/>
        </w:rPr>
        <w:t xml:space="preserve"> </w:t>
      </w:r>
      <w:r w:rsidR="009633A6" w:rsidRPr="009633A6">
        <w:rPr>
          <w:rFonts w:cs="Arial"/>
        </w:rPr>
        <w:t>0</w:t>
      </w:r>
      <w:r w:rsidR="0096651A" w:rsidRPr="0096651A">
        <w:rPr>
          <w:rFonts w:cs="Arial"/>
        </w:rPr>
        <w:t>01</w:t>
      </w:r>
      <w:r w:rsidR="009633A6" w:rsidRPr="009633A6">
        <w:rPr>
          <w:rFonts w:cs="Arial"/>
        </w:rPr>
        <w:t>-202</w:t>
      </w:r>
      <w:r w:rsidR="0096651A" w:rsidRPr="0096651A">
        <w:rPr>
          <w:rFonts w:cs="Arial"/>
        </w:rPr>
        <w:t>3</w:t>
      </w:r>
      <w:r w:rsidR="009633A6" w:rsidRPr="009633A6">
        <w:rPr>
          <w:rFonts w:cs="Arial"/>
        </w:rPr>
        <w:t xml:space="preserve">-MINCETUR/VMCE/DGGJCI de </w:t>
      </w:r>
      <w:r w:rsidR="0096651A" w:rsidRPr="0096651A">
        <w:rPr>
          <w:rFonts w:cs="Arial"/>
        </w:rPr>
        <w:t>11</w:t>
      </w:r>
      <w:r w:rsidR="009633A6" w:rsidRPr="009633A6">
        <w:rPr>
          <w:rFonts w:cs="Arial"/>
        </w:rPr>
        <w:t xml:space="preserve"> de </w:t>
      </w:r>
      <w:r w:rsidR="0096651A" w:rsidRPr="0096651A">
        <w:rPr>
          <w:rFonts w:cs="Arial"/>
        </w:rPr>
        <w:t xml:space="preserve">enero </w:t>
      </w:r>
      <w:r w:rsidR="009633A6" w:rsidRPr="009633A6">
        <w:rPr>
          <w:rFonts w:cs="Arial"/>
        </w:rPr>
        <w:t>de 202</w:t>
      </w:r>
      <w:r w:rsidR="0096651A" w:rsidRPr="0096651A">
        <w:rPr>
          <w:rFonts w:cs="Arial"/>
        </w:rPr>
        <w:t>3</w:t>
      </w:r>
      <w:bookmarkEnd w:id="1"/>
      <w:r w:rsidRPr="00E95C18">
        <w:rPr>
          <w:rFonts w:cs="Arial"/>
        </w:rPr>
        <w:t>.</w:t>
      </w:r>
    </w:p>
    <w:p w14:paraId="45A368A2" w14:textId="77777777" w:rsidR="00F04160" w:rsidRPr="00F04160" w:rsidRDefault="00F04160" w:rsidP="00F04160">
      <w:pPr>
        <w:pStyle w:val="Prrafodelista"/>
        <w:rPr>
          <w:rFonts w:cs="Arial"/>
        </w:rPr>
      </w:pPr>
    </w:p>
    <w:p w14:paraId="32BD28BB" w14:textId="0C6D1F94" w:rsidR="00F04160" w:rsidRPr="00F04160" w:rsidRDefault="00F04160" w:rsidP="00F04160">
      <w:pPr>
        <w:pStyle w:val="Prrafodelista"/>
        <w:numPr>
          <w:ilvl w:val="0"/>
          <w:numId w:val="1"/>
        </w:numPr>
        <w:spacing w:line="240" w:lineRule="auto"/>
        <w:ind w:left="0" w:hanging="567"/>
        <w:jc w:val="both"/>
        <w:rPr>
          <w:rFonts w:cs="Arial"/>
        </w:rPr>
      </w:pPr>
      <w:r w:rsidRPr="00F04160">
        <w:rPr>
          <w:rFonts w:cs="Arial"/>
        </w:rPr>
        <w:t>Mediante comunicación SG/E/SJ/</w:t>
      </w:r>
      <w:r w:rsidR="00B46917">
        <w:rPr>
          <w:rFonts w:cs="Arial"/>
        </w:rPr>
        <w:t>074</w:t>
      </w:r>
      <w:r w:rsidRPr="00F04160">
        <w:rPr>
          <w:rFonts w:cs="Arial"/>
        </w:rPr>
        <w:t>/202</w:t>
      </w:r>
      <w:r w:rsidR="00B46917">
        <w:rPr>
          <w:rFonts w:cs="Arial"/>
        </w:rPr>
        <w:t>3</w:t>
      </w:r>
      <w:r w:rsidRPr="00F04160">
        <w:rPr>
          <w:rFonts w:cs="Arial"/>
        </w:rPr>
        <w:t xml:space="preserve"> de 2</w:t>
      </w:r>
      <w:r w:rsidR="00B46917">
        <w:rPr>
          <w:rFonts w:cs="Arial"/>
        </w:rPr>
        <w:t>0</w:t>
      </w:r>
      <w:r w:rsidRPr="00F04160">
        <w:rPr>
          <w:rFonts w:cs="Arial"/>
        </w:rPr>
        <w:t xml:space="preserve"> de </w:t>
      </w:r>
      <w:r w:rsidR="00B46917">
        <w:rPr>
          <w:rFonts w:cs="Arial"/>
        </w:rPr>
        <w:t>enero</w:t>
      </w:r>
      <w:r w:rsidRPr="00F04160">
        <w:rPr>
          <w:rFonts w:cs="Arial"/>
        </w:rPr>
        <w:t xml:space="preserve"> de 202</w:t>
      </w:r>
      <w:r w:rsidR="00B46917">
        <w:rPr>
          <w:rFonts w:cs="Arial"/>
        </w:rPr>
        <w:t>3</w:t>
      </w:r>
      <w:r w:rsidRPr="00F04160">
        <w:rPr>
          <w:rFonts w:cs="Arial"/>
        </w:rPr>
        <w:t xml:space="preserve">, la SGCAN corrió traslado a los Países Miembros de la contestación al reclamo presentado por la reclamada mediante </w:t>
      </w:r>
      <w:r w:rsidR="009633A6" w:rsidRPr="009633A6">
        <w:rPr>
          <w:rFonts w:cs="Arial"/>
        </w:rPr>
        <w:t>OFICIO Nº</w:t>
      </w:r>
      <w:r w:rsidR="00B46917" w:rsidRPr="00B46917">
        <w:rPr>
          <w:rFonts w:cs="Arial"/>
        </w:rPr>
        <w:t xml:space="preserve"> </w:t>
      </w:r>
      <w:r w:rsidR="009633A6" w:rsidRPr="009633A6">
        <w:rPr>
          <w:rFonts w:cs="Arial"/>
        </w:rPr>
        <w:t>0</w:t>
      </w:r>
      <w:r w:rsidR="00B46917" w:rsidRPr="00B46917">
        <w:rPr>
          <w:rFonts w:cs="Arial"/>
        </w:rPr>
        <w:t>01</w:t>
      </w:r>
      <w:r w:rsidR="009633A6" w:rsidRPr="009633A6">
        <w:rPr>
          <w:rFonts w:cs="Arial"/>
        </w:rPr>
        <w:t>-202</w:t>
      </w:r>
      <w:r w:rsidR="00B46917" w:rsidRPr="00B46917">
        <w:rPr>
          <w:rFonts w:cs="Arial"/>
        </w:rPr>
        <w:t>3</w:t>
      </w:r>
      <w:r w:rsidR="009633A6" w:rsidRPr="009633A6">
        <w:rPr>
          <w:rFonts w:cs="Arial"/>
        </w:rPr>
        <w:t xml:space="preserve">-MINCETUR/VMCE/DGGJCI de </w:t>
      </w:r>
      <w:r w:rsidR="00B46917" w:rsidRPr="00B46917">
        <w:rPr>
          <w:rFonts w:cs="Arial"/>
        </w:rPr>
        <w:t>11</w:t>
      </w:r>
      <w:r w:rsidR="009633A6" w:rsidRPr="009633A6">
        <w:rPr>
          <w:rFonts w:cs="Arial"/>
        </w:rPr>
        <w:t xml:space="preserve"> de </w:t>
      </w:r>
      <w:r w:rsidR="00B46917" w:rsidRPr="00B46917">
        <w:rPr>
          <w:rFonts w:cs="Arial"/>
        </w:rPr>
        <w:t xml:space="preserve">enero </w:t>
      </w:r>
      <w:r w:rsidR="009633A6" w:rsidRPr="009633A6">
        <w:rPr>
          <w:rFonts w:cs="Arial"/>
        </w:rPr>
        <w:t>de 202</w:t>
      </w:r>
      <w:r w:rsidR="00B46917" w:rsidRPr="00B46917">
        <w:rPr>
          <w:rFonts w:cs="Arial"/>
        </w:rPr>
        <w:t>3</w:t>
      </w:r>
      <w:r w:rsidRPr="00F04160">
        <w:rPr>
          <w:rFonts w:cs="Arial"/>
        </w:rPr>
        <w:t>.</w:t>
      </w:r>
    </w:p>
    <w:p w14:paraId="5BCB4245" w14:textId="77777777" w:rsidR="00E95C18" w:rsidRPr="00E95C18" w:rsidRDefault="00E95C18" w:rsidP="00E95C18">
      <w:pPr>
        <w:pStyle w:val="Prrafodelista"/>
        <w:rPr>
          <w:rFonts w:cs="Arial"/>
        </w:rPr>
      </w:pPr>
    </w:p>
    <w:p w14:paraId="745D16DA" w14:textId="11FE8008" w:rsidR="008510CF" w:rsidRDefault="008510CF" w:rsidP="002D0ACE">
      <w:pPr>
        <w:pStyle w:val="Prrafodelista"/>
        <w:numPr>
          <w:ilvl w:val="0"/>
          <w:numId w:val="1"/>
        </w:numPr>
        <w:spacing w:line="240" w:lineRule="auto"/>
        <w:ind w:left="0" w:hanging="567"/>
        <w:jc w:val="both"/>
        <w:rPr>
          <w:rFonts w:cs="Arial"/>
        </w:rPr>
      </w:pPr>
      <w:r>
        <w:rPr>
          <w:rFonts w:cs="Arial"/>
        </w:rPr>
        <w:t>Con correo electrónico de fecha 24 de enero de 2023 la República del Perú acreditó a la delegación para asistir a la Reunión Informativa prevista para el 26 de enero de 2023.</w:t>
      </w:r>
    </w:p>
    <w:p w14:paraId="4010D391" w14:textId="77777777" w:rsidR="008510CF" w:rsidRDefault="008510CF" w:rsidP="008510CF">
      <w:pPr>
        <w:pStyle w:val="Prrafodelista"/>
        <w:spacing w:line="240" w:lineRule="auto"/>
        <w:ind w:left="0"/>
        <w:jc w:val="both"/>
        <w:rPr>
          <w:rFonts w:cs="Arial"/>
        </w:rPr>
      </w:pPr>
    </w:p>
    <w:p w14:paraId="6C566E8D" w14:textId="7C5AE8F6" w:rsidR="008E2C13" w:rsidRDefault="008E2C13" w:rsidP="002D0ACE">
      <w:pPr>
        <w:pStyle w:val="Prrafodelista"/>
        <w:numPr>
          <w:ilvl w:val="0"/>
          <w:numId w:val="1"/>
        </w:numPr>
        <w:spacing w:line="240" w:lineRule="auto"/>
        <w:ind w:left="0" w:hanging="567"/>
        <w:jc w:val="both"/>
        <w:rPr>
          <w:rFonts w:cs="Arial"/>
        </w:rPr>
      </w:pPr>
      <w:r w:rsidRPr="002D0ACE">
        <w:rPr>
          <w:rFonts w:cs="Arial"/>
        </w:rPr>
        <w:t xml:space="preserve">El </w:t>
      </w:r>
      <w:r w:rsidR="00AF1214">
        <w:rPr>
          <w:rFonts w:cs="Arial"/>
        </w:rPr>
        <w:t>26</w:t>
      </w:r>
      <w:r w:rsidRPr="002D0ACE">
        <w:rPr>
          <w:rFonts w:cs="Arial"/>
        </w:rPr>
        <w:t xml:space="preserve"> de </w:t>
      </w:r>
      <w:r w:rsidR="00AF1214">
        <w:rPr>
          <w:rFonts w:cs="Arial"/>
        </w:rPr>
        <w:t>enero</w:t>
      </w:r>
      <w:r w:rsidRPr="002D0ACE">
        <w:rPr>
          <w:rFonts w:cs="Arial"/>
        </w:rPr>
        <w:t xml:space="preserve"> de 202</w:t>
      </w:r>
      <w:r w:rsidR="00AF1214">
        <w:rPr>
          <w:rFonts w:cs="Arial"/>
        </w:rPr>
        <w:t>3</w:t>
      </w:r>
      <w:r w:rsidRPr="002D0ACE">
        <w:rPr>
          <w:rFonts w:cs="Arial"/>
        </w:rPr>
        <w:t xml:space="preserve">, se realizó de manera virtual la </w:t>
      </w:r>
      <w:r w:rsidR="00A75F6A">
        <w:rPr>
          <w:rFonts w:cs="Arial"/>
        </w:rPr>
        <w:t>R</w:t>
      </w:r>
      <w:r w:rsidRPr="002D0ACE">
        <w:rPr>
          <w:rFonts w:cs="Arial"/>
        </w:rPr>
        <w:t xml:space="preserve">eunión </w:t>
      </w:r>
      <w:r w:rsidR="00A75F6A">
        <w:rPr>
          <w:rFonts w:cs="Arial"/>
        </w:rPr>
        <w:t>I</w:t>
      </w:r>
      <w:r w:rsidRPr="002D0ACE">
        <w:rPr>
          <w:rFonts w:cs="Arial"/>
        </w:rPr>
        <w:t>nformativa dentro del proceso FP/0</w:t>
      </w:r>
      <w:r w:rsidR="00AF1214">
        <w:rPr>
          <w:rFonts w:cs="Arial"/>
        </w:rPr>
        <w:t>8</w:t>
      </w:r>
      <w:r w:rsidRPr="002D0ACE">
        <w:rPr>
          <w:rFonts w:cs="Arial"/>
        </w:rPr>
        <w:t>/2022</w:t>
      </w:r>
      <w:r w:rsidR="00AF1214">
        <w:rPr>
          <w:rFonts w:cs="Arial"/>
        </w:rPr>
        <w:t>, conforme la convocatoria realizada</w:t>
      </w:r>
      <w:r w:rsidRPr="002D0ACE">
        <w:rPr>
          <w:rFonts w:cs="Arial"/>
        </w:rPr>
        <w:t>.</w:t>
      </w:r>
    </w:p>
    <w:p w14:paraId="268FD30A" w14:textId="752BCD17" w:rsidR="00A22943" w:rsidRPr="002D0ACE" w:rsidRDefault="00A22943" w:rsidP="00E16951">
      <w:pPr>
        <w:spacing w:line="240" w:lineRule="auto"/>
        <w:jc w:val="both"/>
        <w:rPr>
          <w:rFonts w:cs="Arial"/>
          <w:b/>
        </w:rPr>
      </w:pPr>
      <w:r w:rsidRPr="007910D5">
        <w:rPr>
          <w:rFonts w:cs="Arial"/>
          <w:b/>
        </w:rPr>
        <w:t>III. IDENTIFICACIÓN Y DESCRIPCIÓN DE LAS MEDIDAS O CONDUCTAS MATERIA DEL RECLAMO.</w:t>
      </w:r>
      <w:r w:rsidR="00D57CDA" w:rsidRPr="007910D5">
        <w:rPr>
          <w:rFonts w:cs="Arial"/>
          <w:b/>
        </w:rPr>
        <w:t xml:space="preserve"> </w:t>
      </w:r>
      <w:r w:rsidRPr="007910D5">
        <w:rPr>
          <w:rFonts w:cs="Arial"/>
          <w:b/>
        </w:rPr>
        <w:t>-</w:t>
      </w:r>
    </w:p>
    <w:p w14:paraId="52FA929F" w14:textId="2399A738" w:rsidR="00B446F7" w:rsidRPr="002D0ACE" w:rsidRDefault="00CA221E" w:rsidP="00F4010C">
      <w:pPr>
        <w:pStyle w:val="Prrafodelista"/>
        <w:numPr>
          <w:ilvl w:val="0"/>
          <w:numId w:val="1"/>
        </w:numPr>
        <w:spacing w:after="0" w:line="240" w:lineRule="auto"/>
        <w:ind w:left="0" w:hanging="567"/>
        <w:jc w:val="both"/>
        <w:rPr>
          <w:rFonts w:cs="Arial"/>
        </w:rPr>
      </w:pPr>
      <w:r w:rsidRPr="002D0ACE">
        <w:rPr>
          <w:rFonts w:cs="Arial"/>
        </w:rPr>
        <w:t xml:space="preserve">La reclamante en </w:t>
      </w:r>
      <w:r w:rsidR="001A7BB9" w:rsidRPr="002D0ACE">
        <w:rPr>
          <w:rFonts w:cs="Arial"/>
        </w:rPr>
        <w:t>s</w:t>
      </w:r>
      <w:r w:rsidRPr="002D0ACE">
        <w:rPr>
          <w:rFonts w:cs="Arial"/>
        </w:rPr>
        <w:t>u escrito de reclamo interpuesto contra la República del Perú</w:t>
      </w:r>
      <w:r w:rsidRPr="00C44875">
        <w:rPr>
          <w:rFonts w:cs="Arial"/>
          <w:i/>
          <w:iCs/>
        </w:rPr>
        <w:t xml:space="preserve"> </w:t>
      </w:r>
      <w:r w:rsidR="00C44875" w:rsidRPr="00C44875">
        <w:rPr>
          <w:rFonts w:cs="Arial"/>
          <w:i/>
          <w:iCs/>
        </w:rPr>
        <w:t xml:space="preserve">“… solicita el inicio de una investigación por el incumplimiento en el que ha incurrido la </w:t>
      </w:r>
      <w:r w:rsidR="00C44875">
        <w:rPr>
          <w:rFonts w:cs="Arial"/>
          <w:i/>
          <w:iCs/>
        </w:rPr>
        <w:t>R</w:t>
      </w:r>
      <w:r w:rsidR="00C44875" w:rsidRPr="00C44875">
        <w:rPr>
          <w:rFonts w:cs="Arial"/>
          <w:i/>
          <w:iCs/>
        </w:rPr>
        <w:t xml:space="preserve">epública del </w:t>
      </w:r>
      <w:r w:rsidR="00C44875" w:rsidRPr="00C44875">
        <w:rPr>
          <w:rFonts w:cs="Arial"/>
          <w:i/>
          <w:iCs/>
        </w:rPr>
        <w:lastRenderedPageBreak/>
        <w:t>Perú, al emitir, publicar y adoptar la siguiente norma con rango de ley, así como otras medidas internas contrarias al ordenamiento jurídico andino”</w:t>
      </w:r>
      <w:r w:rsidR="00C44875">
        <w:rPr>
          <w:rStyle w:val="Refdenotaalpie"/>
          <w:rFonts w:cs="Arial"/>
          <w:i/>
          <w:iCs/>
        </w:rPr>
        <w:footnoteReference w:id="1"/>
      </w:r>
      <w:r w:rsidR="00C44875">
        <w:rPr>
          <w:rFonts w:cs="Arial"/>
        </w:rPr>
        <w:t>:</w:t>
      </w:r>
    </w:p>
    <w:p w14:paraId="437AA641" w14:textId="77777777" w:rsidR="00C44875" w:rsidRDefault="00C44875" w:rsidP="00F4010C">
      <w:pPr>
        <w:pStyle w:val="Prrafodelista"/>
        <w:spacing w:after="0" w:line="240" w:lineRule="auto"/>
        <w:jc w:val="both"/>
        <w:rPr>
          <w:rFonts w:cs="Arial"/>
        </w:rPr>
      </w:pPr>
    </w:p>
    <w:p w14:paraId="48C23F29" w14:textId="318B7F65" w:rsidR="002168AA" w:rsidRDefault="00C44875" w:rsidP="002B16C6">
      <w:pPr>
        <w:pStyle w:val="Prrafodelista"/>
        <w:numPr>
          <w:ilvl w:val="0"/>
          <w:numId w:val="35"/>
        </w:numPr>
        <w:spacing w:after="0" w:line="240" w:lineRule="auto"/>
        <w:ind w:left="709" w:hanging="218"/>
        <w:jc w:val="both"/>
        <w:rPr>
          <w:rFonts w:cs="Arial"/>
        </w:rPr>
      </w:pPr>
      <w:r>
        <w:rPr>
          <w:rFonts w:cs="Arial"/>
        </w:rPr>
        <w:t xml:space="preserve">Artículo 37 de la ley N° 29571, Código de </w:t>
      </w:r>
      <w:r w:rsidR="00FC166D">
        <w:rPr>
          <w:rFonts w:cs="Arial"/>
        </w:rPr>
        <w:t>P</w:t>
      </w:r>
      <w:r>
        <w:rPr>
          <w:rFonts w:cs="Arial"/>
        </w:rPr>
        <w:t>rotección y Defensa del Consumidor</w:t>
      </w:r>
    </w:p>
    <w:p w14:paraId="1697739B" w14:textId="47C568D1" w:rsidR="00C44875" w:rsidRDefault="00C44875" w:rsidP="002B16C6">
      <w:pPr>
        <w:pStyle w:val="Prrafodelista"/>
        <w:numPr>
          <w:ilvl w:val="0"/>
          <w:numId w:val="35"/>
        </w:numPr>
        <w:spacing w:after="0" w:line="240" w:lineRule="auto"/>
        <w:ind w:left="709" w:hanging="218"/>
        <w:jc w:val="both"/>
        <w:rPr>
          <w:rFonts w:cs="Arial"/>
        </w:rPr>
      </w:pPr>
      <w:r w:rsidRPr="00C44875">
        <w:rPr>
          <w:rFonts w:cs="Arial"/>
        </w:rPr>
        <w:t>Carta N° 000129-2022-PRE/INDECOPI</w:t>
      </w:r>
    </w:p>
    <w:p w14:paraId="31880A82" w14:textId="7ED0F2F8" w:rsidR="00C44875" w:rsidRDefault="00C44875" w:rsidP="002B16C6">
      <w:pPr>
        <w:pStyle w:val="Prrafodelista"/>
        <w:numPr>
          <w:ilvl w:val="0"/>
          <w:numId w:val="35"/>
        </w:numPr>
        <w:spacing w:after="0" w:line="240" w:lineRule="auto"/>
        <w:ind w:left="709" w:hanging="218"/>
        <w:jc w:val="both"/>
        <w:rPr>
          <w:rFonts w:cs="Arial"/>
        </w:rPr>
      </w:pPr>
      <w:r>
        <w:rPr>
          <w:rFonts w:cs="Arial"/>
        </w:rPr>
        <w:t>Resolución N° 2051-2019/SPC-INDECOPI</w:t>
      </w:r>
    </w:p>
    <w:p w14:paraId="31061AF7" w14:textId="21BADEB7" w:rsidR="00C44875" w:rsidRDefault="00C44875" w:rsidP="002B16C6">
      <w:pPr>
        <w:pStyle w:val="Prrafodelista"/>
        <w:numPr>
          <w:ilvl w:val="0"/>
          <w:numId w:val="35"/>
        </w:numPr>
        <w:spacing w:after="0" w:line="240" w:lineRule="auto"/>
        <w:ind w:left="709" w:hanging="218"/>
        <w:jc w:val="both"/>
        <w:rPr>
          <w:rFonts w:cs="Arial"/>
        </w:rPr>
      </w:pPr>
      <w:r>
        <w:rPr>
          <w:rFonts w:cs="Arial"/>
        </w:rPr>
        <w:t>Resolución N° 2304-2019/SPC-INDECOPI</w:t>
      </w:r>
    </w:p>
    <w:p w14:paraId="18FEDBB1" w14:textId="204CF385" w:rsidR="00C44875" w:rsidRDefault="00C44875" w:rsidP="002B16C6">
      <w:pPr>
        <w:pStyle w:val="Prrafodelista"/>
        <w:numPr>
          <w:ilvl w:val="0"/>
          <w:numId w:val="35"/>
        </w:numPr>
        <w:spacing w:after="0" w:line="240" w:lineRule="auto"/>
        <w:ind w:left="709" w:hanging="218"/>
        <w:jc w:val="both"/>
        <w:rPr>
          <w:rFonts w:cs="Arial"/>
        </w:rPr>
      </w:pPr>
      <w:r>
        <w:rPr>
          <w:rFonts w:cs="Arial"/>
        </w:rPr>
        <w:t>Informe N° 000118-2022-DPC/INDEPCOPI</w:t>
      </w:r>
    </w:p>
    <w:p w14:paraId="432706D7" w14:textId="52B630CD" w:rsidR="00C44875" w:rsidRDefault="00C44875" w:rsidP="002B16C6">
      <w:pPr>
        <w:pStyle w:val="Prrafodelista"/>
        <w:numPr>
          <w:ilvl w:val="0"/>
          <w:numId w:val="35"/>
        </w:numPr>
        <w:spacing w:after="0" w:line="240" w:lineRule="auto"/>
        <w:ind w:left="709" w:hanging="218"/>
        <w:jc w:val="both"/>
        <w:rPr>
          <w:rFonts w:cs="Arial"/>
        </w:rPr>
      </w:pPr>
      <w:r>
        <w:rPr>
          <w:rFonts w:cs="Arial"/>
        </w:rPr>
        <w:t>Oficio N° 000281-2022-PRE/INDECOPI</w:t>
      </w:r>
    </w:p>
    <w:p w14:paraId="327B0130" w14:textId="551F2B46" w:rsidR="00C44875" w:rsidRDefault="00C44875" w:rsidP="002B16C6">
      <w:pPr>
        <w:pStyle w:val="Prrafodelista"/>
        <w:numPr>
          <w:ilvl w:val="0"/>
          <w:numId w:val="35"/>
        </w:numPr>
        <w:spacing w:after="0" w:line="240" w:lineRule="auto"/>
        <w:ind w:left="709" w:hanging="218"/>
        <w:jc w:val="both"/>
        <w:rPr>
          <w:rFonts w:cs="Arial"/>
        </w:rPr>
      </w:pPr>
      <w:r>
        <w:rPr>
          <w:rFonts w:cs="Arial"/>
        </w:rPr>
        <w:t>Oficio Múltiple N° D001302-2022-PCM-SC</w:t>
      </w:r>
    </w:p>
    <w:p w14:paraId="3760CA50" w14:textId="77777777" w:rsidR="00F4010C" w:rsidRDefault="00F4010C" w:rsidP="00F4010C">
      <w:pPr>
        <w:pStyle w:val="Prrafodelista"/>
        <w:spacing w:after="0" w:line="240" w:lineRule="auto"/>
        <w:ind w:left="0"/>
        <w:jc w:val="both"/>
        <w:rPr>
          <w:rFonts w:cs="Arial"/>
        </w:rPr>
      </w:pPr>
    </w:p>
    <w:p w14:paraId="27CBFF1D" w14:textId="355D87F0" w:rsidR="00F4010C" w:rsidRDefault="00F4010C" w:rsidP="00F4010C">
      <w:pPr>
        <w:pStyle w:val="Prrafodelista"/>
        <w:numPr>
          <w:ilvl w:val="0"/>
          <w:numId w:val="1"/>
        </w:numPr>
        <w:spacing w:after="0" w:line="240" w:lineRule="auto"/>
        <w:ind w:left="0" w:hanging="567"/>
        <w:jc w:val="both"/>
        <w:rPr>
          <w:rFonts w:cs="Arial"/>
        </w:rPr>
      </w:pPr>
      <w:r>
        <w:rPr>
          <w:rFonts w:cs="Arial"/>
        </w:rPr>
        <w:t>Asimismo, la</w:t>
      </w:r>
      <w:r w:rsidRPr="002D0ACE">
        <w:rPr>
          <w:rFonts w:cs="Arial"/>
        </w:rPr>
        <w:t xml:space="preserve"> reclamante </w:t>
      </w:r>
      <w:r>
        <w:rPr>
          <w:rFonts w:cs="Arial"/>
        </w:rPr>
        <w:t xml:space="preserve">señala </w:t>
      </w:r>
      <w:r w:rsidR="00FC166D">
        <w:rPr>
          <w:rFonts w:cs="Arial"/>
        </w:rPr>
        <w:t xml:space="preserve">que la medida denunciada (Artículo 37 del </w:t>
      </w:r>
      <w:r w:rsidR="00FC166D" w:rsidRPr="00FC166D">
        <w:rPr>
          <w:rFonts w:cs="Arial"/>
        </w:rPr>
        <w:t>Código de Protección y Defensa del Consumidor</w:t>
      </w:r>
      <w:r w:rsidR="00FC166D">
        <w:rPr>
          <w:rFonts w:cs="Arial"/>
        </w:rPr>
        <w:t xml:space="preserve"> y otros) </w:t>
      </w:r>
      <w:r w:rsidR="00FC166D" w:rsidRPr="00FC166D">
        <w:rPr>
          <w:rFonts w:cs="Arial"/>
          <w:i/>
          <w:iCs/>
        </w:rPr>
        <w:t xml:space="preserve">“… tienen efectos reales y, en consecuencia, </w:t>
      </w:r>
      <w:r w:rsidR="00FC166D" w:rsidRPr="00FC166D">
        <w:rPr>
          <w:rFonts w:cs="Arial"/>
          <w:b/>
          <w:bCs/>
          <w:i/>
          <w:iCs/>
        </w:rPr>
        <w:t>podría constituir un mecanismo claro de incumplimiento</w:t>
      </w:r>
      <w:r w:rsidR="00FC166D" w:rsidRPr="00FC166D">
        <w:rPr>
          <w:rFonts w:cs="Arial"/>
          <w:i/>
          <w:iCs/>
        </w:rPr>
        <w:t xml:space="preserve"> de las normas comunitarias.”</w:t>
      </w:r>
      <w:r w:rsidR="00FC166D">
        <w:rPr>
          <w:rStyle w:val="Refdenotaalpie"/>
          <w:rFonts w:cs="Arial"/>
          <w:i/>
          <w:iCs/>
        </w:rPr>
        <w:footnoteReference w:id="2"/>
      </w:r>
      <w:r w:rsidR="00FC166D">
        <w:rPr>
          <w:rFonts w:cs="Arial"/>
          <w:i/>
          <w:iCs/>
        </w:rPr>
        <w:t xml:space="preserve"> </w:t>
      </w:r>
      <w:r w:rsidR="00FC166D">
        <w:rPr>
          <w:rFonts w:cs="Arial"/>
        </w:rPr>
        <w:t>(Negrilla fuera de texto)</w:t>
      </w:r>
    </w:p>
    <w:p w14:paraId="6034DD39" w14:textId="662C6997" w:rsidR="00501FF5" w:rsidRDefault="00501FF5" w:rsidP="00501FF5">
      <w:pPr>
        <w:pStyle w:val="Prrafodelista"/>
        <w:spacing w:after="0" w:line="240" w:lineRule="auto"/>
        <w:ind w:left="0"/>
        <w:jc w:val="both"/>
        <w:rPr>
          <w:rFonts w:cs="Arial"/>
        </w:rPr>
      </w:pPr>
    </w:p>
    <w:p w14:paraId="06703752" w14:textId="1C4FF3EE" w:rsidR="00501FF5" w:rsidRDefault="0048256C" w:rsidP="00F4010C">
      <w:pPr>
        <w:pStyle w:val="Prrafodelista"/>
        <w:numPr>
          <w:ilvl w:val="0"/>
          <w:numId w:val="1"/>
        </w:numPr>
        <w:spacing w:after="0" w:line="240" w:lineRule="auto"/>
        <w:ind w:left="0" w:hanging="567"/>
        <w:jc w:val="both"/>
        <w:rPr>
          <w:rFonts w:cs="Arial"/>
        </w:rPr>
      </w:pPr>
      <w:r>
        <w:rPr>
          <w:rFonts w:cs="Arial"/>
        </w:rPr>
        <w:t>Textualmente la reclamante indica lo siguiente:</w:t>
      </w:r>
    </w:p>
    <w:p w14:paraId="3864155C" w14:textId="77777777" w:rsidR="0048256C" w:rsidRPr="0048256C" w:rsidRDefault="0048256C" w:rsidP="0048256C">
      <w:pPr>
        <w:pStyle w:val="Prrafodelista"/>
        <w:rPr>
          <w:rFonts w:cs="Arial"/>
        </w:rPr>
      </w:pPr>
    </w:p>
    <w:p w14:paraId="424DA948" w14:textId="236E11C2" w:rsidR="0048256C" w:rsidRPr="0048256C" w:rsidRDefault="0048256C" w:rsidP="00C21B43">
      <w:pPr>
        <w:pStyle w:val="Prrafodelista"/>
        <w:spacing w:after="0" w:line="240" w:lineRule="auto"/>
        <w:ind w:left="567"/>
        <w:jc w:val="both"/>
        <w:rPr>
          <w:rFonts w:cs="Arial"/>
          <w:i/>
          <w:iCs/>
        </w:rPr>
      </w:pPr>
      <w:r w:rsidRPr="0048256C">
        <w:rPr>
          <w:rFonts w:cs="Arial"/>
          <w:i/>
          <w:iCs/>
        </w:rPr>
        <w:t>“Así el Artículo del Código, junto con la carta, el Oficio, el Oficio Múltiple, el Informe 118 y Resoluciones, vulneran:</w:t>
      </w:r>
    </w:p>
    <w:p w14:paraId="6A761406" w14:textId="4EEB16D3" w:rsidR="0048256C" w:rsidRPr="0048256C" w:rsidRDefault="0048256C" w:rsidP="00C21B43">
      <w:pPr>
        <w:pStyle w:val="Prrafodelista"/>
        <w:numPr>
          <w:ilvl w:val="0"/>
          <w:numId w:val="36"/>
        </w:numPr>
        <w:spacing w:after="0" w:line="240" w:lineRule="auto"/>
        <w:ind w:left="993"/>
        <w:jc w:val="both"/>
        <w:rPr>
          <w:rFonts w:cs="Arial"/>
          <w:i/>
          <w:iCs/>
        </w:rPr>
      </w:pPr>
      <w:r w:rsidRPr="0048256C">
        <w:rPr>
          <w:rFonts w:cs="Arial"/>
          <w:i/>
          <w:iCs/>
        </w:rPr>
        <w:t>Los artículos 1, 2, 3, 4, 5, 6, 7, 8, 9, 10, 11, 12,13, 14 y 15 de la decisión 827 – Lineamientos para la elaboración, adopción y aplicación de reglamentos técnicos y procedimientos de evaluación de la conformidad en los países Miembros de la Comunidad Andina y a nivel comunitario…”</w:t>
      </w:r>
    </w:p>
    <w:p w14:paraId="165481BB" w14:textId="2FF41954" w:rsidR="0048256C" w:rsidRPr="0048256C" w:rsidRDefault="0048256C" w:rsidP="00C21B43">
      <w:pPr>
        <w:pStyle w:val="Prrafodelista"/>
        <w:numPr>
          <w:ilvl w:val="0"/>
          <w:numId w:val="36"/>
        </w:numPr>
        <w:spacing w:after="0" w:line="240" w:lineRule="auto"/>
        <w:ind w:left="993"/>
        <w:jc w:val="both"/>
        <w:rPr>
          <w:rFonts w:cs="Arial"/>
          <w:i/>
          <w:iCs/>
        </w:rPr>
      </w:pPr>
      <w:r w:rsidRPr="0048256C">
        <w:rPr>
          <w:rFonts w:cs="Arial"/>
          <w:i/>
          <w:iCs/>
        </w:rPr>
        <w:t>Los Artículos 7, 10, 11, 25, 28 y 37 de la Decisión 850, Sistema Andino de la Calidad…”; y</w:t>
      </w:r>
    </w:p>
    <w:p w14:paraId="38E19227" w14:textId="2CE674B3" w:rsidR="0048256C" w:rsidRPr="0048256C" w:rsidRDefault="0048256C" w:rsidP="00C21B43">
      <w:pPr>
        <w:pStyle w:val="Prrafodelista"/>
        <w:numPr>
          <w:ilvl w:val="0"/>
          <w:numId w:val="36"/>
        </w:numPr>
        <w:spacing w:after="0" w:line="240" w:lineRule="auto"/>
        <w:ind w:left="993"/>
        <w:jc w:val="both"/>
        <w:rPr>
          <w:rFonts w:cs="Arial"/>
          <w:i/>
          <w:iCs/>
        </w:rPr>
      </w:pPr>
      <w:r w:rsidRPr="0048256C">
        <w:rPr>
          <w:rFonts w:cs="Arial"/>
          <w:i/>
          <w:iCs/>
        </w:rPr>
        <w:t>El artículo 4 del Tratado”</w:t>
      </w:r>
      <w:r>
        <w:rPr>
          <w:rStyle w:val="Refdenotaalpie"/>
          <w:rFonts w:cs="Arial"/>
          <w:i/>
          <w:iCs/>
        </w:rPr>
        <w:footnoteReference w:id="3"/>
      </w:r>
    </w:p>
    <w:p w14:paraId="12DF3741" w14:textId="5991CFB5" w:rsidR="0048256C" w:rsidRDefault="0048256C" w:rsidP="0048256C">
      <w:pPr>
        <w:pStyle w:val="Prrafodelista"/>
        <w:spacing w:after="0" w:line="240" w:lineRule="auto"/>
        <w:ind w:left="0"/>
        <w:jc w:val="both"/>
        <w:rPr>
          <w:rFonts w:cs="Arial"/>
        </w:rPr>
      </w:pPr>
    </w:p>
    <w:p w14:paraId="069A15F2" w14:textId="173E1E9B" w:rsidR="006A2495" w:rsidRPr="002D0ACE" w:rsidRDefault="00A22943" w:rsidP="00E16951">
      <w:pPr>
        <w:tabs>
          <w:tab w:val="left" w:pos="993"/>
        </w:tabs>
        <w:spacing w:line="240" w:lineRule="auto"/>
        <w:jc w:val="both"/>
        <w:rPr>
          <w:rFonts w:cs="Arial"/>
          <w:b/>
        </w:rPr>
      </w:pPr>
      <w:r w:rsidRPr="00912EC3">
        <w:rPr>
          <w:rFonts w:cs="Arial"/>
          <w:b/>
        </w:rPr>
        <w:t xml:space="preserve">IV. </w:t>
      </w:r>
      <w:r w:rsidR="006A2495" w:rsidRPr="00912EC3">
        <w:rPr>
          <w:rFonts w:cs="Arial"/>
          <w:b/>
        </w:rPr>
        <w:t>REUNIÓN INFORMATIVA</w:t>
      </w:r>
    </w:p>
    <w:p w14:paraId="4452FBF0" w14:textId="5884F442" w:rsidR="006A2495" w:rsidRPr="002D0ACE" w:rsidRDefault="006A2495" w:rsidP="002D0ACE">
      <w:pPr>
        <w:pStyle w:val="Prrafodelista"/>
        <w:numPr>
          <w:ilvl w:val="0"/>
          <w:numId w:val="1"/>
        </w:numPr>
        <w:spacing w:line="240" w:lineRule="auto"/>
        <w:ind w:left="0" w:hanging="567"/>
        <w:jc w:val="both"/>
        <w:rPr>
          <w:rFonts w:cs="Arial"/>
        </w:rPr>
      </w:pPr>
      <w:r w:rsidRPr="002D0ACE">
        <w:rPr>
          <w:rFonts w:cs="Arial"/>
        </w:rPr>
        <w:t>Respecto a las reuniones informativas</w:t>
      </w:r>
      <w:r w:rsidR="0049435F">
        <w:rPr>
          <w:rFonts w:cs="Arial"/>
        </w:rPr>
        <w:t xml:space="preserve"> en general</w:t>
      </w:r>
      <w:r w:rsidRPr="002D0ACE">
        <w:rPr>
          <w:rFonts w:cs="Arial"/>
        </w:rPr>
        <w:t xml:space="preserve">, la Secretaría General de la Comunidad Andina </w:t>
      </w:r>
      <w:r w:rsidR="00030E44">
        <w:rPr>
          <w:rFonts w:cs="Arial"/>
        </w:rPr>
        <w:t>prepondera</w:t>
      </w:r>
      <w:r w:rsidRPr="002D0ACE">
        <w:rPr>
          <w:rFonts w:cs="Arial"/>
        </w:rPr>
        <w:t xml:space="preserve"> la igualdad de trato a las </w:t>
      </w:r>
      <w:r w:rsidR="00030E44">
        <w:rPr>
          <w:rFonts w:cs="Arial"/>
        </w:rPr>
        <w:t>P</w:t>
      </w:r>
      <w:r w:rsidRPr="002D0ACE">
        <w:rPr>
          <w:rFonts w:cs="Arial"/>
        </w:rPr>
        <w:t>artes</w:t>
      </w:r>
      <w:r w:rsidR="00030E44">
        <w:rPr>
          <w:rFonts w:cs="Arial"/>
        </w:rPr>
        <w:t xml:space="preserve"> intervinientes y Países Miembros participantes</w:t>
      </w:r>
      <w:r w:rsidRPr="002D0ACE">
        <w:rPr>
          <w:rFonts w:cs="Arial"/>
        </w:rPr>
        <w:t xml:space="preserve">, garantizando el derecho de todos los interesados </w:t>
      </w:r>
      <w:r w:rsidR="00030E44">
        <w:rPr>
          <w:rFonts w:cs="Arial"/>
        </w:rPr>
        <w:t xml:space="preserve">en el procedimiento, con la finalidad de </w:t>
      </w:r>
      <w:r w:rsidRPr="002D0ACE">
        <w:rPr>
          <w:rFonts w:cs="Arial"/>
        </w:rPr>
        <w:t xml:space="preserve">conocer la verdad </w:t>
      </w:r>
      <w:r w:rsidR="00030E44">
        <w:rPr>
          <w:rFonts w:cs="Arial"/>
        </w:rPr>
        <w:t>con la mejor información disponible</w:t>
      </w:r>
      <w:r w:rsidRPr="002D0ACE">
        <w:rPr>
          <w:rFonts w:cs="Arial"/>
        </w:rPr>
        <w:t xml:space="preserve">. </w:t>
      </w:r>
    </w:p>
    <w:p w14:paraId="3E980173" w14:textId="77777777" w:rsidR="006A2495" w:rsidRPr="002D0ACE" w:rsidRDefault="006A2495" w:rsidP="002D0ACE">
      <w:pPr>
        <w:pStyle w:val="Prrafodelista"/>
        <w:spacing w:line="240" w:lineRule="auto"/>
        <w:ind w:hanging="567"/>
        <w:rPr>
          <w:rFonts w:cs="Arial"/>
          <w:bCs/>
        </w:rPr>
      </w:pPr>
    </w:p>
    <w:p w14:paraId="42ED6070" w14:textId="61F19EA8" w:rsidR="00C86338" w:rsidRDefault="00C86338" w:rsidP="00C86338">
      <w:pPr>
        <w:pStyle w:val="Prrafodelista"/>
        <w:numPr>
          <w:ilvl w:val="0"/>
          <w:numId w:val="1"/>
        </w:numPr>
        <w:spacing w:line="240" w:lineRule="auto"/>
        <w:ind w:left="0" w:hanging="567"/>
        <w:jc w:val="both"/>
        <w:rPr>
          <w:rFonts w:cs="Arial"/>
        </w:rPr>
      </w:pPr>
      <w:r>
        <w:rPr>
          <w:rFonts w:cs="Arial"/>
        </w:rPr>
        <w:t>La reunión informativa se llevó a cabo el 26 de enero de 2023 con la presencia de las Partes intervinientes y oportunidad en la que expresaron los argumentos reflejados en el escrito del reclamo y en el escrito de contestación respectivamente, asimismo, la SGCAN realizó algunas preguntas para aclarar algunos aspectos.</w:t>
      </w:r>
    </w:p>
    <w:p w14:paraId="1992A009" w14:textId="77777777" w:rsidR="00C86338" w:rsidRPr="00C86338" w:rsidRDefault="00C86338" w:rsidP="00C86338">
      <w:pPr>
        <w:pStyle w:val="Prrafodelista"/>
        <w:rPr>
          <w:rFonts w:cs="Arial"/>
        </w:rPr>
      </w:pPr>
    </w:p>
    <w:p w14:paraId="0F390572" w14:textId="2CD051BA" w:rsidR="00C86338" w:rsidRPr="002D0ACE" w:rsidRDefault="009166CE" w:rsidP="00C86338">
      <w:pPr>
        <w:pStyle w:val="Prrafodelista"/>
        <w:numPr>
          <w:ilvl w:val="0"/>
          <w:numId w:val="1"/>
        </w:numPr>
        <w:spacing w:line="240" w:lineRule="auto"/>
        <w:ind w:left="0" w:hanging="567"/>
        <w:jc w:val="both"/>
        <w:rPr>
          <w:rFonts w:cs="Arial"/>
        </w:rPr>
      </w:pPr>
      <w:r>
        <w:rPr>
          <w:rFonts w:cs="Arial"/>
        </w:rPr>
        <w:t>Habiéndose reiterado los aspectos de sus escritos la reclamante y la reclamada, a continuación, se resalta algunos comentarios de ambas partes:</w:t>
      </w:r>
    </w:p>
    <w:p w14:paraId="2844273F" w14:textId="1ABC525E" w:rsidR="00C86338" w:rsidRDefault="00C86338" w:rsidP="00C86338">
      <w:pPr>
        <w:pStyle w:val="Prrafodelista"/>
        <w:spacing w:line="240" w:lineRule="auto"/>
        <w:ind w:left="0"/>
        <w:jc w:val="both"/>
        <w:rPr>
          <w:rFonts w:cs="Arial"/>
        </w:rPr>
      </w:pPr>
    </w:p>
    <w:p w14:paraId="45B0A5FB" w14:textId="06F0CC8F" w:rsidR="009166CE" w:rsidRDefault="009166CE" w:rsidP="00C86338">
      <w:pPr>
        <w:pStyle w:val="Prrafodelista"/>
        <w:spacing w:line="240" w:lineRule="auto"/>
        <w:ind w:left="0"/>
        <w:jc w:val="both"/>
        <w:rPr>
          <w:rFonts w:cs="Arial"/>
        </w:rPr>
      </w:pPr>
      <w:r>
        <w:rPr>
          <w:rFonts w:cs="Arial"/>
        </w:rPr>
        <w:t>La reclamante señaló entre otros comentarios lo siguiente:</w:t>
      </w:r>
    </w:p>
    <w:p w14:paraId="2688E428" w14:textId="16D74CE8" w:rsidR="006A2495" w:rsidRDefault="006A2495" w:rsidP="009166CE">
      <w:pPr>
        <w:pStyle w:val="Prrafodelista"/>
        <w:spacing w:line="240" w:lineRule="auto"/>
        <w:ind w:left="0"/>
        <w:jc w:val="both"/>
        <w:rPr>
          <w:rFonts w:cs="Arial"/>
        </w:rPr>
      </w:pPr>
    </w:p>
    <w:p w14:paraId="28C62EBE" w14:textId="77777777" w:rsidR="009166CE" w:rsidRDefault="009166CE" w:rsidP="009166CE">
      <w:pPr>
        <w:pStyle w:val="Prrafodelista"/>
        <w:numPr>
          <w:ilvl w:val="0"/>
          <w:numId w:val="43"/>
        </w:numPr>
        <w:spacing w:line="240" w:lineRule="auto"/>
        <w:ind w:left="426"/>
        <w:jc w:val="both"/>
        <w:rPr>
          <w:rFonts w:cs="Arial"/>
        </w:rPr>
      </w:pPr>
      <w:r w:rsidRPr="009166CE">
        <w:rPr>
          <w:rFonts w:cs="Arial"/>
        </w:rPr>
        <w:t>El incumplimiento del Perú se genera con 8 medidas: El artículo 37 del Código y otros, resaltando que, para el INDECOPI y el Perú, este artículo tiene que aplicarse de manera independiente de cualquier otro (declarado autoaplicativo).</w:t>
      </w:r>
    </w:p>
    <w:p w14:paraId="3411E9F2" w14:textId="77777777" w:rsidR="009166CE" w:rsidRDefault="009166CE" w:rsidP="009166CE">
      <w:pPr>
        <w:pStyle w:val="Prrafodelista"/>
        <w:numPr>
          <w:ilvl w:val="0"/>
          <w:numId w:val="43"/>
        </w:numPr>
        <w:spacing w:line="240" w:lineRule="auto"/>
        <w:ind w:left="426"/>
        <w:jc w:val="both"/>
        <w:rPr>
          <w:rFonts w:cs="Arial"/>
        </w:rPr>
      </w:pPr>
      <w:r w:rsidRPr="009166CE">
        <w:rPr>
          <w:rFonts w:cs="Arial"/>
        </w:rPr>
        <w:t>El artículo 37 es un reglamento técnico que debe cumplir con las Decisiones 827 y 850.</w:t>
      </w:r>
    </w:p>
    <w:p w14:paraId="2E2FEB5E" w14:textId="77777777" w:rsidR="009166CE" w:rsidRDefault="009166CE" w:rsidP="009166CE">
      <w:pPr>
        <w:pStyle w:val="Prrafodelista"/>
        <w:numPr>
          <w:ilvl w:val="0"/>
          <w:numId w:val="43"/>
        </w:numPr>
        <w:spacing w:line="240" w:lineRule="auto"/>
        <w:ind w:left="426"/>
        <w:jc w:val="both"/>
        <w:rPr>
          <w:rFonts w:cs="Arial"/>
        </w:rPr>
      </w:pPr>
      <w:r w:rsidRPr="009166CE">
        <w:rPr>
          <w:rFonts w:cs="Arial"/>
        </w:rPr>
        <w:lastRenderedPageBreak/>
        <w:t>Señalan que la reclamante est</w:t>
      </w:r>
      <w:r>
        <w:rPr>
          <w:rFonts w:cs="Arial"/>
        </w:rPr>
        <w:t>á</w:t>
      </w:r>
      <w:r w:rsidRPr="009166CE">
        <w:rPr>
          <w:rFonts w:cs="Arial"/>
        </w:rPr>
        <w:t xml:space="preserve"> legitimada porque no hay reglamentación al artículo 37 del Código y ya hay perjuicios en las empresas.</w:t>
      </w:r>
    </w:p>
    <w:p w14:paraId="3D2E87D6" w14:textId="77777777" w:rsidR="009166CE" w:rsidRDefault="009166CE" w:rsidP="009166CE">
      <w:pPr>
        <w:pStyle w:val="Prrafodelista"/>
        <w:numPr>
          <w:ilvl w:val="0"/>
          <w:numId w:val="43"/>
        </w:numPr>
        <w:spacing w:line="240" w:lineRule="auto"/>
        <w:ind w:left="426"/>
        <w:jc w:val="both"/>
        <w:rPr>
          <w:rFonts w:cs="Arial"/>
        </w:rPr>
      </w:pPr>
      <w:r w:rsidRPr="009166CE">
        <w:rPr>
          <w:rFonts w:cs="Arial"/>
        </w:rPr>
        <w:t>Sobre la pérdida de oportunidad por el transcurso de 10 años, se señala que el incumplimiento es el artículo 37 y las 7 otras disposiciones, que a partir del mes de junio de 2022 se ha originado este incumplimiento.</w:t>
      </w:r>
    </w:p>
    <w:p w14:paraId="7F9B005D" w14:textId="78FB5E56" w:rsidR="009166CE" w:rsidRDefault="009166CE" w:rsidP="009166CE">
      <w:pPr>
        <w:pStyle w:val="Prrafodelista"/>
        <w:numPr>
          <w:ilvl w:val="0"/>
          <w:numId w:val="43"/>
        </w:numPr>
        <w:spacing w:line="240" w:lineRule="auto"/>
        <w:ind w:left="426"/>
        <w:jc w:val="both"/>
        <w:rPr>
          <w:rFonts w:cs="Arial"/>
        </w:rPr>
      </w:pPr>
      <w:r>
        <w:rPr>
          <w:rFonts w:cs="Arial"/>
        </w:rPr>
        <w:t>Las</w:t>
      </w:r>
      <w:r w:rsidRPr="009166CE">
        <w:rPr>
          <w:rFonts w:cs="Arial"/>
        </w:rPr>
        <w:t xml:space="preserve"> empresas </w:t>
      </w:r>
      <w:proofErr w:type="spellStart"/>
      <w:r w:rsidRPr="009166CE">
        <w:rPr>
          <w:rFonts w:cs="Arial"/>
        </w:rPr>
        <w:t>Mo</w:t>
      </w:r>
      <w:r w:rsidR="004825A5">
        <w:rPr>
          <w:rFonts w:cs="Arial"/>
        </w:rPr>
        <w:t>ndelez</w:t>
      </w:r>
      <w:proofErr w:type="spellEnd"/>
      <w:r w:rsidRPr="009166CE">
        <w:rPr>
          <w:rFonts w:cs="Arial"/>
        </w:rPr>
        <w:t xml:space="preserve"> y </w:t>
      </w:r>
      <w:proofErr w:type="spellStart"/>
      <w:r w:rsidRPr="009166CE">
        <w:rPr>
          <w:rFonts w:cs="Arial"/>
        </w:rPr>
        <w:t>Molitalia</w:t>
      </w:r>
      <w:proofErr w:type="spellEnd"/>
      <w:r w:rsidRPr="009166CE">
        <w:rPr>
          <w:rFonts w:cs="Arial"/>
        </w:rPr>
        <w:t xml:space="preserve"> les han iniciado procedimiento sancionador y se están defendiendo en un procedimiento en vía nacional.</w:t>
      </w:r>
    </w:p>
    <w:p w14:paraId="1E3CCE6D" w14:textId="77777777" w:rsidR="009166CE" w:rsidRDefault="009166CE" w:rsidP="009166CE">
      <w:pPr>
        <w:pStyle w:val="Prrafodelista"/>
        <w:numPr>
          <w:ilvl w:val="0"/>
          <w:numId w:val="43"/>
        </w:numPr>
        <w:spacing w:line="240" w:lineRule="auto"/>
        <w:ind w:left="426"/>
        <w:jc w:val="both"/>
        <w:rPr>
          <w:rFonts w:cs="Arial"/>
        </w:rPr>
      </w:pPr>
      <w:r>
        <w:rPr>
          <w:rFonts w:cs="Arial"/>
        </w:rPr>
        <w:t>El p</w:t>
      </w:r>
      <w:r w:rsidRPr="009166CE">
        <w:rPr>
          <w:rFonts w:cs="Arial"/>
        </w:rPr>
        <w:t>roceso 01-AI-2013 señala que no solamente norma sino también cualquier acto u omisión opuesto al ordenamiento andino que de alguna manera dificulte u obstaculice la aplicación la aplicación del ordenamiento andino.</w:t>
      </w:r>
    </w:p>
    <w:p w14:paraId="342AE789" w14:textId="77777777" w:rsidR="009166CE" w:rsidRDefault="009166CE" w:rsidP="009166CE">
      <w:pPr>
        <w:pStyle w:val="Prrafodelista"/>
        <w:numPr>
          <w:ilvl w:val="0"/>
          <w:numId w:val="43"/>
        </w:numPr>
        <w:spacing w:line="240" w:lineRule="auto"/>
        <w:ind w:left="426"/>
        <w:jc w:val="both"/>
        <w:rPr>
          <w:rFonts w:cs="Arial"/>
        </w:rPr>
      </w:pPr>
      <w:r w:rsidRPr="009166CE">
        <w:rPr>
          <w:rFonts w:cs="Arial"/>
        </w:rPr>
        <w:t>Reiteran que el artículo 37 es un reglamento técnico, tanto por la definición de la Decisión 827.</w:t>
      </w:r>
    </w:p>
    <w:p w14:paraId="7378D416" w14:textId="1A0134C9" w:rsidR="009166CE" w:rsidRDefault="00E2455F" w:rsidP="009166CE">
      <w:pPr>
        <w:pStyle w:val="Prrafodelista"/>
        <w:numPr>
          <w:ilvl w:val="0"/>
          <w:numId w:val="43"/>
        </w:numPr>
        <w:spacing w:line="240" w:lineRule="auto"/>
        <w:ind w:left="426"/>
        <w:jc w:val="both"/>
        <w:rPr>
          <w:rFonts w:cs="Arial"/>
        </w:rPr>
      </w:pPr>
      <w:r>
        <w:rPr>
          <w:rFonts w:cs="Arial"/>
        </w:rPr>
        <w:t>Sostienen que la</w:t>
      </w:r>
      <w:r w:rsidR="009166CE" w:rsidRPr="009166CE">
        <w:rPr>
          <w:rFonts w:cs="Arial"/>
        </w:rPr>
        <w:t xml:space="preserve"> solución es muy práctica y es que se reglamente el artículo 37 para evitar un incumplimiento flagrante de Perú.</w:t>
      </w:r>
    </w:p>
    <w:p w14:paraId="3B52C1BC" w14:textId="5DDDCAF2" w:rsidR="00AC3FAC" w:rsidRDefault="00AC3FAC" w:rsidP="009166CE">
      <w:pPr>
        <w:pStyle w:val="Prrafodelista"/>
        <w:numPr>
          <w:ilvl w:val="0"/>
          <w:numId w:val="43"/>
        </w:numPr>
        <w:spacing w:line="240" w:lineRule="auto"/>
        <w:ind w:left="426"/>
        <w:jc w:val="both"/>
        <w:rPr>
          <w:rFonts w:cs="Arial"/>
        </w:rPr>
      </w:pPr>
      <w:r>
        <w:rPr>
          <w:rFonts w:cs="Arial"/>
          <w:lang w:val="es-ES"/>
        </w:rPr>
        <w:t>La</w:t>
      </w:r>
      <w:r w:rsidRPr="00AC3FAC">
        <w:rPr>
          <w:rFonts w:cs="Arial"/>
          <w:lang w:val="es-ES"/>
        </w:rPr>
        <w:t xml:space="preserve"> SNI señala que se está reclamando un artículo que no ha sido reglamentado conforme lo exigen las Decisiones 827 y 850.</w:t>
      </w:r>
    </w:p>
    <w:p w14:paraId="1CD8130C" w14:textId="5704F61E" w:rsidR="009166CE" w:rsidRPr="00E2455F" w:rsidRDefault="009166CE" w:rsidP="00E2455F">
      <w:pPr>
        <w:spacing w:line="240" w:lineRule="auto"/>
        <w:ind w:left="66"/>
        <w:jc w:val="both"/>
        <w:rPr>
          <w:rFonts w:cs="Arial"/>
        </w:rPr>
      </w:pPr>
      <w:r w:rsidRPr="00E2455F">
        <w:rPr>
          <w:rFonts w:cs="Arial"/>
        </w:rPr>
        <w:t xml:space="preserve">La reclamada argumentó </w:t>
      </w:r>
      <w:r w:rsidR="00F73398">
        <w:rPr>
          <w:rFonts w:cs="Arial"/>
        </w:rPr>
        <w:t xml:space="preserve">entre otros temas </w:t>
      </w:r>
      <w:r w:rsidRPr="00E2455F">
        <w:rPr>
          <w:rFonts w:cs="Arial"/>
        </w:rPr>
        <w:t>lo siguiente</w:t>
      </w:r>
      <w:r w:rsidR="00F73398">
        <w:rPr>
          <w:rFonts w:cs="Arial"/>
        </w:rPr>
        <w:t>:</w:t>
      </w:r>
    </w:p>
    <w:p w14:paraId="285F694F" w14:textId="77777777" w:rsidR="009166CE" w:rsidRPr="009166CE" w:rsidRDefault="009166CE" w:rsidP="00E2455F">
      <w:pPr>
        <w:pStyle w:val="Prrafodelista"/>
        <w:numPr>
          <w:ilvl w:val="0"/>
          <w:numId w:val="43"/>
        </w:numPr>
        <w:spacing w:line="240" w:lineRule="auto"/>
        <w:ind w:left="426"/>
        <w:jc w:val="both"/>
        <w:rPr>
          <w:rFonts w:cs="Arial"/>
        </w:rPr>
      </w:pPr>
      <w:r w:rsidRPr="009166CE">
        <w:rPr>
          <w:rFonts w:cs="Arial"/>
        </w:rPr>
        <w:t>Señala que no se trata de un paquete normativo, se trata únicamente del artículo 37 del Código, los otros documentos son internos y no son vinculantes.</w:t>
      </w:r>
    </w:p>
    <w:p w14:paraId="6F57CD25" w14:textId="77777777" w:rsidR="009166CE" w:rsidRPr="009166CE" w:rsidRDefault="009166CE" w:rsidP="00E2455F">
      <w:pPr>
        <w:pStyle w:val="Prrafodelista"/>
        <w:numPr>
          <w:ilvl w:val="0"/>
          <w:numId w:val="43"/>
        </w:numPr>
        <w:spacing w:line="240" w:lineRule="auto"/>
        <w:ind w:left="426"/>
        <w:jc w:val="both"/>
        <w:rPr>
          <w:rFonts w:cs="Arial"/>
        </w:rPr>
      </w:pPr>
      <w:r w:rsidRPr="009166CE">
        <w:rPr>
          <w:rFonts w:cs="Arial"/>
        </w:rPr>
        <w:t>La reclamante hace referencia a 2 resoluciones administrativas que son casos particulares y que fueron impugnadas ante el poder judicial, por las asociadas a la SNI.</w:t>
      </w:r>
    </w:p>
    <w:p w14:paraId="1665EF4B" w14:textId="77777777" w:rsidR="009166CE" w:rsidRPr="009166CE" w:rsidRDefault="009166CE" w:rsidP="00E2455F">
      <w:pPr>
        <w:pStyle w:val="Prrafodelista"/>
        <w:numPr>
          <w:ilvl w:val="0"/>
          <w:numId w:val="43"/>
        </w:numPr>
        <w:spacing w:line="240" w:lineRule="auto"/>
        <w:ind w:left="426"/>
        <w:jc w:val="both"/>
        <w:rPr>
          <w:rFonts w:cs="Arial"/>
        </w:rPr>
      </w:pPr>
      <w:r w:rsidRPr="009166CE">
        <w:rPr>
          <w:rFonts w:cs="Arial"/>
        </w:rPr>
        <w:t>Los dictámenes 001-2022 y 001-2023, han advertido como debe ser, de que no se puede ir a la Comunidad Andina para cuestionar medidas que están siendo cuestionadas en la vida interna, porque la SGCAN no puede revocar actos administrativos, que es lo que pretende la reclamante.</w:t>
      </w:r>
    </w:p>
    <w:p w14:paraId="5F99C49F" w14:textId="491E5DEE" w:rsidR="009166CE" w:rsidRPr="009166CE" w:rsidRDefault="00203FE8" w:rsidP="00E2455F">
      <w:pPr>
        <w:pStyle w:val="Prrafodelista"/>
        <w:numPr>
          <w:ilvl w:val="0"/>
          <w:numId w:val="43"/>
        </w:numPr>
        <w:spacing w:line="240" w:lineRule="auto"/>
        <w:ind w:left="426"/>
        <w:jc w:val="both"/>
        <w:rPr>
          <w:rFonts w:cs="Arial"/>
        </w:rPr>
      </w:pPr>
      <w:r>
        <w:rPr>
          <w:rFonts w:cs="Arial"/>
        </w:rPr>
        <w:t>La</w:t>
      </w:r>
      <w:r w:rsidR="009166CE" w:rsidRPr="009166CE">
        <w:rPr>
          <w:rFonts w:cs="Arial"/>
        </w:rPr>
        <w:t xml:space="preserve"> jurisprudencia del TJCAN, </w:t>
      </w:r>
      <w:r>
        <w:rPr>
          <w:rFonts w:cs="Arial"/>
        </w:rPr>
        <w:t xml:space="preserve">señala </w:t>
      </w:r>
      <w:r w:rsidR="009166CE" w:rsidRPr="009166CE">
        <w:rPr>
          <w:rFonts w:cs="Arial"/>
        </w:rPr>
        <w:t xml:space="preserve">que la afectación del derecho subjetivo debe ser actual, inmediata, real, concreta y directa. </w:t>
      </w:r>
    </w:p>
    <w:p w14:paraId="2918E054" w14:textId="77777777" w:rsidR="009166CE" w:rsidRPr="009166CE" w:rsidRDefault="009166CE" w:rsidP="00E2455F">
      <w:pPr>
        <w:pStyle w:val="Prrafodelista"/>
        <w:numPr>
          <w:ilvl w:val="0"/>
          <w:numId w:val="43"/>
        </w:numPr>
        <w:spacing w:line="240" w:lineRule="auto"/>
        <w:ind w:left="426"/>
        <w:jc w:val="both"/>
        <w:rPr>
          <w:rFonts w:cs="Arial"/>
        </w:rPr>
      </w:pPr>
      <w:r w:rsidRPr="009166CE">
        <w:rPr>
          <w:rFonts w:cs="Arial"/>
        </w:rPr>
        <w:t>Las reclamantes se refieren a la afectación o alegaciones generales y subjetivas que carecen de sustento jurídico y documentario.</w:t>
      </w:r>
    </w:p>
    <w:p w14:paraId="3A62C4D1" w14:textId="50E71BF6" w:rsidR="009166CE" w:rsidRPr="009166CE" w:rsidRDefault="00203FE8" w:rsidP="00E2455F">
      <w:pPr>
        <w:pStyle w:val="Prrafodelista"/>
        <w:numPr>
          <w:ilvl w:val="0"/>
          <w:numId w:val="43"/>
        </w:numPr>
        <w:spacing w:line="240" w:lineRule="auto"/>
        <w:ind w:left="426"/>
        <w:jc w:val="both"/>
        <w:rPr>
          <w:rFonts w:cs="Arial"/>
        </w:rPr>
      </w:pPr>
      <w:r>
        <w:rPr>
          <w:rFonts w:cs="Arial"/>
        </w:rPr>
        <w:t>No</w:t>
      </w:r>
      <w:r w:rsidR="009166CE" w:rsidRPr="009166CE">
        <w:rPr>
          <w:rFonts w:cs="Arial"/>
        </w:rPr>
        <w:t xml:space="preserve"> procede recurrir al sistema de solución de controversias si se trata de un interés difuso, general o abstracto.</w:t>
      </w:r>
    </w:p>
    <w:p w14:paraId="7A2558A5" w14:textId="2DC40DC8" w:rsidR="009166CE" w:rsidRPr="009166CE" w:rsidRDefault="009166CE" w:rsidP="00E2455F">
      <w:pPr>
        <w:pStyle w:val="Prrafodelista"/>
        <w:numPr>
          <w:ilvl w:val="0"/>
          <w:numId w:val="43"/>
        </w:numPr>
        <w:spacing w:line="240" w:lineRule="auto"/>
        <w:ind w:left="426"/>
        <w:jc w:val="both"/>
        <w:rPr>
          <w:rFonts w:cs="Arial"/>
        </w:rPr>
      </w:pPr>
      <w:r w:rsidRPr="009166CE">
        <w:rPr>
          <w:rFonts w:cs="Arial"/>
        </w:rPr>
        <w:t>Las empresas (</w:t>
      </w:r>
      <w:proofErr w:type="spellStart"/>
      <w:r w:rsidRPr="009166CE">
        <w:rPr>
          <w:rFonts w:cs="Arial"/>
        </w:rPr>
        <w:t>Molitalia</w:t>
      </w:r>
      <w:proofErr w:type="spellEnd"/>
      <w:r w:rsidRPr="009166CE">
        <w:rPr>
          <w:rFonts w:cs="Arial"/>
        </w:rPr>
        <w:t xml:space="preserve"> y </w:t>
      </w:r>
      <w:proofErr w:type="spellStart"/>
      <w:r w:rsidRPr="009166CE">
        <w:rPr>
          <w:rFonts w:cs="Arial"/>
        </w:rPr>
        <w:t>Mondelez</w:t>
      </w:r>
      <w:proofErr w:type="spellEnd"/>
      <w:r w:rsidRPr="009166CE">
        <w:rPr>
          <w:rFonts w:cs="Arial"/>
        </w:rPr>
        <w:t>)</w:t>
      </w:r>
      <w:r w:rsidR="00203FE8">
        <w:rPr>
          <w:rFonts w:cs="Arial"/>
        </w:rPr>
        <w:t xml:space="preserve"> </w:t>
      </w:r>
      <w:r w:rsidRPr="009166CE">
        <w:rPr>
          <w:rFonts w:cs="Arial"/>
        </w:rPr>
        <w:t>que impugnaron el caso en el poder judicial peruano</w:t>
      </w:r>
      <w:r w:rsidR="00203FE8">
        <w:rPr>
          <w:rFonts w:cs="Arial"/>
        </w:rPr>
        <w:t>, re</w:t>
      </w:r>
      <w:r w:rsidRPr="009166CE">
        <w:rPr>
          <w:rFonts w:cs="Arial"/>
        </w:rPr>
        <w:t>currieron a través de su gremio que las representa, porque en el Estatuto (S</w:t>
      </w:r>
      <w:r w:rsidR="00203FE8">
        <w:rPr>
          <w:rFonts w:cs="Arial"/>
        </w:rPr>
        <w:t>NI</w:t>
      </w:r>
      <w:r w:rsidRPr="009166CE">
        <w:rPr>
          <w:rFonts w:cs="Arial"/>
        </w:rPr>
        <w:t xml:space="preserve">) queda claro que actúa en representación </w:t>
      </w:r>
      <w:r w:rsidR="00203FE8">
        <w:rPr>
          <w:rFonts w:cs="Arial"/>
        </w:rPr>
        <w:t xml:space="preserve">también </w:t>
      </w:r>
      <w:r w:rsidRPr="009166CE">
        <w:rPr>
          <w:rFonts w:cs="Arial"/>
        </w:rPr>
        <w:t>de sus 2 asociadas, por lo que corresponde se archive el reclamo.</w:t>
      </w:r>
    </w:p>
    <w:p w14:paraId="22569124" w14:textId="77777777" w:rsidR="00203FE8" w:rsidRDefault="009166CE" w:rsidP="00203FE8">
      <w:pPr>
        <w:pStyle w:val="Prrafodelista"/>
        <w:numPr>
          <w:ilvl w:val="0"/>
          <w:numId w:val="43"/>
        </w:numPr>
        <w:spacing w:line="240" w:lineRule="auto"/>
        <w:ind w:left="426"/>
        <w:jc w:val="both"/>
        <w:rPr>
          <w:rFonts w:cs="Arial"/>
        </w:rPr>
      </w:pPr>
      <w:r w:rsidRPr="009166CE">
        <w:rPr>
          <w:rFonts w:cs="Arial"/>
        </w:rPr>
        <w:t>También expresan que existe falta de competencia de la SGCAN para conocer el reclamo, ya que tiene por objeto que se deje sin efecto una norma nacional y actos administrativos internos.</w:t>
      </w:r>
    </w:p>
    <w:p w14:paraId="1198B9F2" w14:textId="77777777" w:rsidR="00203FE8" w:rsidRDefault="00203FE8" w:rsidP="00203FE8">
      <w:pPr>
        <w:pStyle w:val="Prrafodelista"/>
        <w:numPr>
          <w:ilvl w:val="0"/>
          <w:numId w:val="43"/>
        </w:numPr>
        <w:spacing w:line="240" w:lineRule="auto"/>
        <w:ind w:left="426"/>
        <w:jc w:val="both"/>
        <w:rPr>
          <w:rFonts w:cs="Arial"/>
        </w:rPr>
      </w:pPr>
      <w:r>
        <w:rPr>
          <w:rFonts w:cs="Arial"/>
        </w:rPr>
        <w:t>El</w:t>
      </w:r>
      <w:r w:rsidR="009166CE" w:rsidRPr="00203FE8">
        <w:rPr>
          <w:rFonts w:cs="Arial"/>
        </w:rPr>
        <w:t xml:space="preserve"> artículo 37 del Código no puede ser leído de manera aislada, se debe tener presente la tercera disposición complementaria del mismo código, que contempla la obligación de expedir reglamentación al artículo 37 y eso es algo que el gobierno peruano viene desarrollando los mayores esfuerzos para su reglamentación.</w:t>
      </w:r>
    </w:p>
    <w:p w14:paraId="1B239BB3" w14:textId="692D801D" w:rsidR="009166CE" w:rsidRPr="00203FE8" w:rsidRDefault="009166CE" w:rsidP="00203FE8">
      <w:pPr>
        <w:pStyle w:val="Prrafodelista"/>
        <w:numPr>
          <w:ilvl w:val="0"/>
          <w:numId w:val="43"/>
        </w:numPr>
        <w:spacing w:line="240" w:lineRule="auto"/>
        <w:ind w:left="426"/>
        <w:jc w:val="both"/>
        <w:rPr>
          <w:rFonts w:cs="Arial"/>
        </w:rPr>
      </w:pPr>
      <w:r w:rsidRPr="00203FE8">
        <w:rPr>
          <w:rFonts w:cs="Arial"/>
        </w:rPr>
        <w:t>El reclamo no cumple con requisitos mínimos para su tramitación, no se cumple con el requisito de la afectación, que no es directa, real, concreta y que existe defensa de un interés difuso, como también no deviene en oportuna la presentación de un reclamo respecto de una norma que entró en vigor hace más de diez años.</w:t>
      </w:r>
    </w:p>
    <w:p w14:paraId="0CEF9855" w14:textId="4E264EE7" w:rsidR="00A22943" w:rsidRPr="002D0ACE" w:rsidRDefault="006A2495" w:rsidP="00E16951">
      <w:pPr>
        <w:tabs>
          <w:tab w:val="left" w:pos="993"/>
        </w:tabs>
        <w:spacing w:line="240" w:lineRule="auto"/>
        <w:jc w:val="both"/>
        <w:rPr>
          <w:rFonts w:cs="Arial"/>
          <w:bCs/>
        </w:rPr>
      </w:pPr>
      <w:r w:rsidRPr="002D0ACE">
        <w:rPr>
          <w:rFonts w:cs="Arial"/>
          <w:b/>
        </w:rPr>
        <w:t xml:space="preserve">V. </w:t>
      </w:r>
      <w:r w:rsidR="00A22943" w:rsidRPr="002D0ACE">
        <w:rPr>
          <w:rFonts w:cs="Arial"/>
          <w:b/>
        </w:rPr>
        <w:t>ARGUMENTOS DE LAS PARTES.</w:t>
      </w:r>
      <w:r w:rsidR="00D57CDA" w:rsidRPr="002D0ACE">
        <w:rPr>
          <w:rFonts w:cs="Arial"/>
          <w:b/>
        </w:rPr>
        <w:t xml:space="preserve"> </w:t>
      </w:r>
      <w:r w:rsidR="00A22943" w:rsidRPr="002D0ACE">
        <w:rPr>
          <w:rFonts w:cs="Arial"/>
          <w:b/>
        </w:rPr>
        <w:t>-</w:t>
      </w:r>
    </w:p>
    <w:p w14:paraId="5EB3A1C2" w14:textId="4F3F497F" w:rsidR="00A22943" w:rsidRPr="002D0ACE" w:rsidRDefault="00EB5041" w:rsidP="00E16951">
      <w:pPr>
        <w:spacing w:line="240" w:lineRule="auto"/>
        <w:rPr>
          <w:rFonts w:cs="Arial"/>
          <w:i/>
          <w:u w:val="single"/>
        </w:rPr>
      </w:pPr>
      <w:r w:rsidRPr="002D0ACE">
        <w:rPr>
          <w:rFonts w:cs="Arial"/>
          <w:i/>
          <w:u w:val="single"/>
        </w:rPr>
        <w:t>5</w:t>
      </w:r>
      <w:r w:rsidR="00A22943" w:rsidRPr="002D0ACE">
        <w:rPr>
          <w:rFonts w:cs="Arial"/>
          <w:i/>
          <w:u w:val="single"/>
        </w:rPr>
        <w:t>.1. Argumentos de la Reclamante</w:t>
      </w:r>
    </w:p>
    <w:p w14:paraId="6CD79973" w14:textId="4109506F" w:rsidR="00351D5E" w:rsidRPr="002D0ACE" w:rsidRDefault="00351D5E" w:rsidP="002D0ACE">
      <w:pPr>
        <w:pStyle w:val="Prrafodelista"/>
        <w:numPr>
          <w:ilvl w:val="0"/>
          <w:numId w:val="1"/>
        </w:numPr>
        <w:spacing w:line="240" w:lineRule="auto"/>
        <w:ind w:left="0" w:hanging="567"/>
        <w:jc w:val="both"/>
        <w:rPr>
          <w:rFonts w:cs="Arial"/>
        </w:rPr>
      </w:pPr>
      <w:r w:rsidRPr="002D0ACE">
        <w:rPr>
          <w:rFonts w:cs="Arial"/>
        </w:rPr>
        <w:t>La reclamante en su escrito ha presentado los siguientes argumentos:</w:t>
      </w:r>
    </w:p>
    <w:p w14:paraId="6FAE6CA8" w14:textId="523A32F9" w:rsidR="000775A3" w:rsidRPr="000775A3" w:rsidRDefault="00982E96" w:rsidP="00BF3B3F">
      <w:pPr>
        <w:spacing w:line="240" w:lineRule="auto"/>
        <w:ind w:left="567"/>
        <w:jc w:val="both"/>
        <w:rPr>
          <w:rFonts w:cs="Arial"/>
          <w:i/>
          <w:iCs/>
        </w:rPr>
      </w:pPr>
      <w:r w:rsidRPr="000775A3">
        <w:rPr>
          <w:rFonts w:cs="Arial"/>
          <w:i/>
          <w:iCs/>
        </w:rPr>
        <w:lastRenderedPageBreak/>
        <w:t>“… reclamamos formalmente el incumplimiento de las obligaciones emanadas de normas que conforman el ordenamiento jurídico de la Comunidad Andina por parte de la República del Perú.</w:t>
      </w:r>
    </w:p>
    <w:p w14:paraId="36D08586" w14:textId="6B229BCA" w:rsidR="00351D5E" w:rsidRDefault="000775A3" w:rsidP="00BF3B3F">
      <w:pPr>
        <w:spacing w:line="240" w:lineRule="auto"/>
        <w:ind w:left="567"/>
        <w:jc w:val="both"/>
        <w:rPr>
          <w:rFonts w:cs="Arial"/>
          <w:i/>
          <w:iCs/>
        </w:rPr>
      </w:pPr>
      <w:r w:rsidRPr="000775A3">
        <w:rPr>
          <w:rFonts w:cs="Arial"/>
          <w:i/>
          <w:iCs/>
        </w:rPr>
        <w:t>“En este sentido, solicitamos el inicio de una investigación por el incumplimiento en el que</w:t>
      </w:r>
      <w:r w:rsidR="00034188">
        <w:rPr>
          <w:rFonts w:cs="Arial"/>
          <w:i/>
          <w:iCs/>
        </w:rPr>
        <w:t xml:space="preserve"> ha</w:t>
      </w:r>
      <w:r w:rsidRPr="000775A3">
        <w:rPr>
          <w:rFonts w:cs="Arial"/>
          <w:i/>
          <w:iCs/>
        </w:rPr>
        <w:t xml:space="preserve"> incurrido la República del Perú, al emitir, publicar y adoptar la siguiente norma con rango de ley, así como otras medidas internas contrarias al ordenamiento jurídico andino</w:t>
      </w:r>
      <w:r w:rsidR="00A52C9B">
        <w:rPr>
          <w:rFonts w:cs="Arial"/>
          <w:i/>
          <w:iCs/>
        </w:rPr>
        <w:t xml:space="preserve"> (en adelante la Medida Denunciada):</w:t>
      </w:r>
      <w:r w:rsidRPr="000775A3">
        <w:rPr>
          <w:rFonts w:cs="Arial"/>
          <w:i/>
          <w:iCs/>
        </w:rPr>
        <w:t>”</w:t>
      </w:r>
      <w:r w:rsidR="00982E96" w:rsidRPr="000775A3">
        <w:rPr>
          <w:rStyle w:val="Refdenotaalpie"/>
          <w:rFonts w:cs="Arial"/>
          <w:i/>
          <w:iCs/>
        </w:rPr>
        <w:footnoteReference w:id="4"/>
      </w:r>
    </w:p>
    <w:p w14:paraId="027FF4BA" w14:textId="77777777" w:rsidR="008F169B" w:rsidRPr="008F169B" w:rsidRDefault="008F169B" w:rsidP="00BF3B3F">
      <w:pPr>
        <w:numPr>
          <w:ilvl w:val="0"/>
          <w:numId w:val="35"/>
        </w:numPr>
        <w:spacing w:after="0" w:line="240" w:lineRule="auto"/>
        <w:ind w:left="993" w:hanging="215"/>
        <w:jc w:val="both"/>
        <w:rPr>
          <w:rFonts w:cs="Arial"/>
        </w:rPr>
      </w:pPr>
      <w:r w:rsidRPr="008F169B">
        <w:rPr>
          <w:rFonts w:cs="Arial"/>
        </w:rPr>
        <w:t>Artículo 37 de la ley N° 29571, Código de Protección y Defensa del Consumidor</w:t>
      </w:r>
    </w:p>
    <w:p w14:paraId="01DC25BE" w14:textId="77777777" w:rsidR="008F169B" w:rsidRPr="008F169B" w:rsidRDefault="008F169B" w:rsidP="00BF3B3F">
      <w:pPr>
        <w:numPr>
          <w:ilvl w:val="0"/>
          <w:numId w:val="35"/>
        </w:numPr>
        <w:spacing w:after="0" w:line="240" w:lineRule="auto"/>
        <w:ind w:left="993" w:hanging="215"/>
        <w:jc w:val="both"/>
        <w:rPr>
          <w:rFonts w:cs="Arial"/>
        </w:rPr>
      </w:pPr>
      <w:r w:rsidRPr="008F169B">
        <w:rPr>
          <w:rFonts w:cs="Arial"/>
        </w:rPr>
        <w:t>Carta N° 000129-2022-PRE/INDECOPI</w:t>
      </w:r>
    </w:p>
    <w:p w14:paraId="75A096E8" w14:textId="77777777" w:rsidR="008F169B" w:rsidRPr="008F169B" w:rsidRDefault="008F169B" w:rsidP="00BF3B3F">
      <w:pPr>
        <w:numPr>
          <w:ilvl w:val="0"/>
          <w:numId w:val="35"/>
        </w:numPr>
        <w:spacing w:after="0" w:line="240" w:lineRule="auto"/>
        <w:ind w:left="993" w:hanging="215"/>
        <w:jc w:val="both"/>
        <w:rPr>
          <w:rFonts w:cs="Arial"/>
        </w:rPr>
      </w:pPr>
      <w:r w:rsidRPr="008F169B">
        <w:rPr>
          <w:rFonts w:cs="Arial"/>
        </w:rPr>
        <w:t>Resolución N° 2051-2019/SPC-INDECOPI</w:t>
      </w:r>
    </w:p>
    <w:p w14:paraId="2CCA2B8D" w14:textId="77777777" w:rsidR="008F169B" w:rsidRPr="008F169B" w:rsidRDefault="008F169B" w:rsidP="00BF3B3F">
      <w:pPr>
        <w:numPr>
          <w:ilvl w:val="0"/>
          <w:numId w:val="35"/>
        </w:numPr>
        <w:spacing w:after="0" w:line="240" w:lineRule="auto"/>
        <w:ind w:left="993" w:hanging="215"/>
        <w:jc w:val="both"/>
        <w:rPr>
          <w:rFonts w:cs="Arial"/>
        </w:rPr>
      </w:pPr>
      <w:r w:rsidRPr="008F169B">
        <w:rPr>
          <w:rFonts w:cs="Arial"/>
        </w:rPr>
        <w:t>Resolución N° 2304-2019/SPC-INDECOPI</w:t>
      </w:r>
    </w:p>
    <w:p w14:paraId="62F59A5C" w14:textId="77777777" w:rsidR="008F169B" w:rsidRPr="008F169B" w:rsidRDefault="008F169B" w:rsidP="00BF3B3F">
      <w:pPr>
        <w:numPr>
          <w:ilvl w:val="0"/>
          <w:numId w:val="35"/>
        </w:numPr>
        <w:spacing w:after="0" w:line="240" w:lineRule="auto"/>
        <w:ind w:left="993" w:hanging="215"/>
        <w:jc w:val="both"/>
        <w:rPr>
          <w:rFonts w:cs="Arial"/>
        </w:rPr>
      </w:pPr>
      <w:r w:rsidRPr="008F169B">
        <w:rPr>
          <w:rFonts w:cs="Arial"/>
        </w:rPr>
        <w:t>Informe N° 000118-2022-DPC/INDEPCOPI</w:t>
      </w:r>
    </w:p>
    <w:p w14:paraId="032FA8F9" w14:textId="77777777" w:rsidR="008F169B" w:rsidRPr="008F169B" w:rsidRDefault="008F169B" w:rsidP="00BF3B3F">
      <w:pPr>
        <w:numPr>
          <w:ilvl w:val="0"/>
          <w:numId w:val="35"/>
        </w:numPr>
        <w:spacing w:after="0" w:line="240" w:lineRule="auto"/>
        <w:ind w:left="993" w:hanging="215"/>
        <w:jc w:val="both"/>
        <w:rPr>
          <w:rFonts w:cs="Arial"/>
        </w:rPr>
      </w:pPr>
      <w:r w:rsidRPr="008F169B">
        <w:rPr>
          <w:rFonts w:cs="Arial"/>
        </w:rPr>
        <w:t>Oficio N° 000281-2022-PRE/INDECOPI</w:t>
      </w:r>
    </w:p>
    <w:p w14:paraId="5671FAFF" w14:textId="39D3A91A" w:rsidR="008F169B" w:rsidRDefault="008F169B" w:rsidP="00BF3B3F">
      <w:pPr>
        <w:numPr>
          <w:ilvl w:val="0"/>
          <w:numId w:val="35"/>
        </w:numPr>
        <w:spacing w:after="0" w:line="240" w:lineRule="auto"/>
        <w:ind w:left="993" w:hanging="215"/>
        <w:jc w:val="both"/>
        <w:rPr>
          <w:rFonts w:cs="Arial"/>
        </w:rPr>
      </w:pPr>
      <w:r w:rsidRPr="008F169B">
        <w:rPr>
          <w:rFonts w:cs="Arial"/>
        </w:rPr>
        <w:t>Oficio Múltiple N° D001302-2022-PCM-SC</w:t>
      </w:r>
    </w:p>
    <w:p w14:paraId="080B1873" w14:textId="77777777" w:rsidR="00BF359C" w:rsidRPr="008F169B" w:rsidRDefault="00BF359C" w:rsidP="00BF359C">
      <w:pPr>
        <w:spacing w:after="0" w:line="240" w:lineRule="auto"/>
        <w:ind w:left="714"/>
        <w:jc w:val="both"/>
        <w:rPr>
          <w:rFonts w:cs="Arial"/>
        </w:rPr>
      </w:pPr>
    </w:p>
    <w:p w14:paraId="78BB6FCC" w14:textId="6E270DA7" w:rsidR="008F169B" w:rsidRDefault="008F169B" w:rsidP="002D0ACE">
      <w:pPr>
        <w:pStyle w:val="Prrafodelista"/>
        <w:numPr>
          <w:ilvl w:val="0"/>
          <w:numId w:val="1"/>
        </w:numPr>
        <w:spacing w:line="240" w:lineRule="auto"/>
        <w:ind w:left="0" w:hanging="567"/>
        <w:jc w:val="both"/>
        <w:rPr>
          <w:rFonts w:cs="Arial"/>
        </w:rPr>
      </w:pPr>
      <w:r>
        <w:rPr>
          <w:rFonts w:cs="Arial"/>
        </w:rPr>
        <w:t>Asimismo, señala que la medida denunciada está compuesta por:</w:t>
      </w:r>
    </w:p>
    <w:p w14:paraId="6B43A5CB" w14:textId="77777777" w:rsidR="0003384B" w:rsidRDefault="0003384B" w:rsidP="0003384B">
      <w:pPr>
        <w:pStyle w:val="Prrafodelista"/>
        <w:spacing w:line="240" w:lineRule="auto"/>
        <w:ind w:left="0"/>
        <w:jc w:val="both"/>
        <w:rPr>
          <w:rFonts w:cs="Arial"/>
        </w:rPr>
      </w:pPr>
    </w:p>
    <w:p w14:paraId="275B5D8B" w14:textId="30FA771D" w:rsidR="00C44CDE" w:rsidRPr="0003384B" w:rsidRDefault="0003384B" w:rsidP="00DD0EA9">
      <w:pPr>
        <w:pStyle w:val="Prrafodelista"/>
        <w:numPr>
          <w:ilvl w:val="0"/>
          <w:numId w:val="38"/>
        </w:numPr>
        <w:spacing w:line="240" w:lineRule="auto"/>
        <w:ind w:left="851"/>
        <w:jc w:val="both"/>
        <w:rPr>
          <w:rFonts w:cs="Arial"/>
          <w:i/>
          <w:iCs/>
        </w:rPr>
      </w:pPr>
      <w:r w:rsidRPr="0003384B">
        <w:rPr>
          <w:rFonts w:cs="Arial"/>
          <w:i/>
          <w:iCs/>
        </w:rPr>
        <w:t>“</w:t>
      </w:r>
      <w:r w:rsidR="00AD456C" w:rsidRPr="0003384B">
        <w:rPr>
          <w:rFonts w:cs="Arial"/>
          <w:i/>
          <w:iCs/>
        </w:rPr>
        <w:t xml:space="preserve">La expedición </w:t>
      </w:r>
      <w:r w:rsidRPr="0003384B">
        <w:rPr>
          <w:rFonts w:cs="Arial"/>
          <w:i/>
          <w:iCs/>
        </w:rPr>
        <w:t>de una norma interna contraria al ordenamiento jurídico comunitario andino; o</w:t>
      </w:r>
    </w:p>
    <w:p w14:paraId="3CB99DB6" w14:textId="1D3C4CC4" w:rsidR="00C44CDE" w:rsidRPr="0003384B" w:rsidRDefault="0003384B" w:rsidP="00E935B4">
      <w:pPr>
        <w:pStyle w:val="Prrafodelista"/>
        <w:numPr>
          <w:ilvl w:val="0"/>
          <w:numId w:val="38"/>
        </w:numPr>
        <w:spacing w:after="0" w:line="240" w:lineRule="auto"/>
        <w:ind w:left="851"/>
        <w:jc w:val="both"/>
        <w:rPr>
          <w:rFonts w:cs="Arial"/>
          <w:i/>
          <w:iCs/>
        </w:rPr>
      </w:pPr>
      <w:r w:rsidRPr="0003384B">
        <w:rPr>
          <w:rFonts w:cs="Arial"/>
          <w:i/>
          <w:iCs/>
        </w:rPr>
        <w:t>Cualquier acto u omisión opuesto al ordenamiento andino. Si bien la Medida Denunciada principalmente es una norma interna (Artículo 37 del Código), lo que gatilla y complementa la posición de la República del Perú son las Resoluciones, el Oficio, el Oficio Múltiple, el Informe 118 y la carta, en donde determinan que la exigencia de etiquetado frontal en Organismos Genéticamente Modificados (en adelante OGM) es aplicable a todo el mercado de fabricantes, importadores y distribuidores de alimentos, siendo suficiente el texto desarrollado en el Artículo 37.”</w:t>
      </w:r>
      <w:r>
        <w:rPr>
          <w:rStyle w:val="Refdenotaalpie"/>
          <w:rFonts w:cs="Arial"/>
          <w:i/>
          <w:iCs/>
        </w:rPr>
        <w:footnoteReference w:id="5"/>
      </w:r>
    </w:p>
    <w:p w14:paraId="7B151156" w14:textId="302620A9" w:rsidR="00657017" w:rsidRPr="00C44CDE" w:rsidRDefault="00657017" w:rsidP="00E935B4">
      <w:pPr>
        <w:pStyle w:val="Prrafodelista"/>
        <w:spacing w:after="0" w:line="240" w:lineRule="auto"/>
        <w:ind w:left="0"/>
        <w:jc w:val="both"/>
        <w:rPr>
          <w:rFonts w:cs="Arial"/>
        </w:rPr>
      </w:pPr>
    </w:p>
    <w:p w14:paraId="0ED0AACF" w14:textId="77777777" w:rsidR="00665B15" w:rsidRDefault="00665B15" w:rsidP="00E935B4">
      <w:pPr>
        <w:pStyle w:val="Prrafodelista"/>
        <w:numPr>
          <w:ilvl w:val="0"/>
          <w:numId w:val="1"/>
        </w:numPr>
        <w:spacing w:after="0" w:line="240" w:lineRule="auto"/>
        <w:ind w:left="0" w:hanging="567"/>
        <w:jc w:val="both"/>
        <w:rPr>
          <w:rFonts w:cs="Arial"/>
        </w:rPr>
      </w:pPr>
      <w:r>
        <w:rPr>
          <w:rFonts w:cs="Arial"/>
        </w:rPr>
        <w:t>También la reclamante indicó que dentro la jurisprudencia del Tribunal de Justicia de la Comunidad Andina se manifestó lo siguiente:</w:t>
      </w:r>
    </w:p>
    <w:p w14:paraId="7E341F0F" w14:textId="77777777" w:rsidR="00665B15" w:rsidRDefault="00665B15" w:rsidP="00E935B4">
      <w:pPr>
        <w:pStyle w:val="Prrafodelista"/>
        <w:spacing w:after="0" w:line="240" w:lineRule="auto"/>
        <w:ind w:left="0"/>
        <w:jc w:val="both"/>
        <w:rPr>
          <w:rFonts w:cs="Arial"/>
        </w:rPr>
      </w:pPr>
    </w:p>
    <w:p w14:paraId="2CCA644F" w14:textId="2D6D9E01" w:rsidR="00657017" w:rsidRPr="00E94664" w:rsidRDefault="00665B15" w:rsidP="00E935B4">
      <w:pPr>
        <w:pStyle w:val="Prrafodelista"/>
        <w:spacing w:after="0" w:line="240" w:lineRule="auto"/>
        <w:ind w:left="567"/>
        <w:jc w:val="both"/>
        <w:rPr>
          <w:rFonts w:cs="Arial"/>
          <w:i/>
          <w:iCs/>
        </w:rPr>
      </w:pPr>
      <w:r w:rsidRPr="00E94664">
        <w:rPr>
          <w:rFonts w:cs="Arial"/>
          <w:i/>
          <w:iCs/>
        </w:rPr>
        <w:t>“</w:t>
      </w:r>
      <w:r w:rsidR="00E94664">
        <w:rPr>
          <w:rFonts w:cs="Arial"/>
          <w:i/>
          <w:iCs/>
        </w:rPr>
        <w:t>E</w:t>
      </w:r>
      <w:r w:rsidRPr="00E94664">
        <w:rPr>
          <w:rFonts w:cs="Arial"/>
          <w:i/>
          <w:iCs/>
        </w:rPr>
        <w:t xml:space="preserve">ste tipo de derecho suave puede tener efecto jurídico, ya que plasma la manera en que cierta entidad estatal entiende la interpretación de las normas jurídicas aplicables. En este sentido, se advierte que este tipo de mecanismo, aunque no sea vinculante, podría constituir una vulneración del ordenamiento jurídico comunitario andino, o por lo menos podría generar una barrera para su correcta aplicación. Simplemente los </w:t>
      </w:r>
      <w:r w:rsidR="00E94664" w:rsidRPr="00E94664">
        <w:rPr>
          <w:rFonts w:cs="Arial"/>
          <w:i/>
          <w:iCs/>
        </w:rPr>
        <w:t>administrados</w:t>
      </w:r>
      <w:r w:rsidRPr="00E94664">
        <w:rPr>
          <w:rFonts w:cs="Arial"/>
          <w:i/>
          <w:iCs/>
        </w:rPr>
        <w:t xml:space="preserve"> seguirán el parámetro interpretativo de la entidad, aunque se plasme en plataforma no vinculantes.”</w:t>
      </w:r>
      <w:r w:rsidR="00E94664">
        <w:rPr>
          <w:rStyle w:val="Refdenotaalpie"/>
          <w:rFonts w:cs="Arial"/>
          <w:i/>
          <w:iCs/>
        </w:rPr>
        <w:footnoteReference w:id="6"/>
      </w:r>
    </w:p>
    <w:p w14:paraId="54E892AD" w14:textId="77777777" w:rsidR="00D2405B" w:rsidRPr="002D0ACE" w:rsidRDefault="00D2405B" w:rsidP="00E935B4">
      <w:pPr>
        <w:pStyle w:val="Prrafodelista"/>
        <w:spacing w:after="0" w:line="240" w:lineRule="auto"/>
        <w:rPr>
          <w:rFonts w:cs="Arial"/>
        </w:rPr>
      </w:pPr>
    </w:p>
    <w:p w14:paraId="4095FBC5" w14:textId="17826622" w:rsidR="00D2405B" w:rsidRDefault="00DD0EA9" w:rsidP="00E935B4">
      <w:pPr>
        <w:pStyle w:val="Prrafodelista"/>
        <w:numPr>
          <w:ilvl w:val="0"/>
          <w:numId w:val="1"/>
        </w:numPr>
        <w:spacing w:after="0" w:line="240" w:lineRule="auto"/>
        <w:ind w:left="0" w:hanging="567"/>
        <w:jc w:val="both"/>
        <w:rPr>
          <w:rFonts w:cs="Arial"/>
        </w:rPr>
      </w:pPr>
      <w:r>
        <w:rPr>
          <w:rFonts w:cs="Arial"/>
        </w:rPr>
        <w:t>En este contexto, la reclamante considera que la medida denunciada (artículo 37 del Código, etc…) podría constituir un mecanismo de incumplimiento de las normas comunitarias</w:t>
      </w:r>
      <w:r>
        <w:rPr>
          <w:rStyle w:val="Refdenotaalpie"/>
          <w:rFonts w:cs="Arial"/>
        </w:rPr>
        <w:footnoteReference w:id="7"/>
      </w:r>
      <w:r w:rsidR="00003BE9">
        <w:rPr>
          <w:rFonts w:cs="Arial"/>
        </w:rPr>
        <w:t>, por lo que textualmente expresa lo siguiente:</w:t>
      </w:r>
    </w:p>
    <w:p w14:paraId="0094DC3B" w14:textId="77777777" w:rsidR="00E935B4" w:rsidRPr="002D0ACE" w:rsidRDefault="00E935B4" w:rsidP="00E935B4">
      <w:pPr>
        <w:pStyle w:val="Prrafodelista"/>
        <w:spacing w:after="0" w:line="240" w:lineRule="auto"/>
        <w:ind w:left="0"/>
        <w:jc w:val="both"/>
        <w:rPr>
          <w:rFonts w:cs="Arial"/>
        </w:rPr>
      </w:pPr>
    </w:p>
    <w:p w14:paraId="08FDB2CB" w14:textId="14301775" w:rsidR="002900A9" w:rsidRPr="002900A9" w:rsidRDefault="002900A9" w:rsidP="00003BE9">
      <w:pPr>
        <w:spacing w:after="120" w:line="240" w:lineRule="auto"/>
        <w:ind w:left="567"/>
        <w:jc w:val="both"/>
        <w:rPr>
          <w:rFonts w:cs="Arial"/>
          <w:i/>
          <w:iCs/>
        </w:rPr>
      </w:pPr>
      <w:r>
        <w:rPr>
          <w:rFonts w:cs="Arial"/>
          <w:i/>
          <w:iCs/>
        </w:rPr>
        <w:t>“</w:t>
      </w:r>
      <w:r w:rsidRPr="002900A9">
        <w:rPr>
          <w:rFonts w:cs="Arial"/>
          <w:i/>
          <w:iCs/>
        </w:rPr>
        <w:t>Así el Artículo del Código, junto con la carta, el Oficio, el Oficio Múltiple, el Informe 118 y Resoluciones, vulneran:</w:t>
      </w:r>
    </w:p>
    <w:p w14:paraId="07C0BB10" w14:textId="1400A42C" w:rsidR="002900A9" w:rsidRPr="002900A9" w:rsidRDefault="002900A9" w:rsidP="002900A9">
      <w:pPr>
        <w:pStyle w:val="Prrafodelista"/>
        <w:numPr>
          <w:ilvl w:val="0"/>
          <w:numId w:val="39"/>
        </w:numPr>
        <w:ind w:left="993"/>
        <w:jc w:val="both"/>
        <w:rPr>
          <w:rFonts w:cs="Arial"/>
          <w:i/>
          <w:iCs/>
        </w:rPr>
      </w:pPr>
      <w:r w:rsidRPr="002900A9">
        <w:rPr>
          <w:rFonts w:cs="Arial"/>
          <w:i/>
          <w:iCs/>
        </w:rPr>
        <w:lastRenderedPageBreak/>
        <w:t>Los artículos 1, 2, 3, 4, 5, 6, 7, 8, 9, 10, 11, 12,13, 14 y 15 de la decisión 827 – Lineamientos para la elaboración, adopción y aplicación de reglamentos técnicos y procedimientos de evaluación de la conformidad en los países Miembros de la Comunidad Andina y a nivel comunitario…</w:t>
      </w:r>
    </w:p>
    <w:p w14:paraId="07D519D3" w14:textId="77A6D617" w:rsidR="002900A9" w:rsidRPr="002900A9" w:rsidRDefault="002900A9" w:rsidP="002900A9">
      <w:pPr>
        <w:pStyle w:val="Prrafodelista"/>
        <w:numPr>
          <w:ilvl w:val="0"/>
          <w:numId w:val="39"/>
        </w:numPr>
        <w:ind w:left="993"/>
        <w:jc w:val="both"/>
        <w:rPr>
          <w:rFonts w:cs="Arial"/>
          <w:i/>
          <w:iCs/>
        </w:rPr>
      </w:pPr>
      <w:r w:rsidRPr="002900A9">
        <w:rPr>
          <w:rFonts w:cs="Arial"/>
          <w:i/>
          <w:iCs/>
        </w:rPr>
        <w:t>Los Artículos 7, 10, 11, 25, 28 y 37 de la Decisión 850, Sistema Andino de la Calidad…; y</w:t>
      </w:r>
    </w:p>
    <w:p w14:paraId="154C724C" w14:textId="77777777" w:rsidR="002900A9" w:rsidRPr="002900A9" w:rsidRDefault="002900A9" w:rsidP="002900A9">
      <w:pPr>
        <w:pStyle w:val="Prrafodelista"/>
        <w:numPr>
          <w:ilvl w:val="0"/>
          <w:numId w:val="39"/>
        </w:numPr>
        <w:ind w:left="993"/>
        <w:jc w:val="both"/>
        <w:rPr>
          <w:rFonts w:cs="Arial"/>
          <w:i/>
          <w:iCs/>
        </w:rPr>
      </w:pPr>
      <w:r w:rsidRPr="002900A9">
        <w:rPr>
          <w:rFonts w:cs="Arial"/>
          <w:i/>
          <w:iCs/>
        </w:rPr>
        <w:t>El artículo 4 del Tratado”</w:t>
      </w:r>
      <w:r w:rsidRPr="002900A9">
        <w:rPr>
          <w:rFonts w:cs="Arial"/>
          <w:i/>
          <w:iCs/>
          <w:vertAlign w:val="superscript"/>
        </w:rPr>
        <w:footnoteReference w:id="8"/>
      </w:r>
    </w:p>
    <w:p w14:paraId="2992536C" w14:textId="273297BD" w:rsidR="00A328B4" w:rsidRDefault="00A328B4" w:rsidP="00003BE9">
      <w:pPr>
        <w:pStyle w:val="Prrafodelista"/>
        <w:spacing w:line="240" w:lineRule="auto"/>
        <w:ind w:left="0"/>
        <w:jc w:val="both"/>
        <w:rPr>
          <w:rFonts w:cs="Arial"/>
        </w:rPr>
      </w:pPr>
    </w:p>
    <w:p w14:paraId="36F477BA" w14:textId="7141A31F" w:rsidR="00003BE9" w:rsidRDefault="00C0289F" w:rsidP="00E94664">
      <w:pPr>
        <w:pStyle w:val="Prrafodelista"/>
        <w:numPr>
          <w:ilvl w:val="0"/>
          <w:numId w:val="1"/>
        </w:numPr>
        <w:spacing w:line="240" w:lineRule="auto"/>
        <w:ind w:left="0" w:hanging="567"/>
        <w:jc w:val="both"/>
        <w:rPr>
          <w:rFonts w:cs="Arial"/>
        </w:rPr>
      </w:pPr>
      <w:r>
        <w:rPr>
          <w:rFonts w:cs="Arial"/>
        </w:rPr>
        <w:t xml:space="preserve">Con relación a la posibilidad de afectación, la reclamante indica que la denuncia de incumplimiento </w:t>
      </w:r>
      <w:r w:rsidR="00B66084" w:rsidRPr="00750BE0">
        <w:rPr>
          <w:rFonts w:cs="Arial"/>
          <w:i/>
          <w:iCs/>
        </w:rPr>
        <w:t xml:space="preserve">“… no solo cuentan con derechos subjetivos e intereses legítimos afectados por la falta de reglamentación del Artículo 37 del Código, el cual incumple con disposiciones de las Decisiones 827 y 850, sino que INDECOPI y PCM ha decretado que </w:t>
      </w:r>
      <w:r w:rsidR="00B66084" w:rsidRPr="00750BE0">
        <w:rPr>
          <w:rFonts w:cs="Arial"/>
          <w:b/>
          <w:bCs/>
          <w:i/>
          <w:iCs/>
          <w:u w:val="single"/>
        </w:rPr>
        <w:t>dicho Artículo 37 va a ser aplicado de manera inmediata,</w:t>
      </w:r>
      <w:r w:rsidR="00B66084" w:rsidRPr="00750BE0">
        <w:rPr>
          <w:rFonts w:cs="Arial"/>
          <w:i/>
          <w:iCs/>
        </w:rPr>
        <w:t xml:space="preserve"> con lo cual la afectación a los derechos e intereses de las reclamantes se vuelve además real, actual y oportuna</w:t>
      </w:r>
      <w:r w:rsidR="00750BE0" w:rsidRPr="00750BE0">
        <w:rPr>
          <w:rFonts w:cs="Arial"/>
          <w:i/>
          <w:iCs/>
        </w:rPr>
        <w:t>.</w:t>
      </w:r>
      <w:r w:rsidR="00B66084" w:rsidRPr="00750BE0">
        <w:rPr>
          <w:rFonts w:cs="Arial"/>
          <w:i/>
          <w:iCs/>
        </w:rPr>
        <w:t>”</w:t>
      </w:r>
      <w:r w:rsidR="00750BE0">
        <w:rPr>
          <w:rStyle w:val="Refdenotaalpie"/>
          <w:rFonts w:cs="Arial"/>
          <w:i/>
          <w:iCs/>
        </w:rPr>
        <w:footnoteReference w:id="9"/>
      </w:r>
      <w:r w:rsidR="00B66084">
        <w:rPr>
          <w:rFonts w:cs="Arial"/>
        </w:rPr>
        <w:t xml:space="preserve"> (</w:t>
      </w:r>
      <w:r w:rsidR="00AB6DD9">
        <w:rPr>
          <w:rFonts w:cs="Arial"/>
        </w:rPr>
        <w:t>Resaltado fuera de texto)</w:t>
      </w:r>
    </w:p>
    <w:p w14:paraId="14191E37" w14:textId="77777777" w:rsidR="00750BE0" w:rsidRDefault="00750BE0" w:rsidP="00750BE0">
      <w:pPr>
        <w:pStyle w:val="Prrafodelista"/>
        <w:spacing w:line="240" w:lineRule="auto"/>
        <w:ind w:left="0"/>
        <w:jc w:val="both"/>
        <w:rPr>
          <w:rFonts w:cs="Arial"/>
        </w:rPr>
      </w:pPr>
    </w:p>
    <w:p w14:paraId="76973267" w14:textId="07B01113" w:rsidR="00A328B4" w:rsidRPr="002D0ACE" w:rsidRDefault="00636856" w:rsidP="002D0ACE">
      <w:pPr>
        <w:pStyle w:val="Prrafodelista"/>
        <w:numPr>
          <w:ilvl w:val="0"/>
          <w:numId w:val="1"/>
        </w:numPr>
        <w:spacing w:line="240" w:lineRule="auto"/>
        <w:ind w:left="0" w:hanging="567"/>
        <w:jc w:val="both"/>
        <w:rPr>
          <w:rFonts w:cs="Arial"/>
        </w:rPr>
      </w:pPr>
      <w:r>
        <w:rPr>
          <w:rFonts w:cs="Arial"/>
        </w:rPr>
        <w:t xml:space="preserve">En otro instante la reclamante manifiesta que, </w:t>
      </w:r>
      <w:r w:rsidRPr="00D234D3">
        <w:rPr>
          <w:rFonts w:cs="Arial"/>
          <w:i/>
          <w:iCs/>
        </w:rPr>
        <w:t xml:space="preserve">“… es de suma importancia que se resuelva, de manera firme, que un país Miembro </w:t>
      </w:r>
      <w:r w:rsidRPr="00D234D3">
        <w:rPr>
          <w:rFonts w:cs="Arial"/>
          <w:b/>
          <w:bCs/>
          <w:i/>
          <w:iCs/>
          <w:u w:val="single"/>
        </w:rPr>
        <w:t>no puede publicar e implementar medidas consideradas reglamentos técnicos sin seguir los lineamientos obligatorios vinculados a obstáculos técnicos al comercio.</w:t>
      </w:r>
      <w:r w:rsidRPr="00D234D3">
        <w:rPr>
          <w:rFonts w:cs="Arial"/>
          <w:i/>
          <w:iCs/>
        </w:rPr>
        <w:t>”</w:t>
      </w:r>
      <w:r>
        <w:rPr>
          <w:rStyle w:val="Refdenotaalpie"/>
          <w:rFonts w:cs="Arial"/>
        </w:rPr>
        <w:footnoteReference w:id="10"/>
      </w:r>
    </w:p>
    <w:p w14:paraId="03B9C01E" w14:textId="77777777" w:rsidR="00E27A42" w:rsidRPr="002D0ACE" w:rsidRDefault="00E27A42" w:rsidP="00E16951">
      <w:pPr>
        <w:pStyle w:val="Prrafodelista"/>
        <w:spacing w:line="240" w:lineRule="auto"/>
        <w:ind w:left="0"/>
        <w:jc w:val="both"/>
        <w:rPr>
          <w:rFonts w:cs="Arial"/>
        </w:rPr>
      </w:pPr>
    </w:p>
    <w:p w14:paraId="58B2E9E1" w14:textId="2CE514D6" w:rsidR="00E10167" w:rsidRDefault="00DC3C13" w:rsidP="002D0ACE">
      <w:pPr>
        <w:pStyle w:val="Prrafodelista"/>
        <w:numPr>
          <w:ilvl w:val="0"/>
          <w:numId w:val="1"/>
        </w:numPr>
        <w:spacing w:line="240" w:lineRule="auto"/>
        <w:ind w:left="0" w:hanging="567"/>
        <w:jc w:val="both"/>
        <w:rPr>
          <w:rFonts w:cs="Arial"/>
        </w:rPr>
      </w:pPr>
      <w:r>
        <w:rPr>
          <w:rFonts w:cs="Arial"/>
        </w:rPr>
        <w:t>También la reclamante indica que la medida denunciada:</w:t>
      </w:r>
    </w:p>
    <w:p w14:paraId="6E34189D" w14:textId="77777777" w:rsidR="00DC3C13" w:rsidRPr="00DC3C13" w:rsidRDefault="00DC3C13" w:rsidP="00DC3C13">
      <w:pPr>
        <w:pStyle w:val="Prrafodelista"/>
        <w:rPr>
          <w:rFonts w:cs="Arial"/>
        </w:rPr>
      </w:pPr>
    </w:p>
    <w:p w14:paraId="4D8CD67F" w14:textId="77777777" w:rsidR="00E935B4" w:rsidRDefault="00DC3C13" w:rsidP="00E935B4">
      <w:pPr>
        <w:pStyle w:val="Prrafodelista"/>
        <w:numPr>
          <w:ilvl w:val="0"/>
          <w:numId w:val="40"/>
        </w:numPr>
        <w:spacing w:line="240" w:lineRule="auto"/>
        <w:ind w:left="709" w:hanging="76"/>
        <w:jc w:val="both"/>
        <w:rPr>
          <w:rFonts w:cs="Arial"/>
          <w:i/>
          <w:iCs/>
        </w:rPr>
      </w:pPr>
      <w:r w:rsidRPr="004447DE">
        <w:rPr>
          <w:rFonts w:cs="Arial"/>
          <w:i/>
          <w:iCs/>
        </w:rPr>
        <w:t>“No se ha regido por los principios de transparencia, afectando el derecho de las Reclamantes a conocer previamente y comentar el reglamento técnico, por lo cual incumple el Artículo 5 de la Decisión 827 y el Artículo 11 de la Decisión 850;</w:t>
      </w:r>
    </w:p>
    <w:p w14:paraId="0D36257C" w14:textId="6008D2D3" w:rsidR="00DC3C13" w:rsidRPr="00E935B4" w:rsidRDefault="00DC3C13" w:rsidP="00E935B4">
      <w:pPr>
        <w:pStyle w:val="Prrafodelista"/>
        <w:numPr>
          <w:ilvl w:val="0"/>
          <w:numId w:val="40"/>
        </w:numPr>
        <w:spacing w:line="240" w:lineRule="auto"/>
        <w:ind w:left="709" w:hanging="76"/>
        <w:jc w:val="both"/>
        <w:rPr>
          <w:rFonts w:cs="Arial"/>
          <w:i/>
          <w:iCs/>
        </w:rPr>
      </w:pPr>
      <w:r w:rsidRPr="00E935B4">
        <w:rPr>
          <w:rFonts w:cs="Arial"/>
          <w:i/>
          <w:iCs/>
        </w:rPr>
        <w:t>Constituye una medida arbitraria y desproporcional que restringe el comercio de alimentos de las Reclamantes más de lo necesario al no contribuir materialmente a informar el contenido transgénico sin importar su incidencia y relevancia, por lo cual incumple el Artículo 6 de la Decisión 827 y el Artículo 7 de la Decisión 850;</w:t>
      </w:r>
    </w:p>
    <w:p w14:paraId="000B9EBA" w14:textId="3B4EDB2D" w:rsidR="00DC3C13" w:rsidRPr="004447DE" w:rsidRDefault="00DC3C13" w:rsidP="00E935B4">
      <w:pPr>
        <w:pStyle w:val="Prrafodelista"/>
        <w:numPr>
          <w:ilvl w:val="0"/>
          <w:numId w:val="40"/>
        </w:numPr>
        <w:spacing w:line="240" w:lineRule="auto"/>
        <w:ind w:left="709" w:hanging="76"/>
        <w:jc w:val="both"/>
        <w:rPr>
          <w:rFonts w:cs="Arial"/>
          <w:i/>
          <w:iCs/>
        </w:rPr>
      </w:pPr>
      <w:r w:rsidRPr="004447DE">
        <w:rPr>
          <w:rFonts w:cs="Arial"/>
          <w:i/>
          <w:iCs/>
        </w:rPr>
        <w:t>No está definida exclusivamente en función de las propiedades de uso u empleo de los productos a que hace referencia, por lo cual incumple el Artículo 7 de la Decisión 938 u el artículo 28 de4 la Decisión 850;</w:t>
      </w:r>
    </w:p>
    <w:p w14:paraId="3FF61C50" w14:textId="75A8845C" w:rsidR="00DC3C13" w:rsidRPr="004447DE" w:rsidRDefault="004447DE" w:rsidP="00E935B4">
      <w:pPr>
        <w:pStyle w:val="Prrafodelista"/>
        <w:numPr>
          <w:ilvl w:val="0"/>
          <w:numId w:val="40"/>
        </w:numPr>
        <w:spacing w:line="240" w:lineRule="auto"/>
        <w:ind w:left="709" w:hanging="76"/>
        <w:jc w:val="both"/>
        <w:rPr>
          <w:rFonts w:cs="Arial"/>
          <w:i/>
          <w:iCs/>
        </w:rPr>
      </w:pPr>
      <w:r w:rsidRPr="004447DE">
        <w:rPr>
          <w:rFonts w:cs="Arial"/>
          <w:i/>
          <w:iCs/>
        </w:rPr>
        <w:t xml:space="preserve">No ha sido elaborada en base a normas internacionales (Ej. Codex </w:t>
      </w:r>
      <w:proofErr w:type="spellStart"/>
      <w:r w:rsidRPr="004447DE">
        <w:rPr>
          <w:rFonts w:cs="Arial"/>
          <w:i/>
          <w:iCs/>
        </w:rPr>
        <w:t>Alimentarius</w:t>
      </w:r>
      <w:proofErr w:type="spellEnd"/>
      <w:r w:rsidRPr="004447DE">
        <w:rPr>
          <w:rFonts w:cs="Arial"/>
          <w:i/>
          <w:iCs/>
        </w:rPr>
        <w:t>) o sus elementos pertinentes, o aquellas normas internacionales cuya aprobación sea inminente, por lo cual incumple el Artículo 8 de la Decisión 827 y el Artículo 10 de la Decisión 850;</w:t>
      </w:r>
    </w:p>
    <w:p w14:paraId="5CEABD9F" w14:textId="45A1B752" w:rsidR="004447DE" w:rsidRPr="004447DE" w:rsidRDefault="004447DE" w:rsidP="00E935B4">
      <w:pPr>
        <w:pStyle w:val="Prrafodelista"/>
        <w:numPr>
          <w:ilvl w:val="0"/>
          <w:numId w:val="40"/>
        </w:numPr>
        <w:spacing w:line="240" w:lineRule="auto"/>
        <w:ind w:left="709" w:hanging="76"/>
        <w:jc w:val="both"/>
        <w:rPr>
          <w:rFonts w:cs="Arial"/>
          <w:i/>
          <w:iCs/>
        </w:rPr>
      </w:pPr>
      <w:r w:rsidRPr="004447DE">
        <w:rPr>
          <w:rFonts w:cs="Arial"/>
          <w:i/>
          <w:iCs/>
        </w:rPr>
        <w:t>No contiene un objeto claro, campo de aplicación, definiciones, requisitos, referencias normativas, y demás condiciones previstas en el Artículo 10 de la Decisión 827.</w:t>
      </w:r>
    </w:p>
    <w:p w14:paraId="68028EF7" w14:textId="7CDF9D5C" w:rsidR="004447DE" w:rsidRPr="004447DE" w:rsidRDefault="004447DE" w:rsidP="00E935B4">
      <w:pPr>
        <w:pStyle w:val="Prrafodelista"/>
        <w:numPr>
          <w:ilvl w:val="0"/>
          <w:numId w:val="40"/>
        </w:numPr>
        <w:spacing w:line="240" w:lineRule="auto"/>
        <w:ind w:left="709" w:hanging="76"/>
        <w:jc w:val="both"/>
        <w:rPr>
          <w:rFonts w:cs="Arial"/>
          <w:i/>
          <w:iCs/>
        </w:rPr>
      </w:pPr>
      <w:r w:rsidRPr="004447DE">
        <w:rPr>
          <w:rFonts w:cs="Arial"/>
          <w:i/>
          <w:iCs/>
        </w:rPr>
        <w:t>No observa que el Perú no cuenta con organismos de evaluación de la conformidad acreditados o designados, o con los mecanismos necesarios que permitan verificar su cumplimiento. Por lo cual incumple el Artículo 9 de la Decisión 827 y el Artículo 25 de la Decisión 850.”</w:t>
      </w:r>
      <w:r>
        <w:rPr>
          <w:rStyle w:val="Refdenotaalpie"/>
          <w:rFonts w:cs="Arial"/>
          <w:i/>
          <w:iCs/>
        </w:rPr>
        <w:footnoteReference w:id="11"/>
      </w:r>
    </w:p>
    <w:p w14:paraId="6928145E" w14:textId="77777777" w:rsidR="00E27A42" w:rsidRPr="002D0ACE" w:rsidRDefault="00E27A42" w:rsidP="00E16951">
      <w:pPr>
        <w:pStyle w:val="Prrafodelista"/>
        <w:spacing w:line="240" w:lineRule="auto"/>
        <w:ind w:left="708"/>
        <w:jc w:val="both"/>
        <w:rPr>
          <w:rFonts w:cs="Arial"/>
        </w:rPr>
      </w:pPr>
    </w:p>
    <w:p w14:paraId="5FE77A3C" w14:textId="27E9EE04" w:rsidR="00E27A42" w:rsidRPr="002D0ACE" w:rsidRDefault="00706CF0" w:rsidP="002D0ACE">
      <w:pPr>
        <w:pStyle w:val="Prrafodelista"/>
        <w:numPr>
          <w:ilvl w:val="0"/>
          <w:numId w:val="1"/>
        </w:numPr>
        <w:spacing w:line="240" w:lineRule="auto"/>
        <w:ind w:left="0" w:hanging="567"/>
        <w:jc w:val="both"/>
        <w:rPr>
          <w:rFonts w:cs="Arial"/>
        </w:rPr>
      </w:pPr>
      <w:r>
        <w:rPr>
          <w:rFonts w:cs="Arial"/>
        </w:rPr>
        <w:t xml:space="preserve">De igual manera, expresan que, </w:t>
      </w:r>
      <w:r w:rsidRPr="00982F70">
        <w:rPr>
          <w:rFonts w:cs="Arial"/>
          <w:i/>
          <w:iCs/>
        </w:rPr>
        <w:t xml:space="preserve">“… las reclamantes no tienen forma de conocer de qué manera deben realizar una correcta declaración de OGM en sus etiquetas (debido que el </w:t>
      </w:r>
      <w:r w:rsidRPr="00982F70">
        <w:rPr>
          <w:rFonts w:cs="Arial"/>
          <w:i/>
          <w:iCs/>
        </w:rPr>
        <w:lastRenderedPageBreak/>
        <w:t>Artículo 37 no se ha emitido conforme a la Decisión 827 y Decisiones vinculadas), según reciente Carta del Presidente del INDECOPI del 01 de julio de 2022 y de los Oficios e Informe 118, todas las empresas (incluyendo a las reclamantes) vana a poder ser fiscalizadas y sancionada en base a dicha norma interna a pesar que ésta incumple el ordenamiento comunitario (Decisiones 827 y 850).”</w:t>
      </w:r>
      <w:r>
        <w:rPr>
          <w:rStyle w:val="Refdenotaalpie"/>
          <w:rFonts w:cs="Arial"/>
        </w:rPr>
        <w:footnoteReference w:id="12"/>
      </w:r>
    </w:p>
    <w:p w14:paraId="0E40BFA8" w14:textId="77777777" w:rsidR="00E23448" w:rsidRPr="002D0ACE" w:rsidRDefault="00E23448" w:rsidP="002D0ACE">
      <w:pPr>
        <w:pStyle w:val="Prrafodelista"/>
        <w:spacing w:line="240" w:lineRule="auto"/>
        <w:ind w:left="0" w:hanging="567"/>
        <w:jc w:val="both"/>
        <w:rPr>
          <w:rFonts w:cs="Arial"/>
        </w:rPr>
      </w:pPr>
    </w:p>
    <w:p w14:paraId="62D33535" w14:textId="059C1B5D" w:rsidR="00E23448" w:rsidRDefault="00823CF4" w:rsidP="002D0ACE">
      <w:pPr>
        <w:pStyle w:val="Prrafodelista"/>
        <w:numPr>
          <w:ilvl w:val="0"/>
          <w:numId w:val="1"/>
        </w:numPr>
        <w:spacing w:line="240" w:lineRule="auto"/>
        <w:ind w:left="0" w:hanging="567"/>
        <w:jc w:val="both"/>
        <w:rPr>
          <w:rFonts w:cs="Arial"/>
        </w:rPr>
      </w:pPr>
      <w:r>
        <w:rPr>
          <w:rFonts w:cs="Arial"/>
        </w:rPr>
        <w:t xml:space="preserve">Respecto a la reclamante (Señora Susana Esperanza Ruiz Chang) el escrito de reclamo señala que, tampoco podrá </w:t>
      </w:r>
      <w:r w:rsidRPr="00823CF4">
        <w:rPr>
          <w:rFonts w:cs="Arial"/>
          <w:i/>
          <w:iCs/>
        </w:rPr>
        <w:t>“… continuar con la comercialización de los Productos en la medida que éstos podrían verse afectados por la medida Denunciada y dejar de ser fabricados o importados a territorio peruano debido a la falta de un reglamento técnico específico que indique en qué condiciones debe etiquetarse los Productos respecto a sus componentes OGM.”</w:t>
      </w:r>
      <w:r>
        <w:rPr>
          <w:rStyle w:val="Refdenotaalpie"/>
          <w:rFonts w:cs="Arial"/>
        </w:rPr>
        <w:footnoteReference w:id="13"/>
      </w:r>
    </w:p>
    <w:p w14:paraId="021C932A" w14:textId="77777777" w:rsidR="00982F70" w:rsidRPr="00982F70" w:rsidRDefault="00982F70" w:rsidP="00982F70">
      <w:pPr>
        <w:pStyle w:val="Prrafodelista"/>
        <w:rPr>
          <w:rFonts w:cs="Arial"/>
        </w:rPr>
      </w:pPr>
    </w:p>
    <w:p w14:paraId="09078F99" w14:textId="5812CD3B" w:rsidR="00982F70" w:rsidRDefault="00E204D8" w:rsidP="002D0ACE">
      <w:pPr>
        <w:pStyle w:val="Prrafodelista"/>
        <w:numPr>
          <w:ilvl w:val="0"/>
          <w:numId w:val="1"/>
        </w:numPr>
        <w:spacing w:line="240" w:lineRule="auto"/>
        <w:ind w:left="0" w:hanging="567"/>
        <w:jc w:val="both"/>
        <w:rPr>
          <w:rFonts w:cs="Arial"/>
        </w:rPr>
      </w:pPr>
      <w:r>
        <w:rPr>
          <w:rFonts w:cs="Arial"/>
        </w:rPr>
        <w:t>Sobre el artículo 37 del Código, la reclamante</w:t>
      </w:r>
      <w:r>
        <w:rPr>
          <w:rStyle w:val="Refdenotaalpie"/>
          <w:rFonts w:cs="Arial"/>
        </w:rPr>
        <w:footnoteReference w:id="14"/>
      </w:r>
      <w:r>
        <w:rPr>
          <w:rFonts w:cs="Arial"/>
        </w:rPr>
        <w:t xml:space="preserve"> considera que:</w:t>
      </w:r>
    </w:p>
    <w:p w14:paraId="195A1AE7" w14:textId="77777777" w:rsidR="00E204D8" w:rsidRPr="00E204D8" w:rsidRDefault="00E204D8" w:rsidP="00E204D8">
      <w:pPr>
        <w:pStyle w:val="Prrafodelista"/>
        <w:rPr>
          <w:rFonts w:cs="Arial"/>
        </w:rPr>
      </w:pPr>
    </w:p>
    <w:p w14:paraId="01118CFB" w14:textId="461A6896" w:rsidR="00E204D8" w:rsidRDefault="00E204D8" w:rsidP="00E204D8">
      <w:pPr>
        <w:pStyle w:val="Prrafodelista"/>
        <w:numPr>
          <w:ilvl w:val="0"/>
          <w:numId w:val="41"/>
        </w:numPr>
        <w:spacing w:line="240" w:lineRule="auto"/>
        <w:jc w:val="both"/>
        <w:rPr>
          <w:rFonts w:cs="Arial"/>
        </w:rPr>
      </w:pPr>
      <w:r>
        <w:rPr>
          <w:rFonts w:cs="Arial"/>
        </w:rPr>
        <w:t>siempre fue intención del legislador que se emita un reglamento sobre la obligación de consignar en la etiqueta si el producto contiene transgénicos; y,</w:t>
      </w:r>
    </w:p>
    <w:p w14:paraId="13EDD78A" w14:textId="69CF05B2" w:rsidR="00E204D8" w:rsidRDefault="00E204D8" w:rsidP="00E204D8">
      <w:pPr>
        <w:pStyle w:val="Prrafodelista"/>
        <w:numPr>
          <w:ilvl w:val="0"/>
          <w:numId w:val="41"/>
        </w:numPr>
        <w:spacing w:line="240" w:lineRule="auto"/>
        <w:jc w:val="both"/>
        <w:rPr>
          <w:rFonts w:cs="Arial"/>
        </w:rPr>
      </w:pPr>
      <w:r>
        <w:rPr>
          <w:rFonts w:cs="Arial"/>
        </w:rPr>
        <w:t>Qu este reglamento debe estar alineado a la entrada en vigencia de la exigencia de dicho artículo.</w:t>
      </w:r>
    </w:p>
    <w:p w14:paraId="161FF973" w14:textId="4E38BB48" w:rsidR="002F29B7" w:rsidRPr="002A07F9" w:rsidRDefault="000146A4" w:rsidP="000146A4">
      <w:pPr>
        <w:jc w:val="both"/>
        <w:rPr>
          <w:rFonts w:cs="Arial"/>
          <w:u w:val="single"/>
        </w:rPr>
      </w:pPr>
      <w:r w:rsidRPr="002A07F9">
        <w:rPr>
          <w:rFonts w:cs="Arial"/>
          <w:u w:val="single"/>
        </w:rPr>
        <w:t>Cuestión previa. La denuncia no versa sobre la obligatoriedad de etiquetar componentes con organismos genéticamente modificados, sino a la obligación de la República del Perú de emitir un reglamento técnico conforme a la Decisión 827 y 850</w:t>
      </w:r>
    </w:p>
    <w:p w14:paraId="19CDDBC1" w14:textId="03C906C5" w:rsidR="002F29B7" w:rsidRPr="000146A4" w:rsidRDefault="000146A4" w:rsidP="002D0ACE">
      <w:pPr>
        <w:pStyle w:val="Prrafodelista"/>
        <w:numPr>
          <w:ilvl w:val="0"/>
          <w:numId w:val="1"/>
        </w:numPr>
        <w:spacing w:line="240" w:lineRule="auto"/>
        <w:ind w:left="0" w:hanging="567"/>
        <w:jc w:val="both"/>
        <w:rPr>
          <w:rFonts w:cs="Arial"/>
        </w:rPr>
      </w:pPr>
      <w:r>
        <w:rPr>
          <w:rFonts w:cs="Arial"/>
        </w:rPr>
        <w:t xml:space="preserve">La reclamante, conforme el artículo 37 del código, señala que la </w:t>
      </w:r>
      <w:r w:rsidRPr="00E95B1C">
        <w:rPr>
          <w:rFonts w:cs="Arial"/>
          <w:i/>
          <w:iCs/>
        </w:rPr>
        <w:t>“… necesidad de que los consumidores se informen sobre el contenido de transgénicos, nunca ha sido un aspecto que haya sido cuestionado</w:t>
      </w:r>
      <w:r w:rsidR="008C5731">
        <w:rPr>
          <w:rFonts w:cs="Arial"/>
          <w:i/>
          <w:iCs/>
        </w:rPr>
        <w:t>,</w:t>
      </w:r>
      <w:r w:rsidRPr="00E95B1C">
        <w:rPr>
          <w:rFonts w:cs="Arial"/>
          <w:i/>
          <w:iCs/>
        </w:rPr>
        <w:t>”</w:t>
      </w:r>
      <w:r>
        <w:rPr>
          <w:rStyle w:val="Refdenotaalpie"/>
          <w:rFonts w:cs="Arial"/>
        </w:rPr>
        <w:footnoteReference w:id="15"/>
      </w:r>
      <w:r w:rsidR="008C5731">
        <w:rPr>
          <w:rFonts w:cs="Arial"/>
        </w:rPr>
        <w:t xml:space="preserve"> y continúa indicando que </w:t>
      </w:r>
      <w:r w:rsidR="008C5731" w:rsidRPr="00AD6B00">
        <w:rPr>
          <w:rFonts w:cs="Arial"/>
          <w:i/>
          <w:iCs/>
        </w:rPr>
        <w:t>“… siempre fue una preocupación la forma cómo debía aplicarse esta disposición…”</w:t>
      </w:r>
      <w:r w:rsidR="008C5731">
        <w:rPr>
          <w:rStyle w:val="Refdenotaalpie"/>
          <w:rFonts w:cs="Arial"/>
        </w:rPr>
        <w:footnoteReference w:id="16"/>
      </w:r>
    </w:p>
    <w:p w14:paraId="15A287E9" w14:textId="7A76C34C" w:rsidR="00E23448" w:rsidRDefault="00E23448" w:rsidP="00E16951">
      <w:pPr>
        <w:pStyle w:val="Prrafodelista"/>
        <w:spacing w:line="240" w:lineRule="auto"/>
        <w:ind w:left="0"/>
        <w:jc w:val="both"/>
        <w:rPr>
          <w:rFonts w:cs="Arial"/>
        </w:rPr>
      </w:pPr>
    </w:p>
    <w:p w14:paraId="392F2ADA" w14:textId="40F9EFF2" w:rsidR="005B6892" w:rsidRPr="005B6892" w:rsidRDefault="005B6892" w:rsidP="00E16951">
      <w:pPr>
        <w:pStyle w:val="Prrafodelista"/>
        <w:spacing w:line="240" w:lineRule="auto"/>
        <w:ind w:left="0"/>
        <w:jc w:val="both"/>
        <w:rPr>
          <w:rFonts w:cs="Arial"/>
          <w:u w:val="single"/>
        </w:rPr>
      </w:pPr>
      <w:r w:rsidRPr="005B6892">
        <w:rPr>
          <w:rFonts w:cs="Arial"/>
          <w:u w:val="single"/>
        </w:rPr>
        <w:t>La República del Perú ha elaborado, adoptado e implementado un Reglamento Técnico no conforme con las disposiciones de las Decisiones 827 y 850</w:t>
      </w:r>
    </w:p>
    <w:p w14:paraId="4AF4EF37" w14:textId="77777777" w:rsidR="005B6892" w:rsidRPr="000146A4" w:rsidRDefault="005B6892" w:rsidP="00E16951">
      <w:pPr>
        <w:pStyle w:val="Prrafodelista"/>
        <w:spacing w:line="240" w:lineRule="auto"/>
        <w:ind w:left="0"/>
        <w:jc w:val="both"/>
        <w:rPr>
          <w:rFonts w:cs="Arial"/>
        </w:rPr>
      </w:pPr>
    </w:p>
    <w:p w14:paraId="59839755" w14:textId="111179F5" w:rsidR="00B446F7" w:rsidRPr="002D0ACE" w:rsidRDefault="0063540C" w:rsidP="002D0ACE">
      <w:pPr>
        <w:pStyle w:val="Prrafodelista"/>
        <w:numPr>
          <w:ilvl w:val="0"/>
          <w:numId w:val="1"/>
        </w:numPr>
        <w:spacing w:line="240" w:lineRule="auto"/>
        <w:ind w:left="0" w:hanging="567"/>
        <w:jc w:val="both"/>
        <w:rPr>
          <w:rFonts w:cs="Arial"/>
        </w:rPr>
      </w:pPr>
      <w:r w:rsidRPr="002D0ACE">
        <w:rPr>
          <w:rFonts w:cs="Arial"/>
        </w:rPr>
        <w:t xml:space="preserve">La reclamante argumenta en su escrito que </w:t>
      </w:r>
      <w:r w:rsidR="005B6892">
        <w:rPr>
          <w:rFonts w:cs="Arial"/>
        </w:rPr>
        <w:t xml:space="preserve">la República del Perú, </w:t>
      </w:r>
      <w:r w:rsidR="005B6892" w:rsidRPr="005B6892">
        <w:rPr>
          <w:rFonts w:cs="Arial"/>
          <w:i/>
          <w:iCs/>
        </w:rPr>
        <w:t>“… la haber expedido el Artículo 37 del Código sobre etiquetado de OGM o componentes transgénicos en alimentos junto con la publicación de las Resoluciones, el oficio, el Oficio Múltiple, el Informe 118 y la Carta ha incumplido, de manera objetiva y flagrante, con diversos artículos de las Decisiones 827 y 850, además de lo dispuesto en el artículo 4 del Tratado.”</w:t>
      </w:r>
      <w:r w:rsidR="005B6892">
        <w:rPr>
          <w:rStyle w:val="Refdenotaalpie"/>
          <w:rFonts w:cs="Arial"/>
        </w:rPr>
        <w:footnoteReference w:id="17"/>
      </w:r>
    </w:p>
    <w:p w14:paraId="6463E08E" w14:textId="77777777" w:rsidR="00443FF6" w:rsidRPr="002D0ACE" w:rsidRDefault="00443FF6" w:rsidP="002D0ACE">
      <w:pPr>
        <w:pStyle w:val="Prrafodelista"/>
        <w:spacing w:line="240" w:lineRule="auto"/>
        <w:ind w:left="0" w:hanging="567"/>
        <w:jc w:val="both"/>
        <w:rPr>
          <w:rFonts w:cs="Arial"/>
        </w:rPr>
      </w:pPr>
    </w:p>
    <w:p w14:paraId="4D559002" w14:textId="08FBA124" w:rsidR="00AF1D7A" w:rsidRPr="002D0ACE" w:rsidRDefault="002B63F5" w:rsidP="002D0ACE">
      <w:pPr>
        <w:pStyle w:val="Prrafodelista"/>
        <w:numPr>
          <w:ilvl w:val="0"/>
          <w:numId w:val="1"/>
        </w:numPr>
        <w:spacing w:line="240" w:lineRule="auto"/>
        <w:ind w:left="0" w:hanging="567"/>
        <w:jc w:val="both"/>
        <w:rPr>
          <w:rFonts w:cs="Arial"/>
        </w:rPr>
      </w:pPr>
      <w:r>
        <w:rPr>
          <w:rFonts w:cs="Arial"/>
        </w:rPr>
        <w:t>Asimismo, la</w:t>
      </w:r>
      <w:r w:rsidR="00AF1D7A" w:rsidRPr="002D0ACE">
        <w:rPr>
          <w:rFonts w:cs="Arial"/>
        </w:rPr>
        <w:t xml:space="preserve"> reclamante </w:t>
      </w:r>
      <w:r>
        <w:rPr>
          <w:rFonts w:cs="Arial"/>
        </w:rPr>
        <w:t xml:space="preserve">manifiesta que la medida denunciada </w:t>
      </w:r>
      <w:r w:rsidRPr="004D74F4">
        <w:rPr>
          <w:rFonts w:cs="Arial"/>
          <w:i/>
          <w:iCs/>
        </w:rPr>
        <w:t>“… cumple con las tres características para ser considerada reglamento técnico en el marco de la Comunidad Andina…”</w:t>
      </w:r>
      <w:r>
        <w:rPr>
          <w:rStyle w:val="Refdenotaalpie"/>
          <w:rFonts w:cs="Arial"/>
        </w:rPr>
        <w:footnoteReference w:id="18"/>
      </w:r>
      <w:r w:rsidR="00AF1D7A" w:rsidRPr="002D0ACE">
        <w:rPr>
          <w:rFonts w:cs="Arial"/>
        </w:rPr>
        <w:t xml:space="preserve"> </w:t>
      </w:r>
      <w:r w:rsidR="001C01FC">
        <w:rPr>
          <w:rFonts w:cs="Arial"/>
        </w:rPr>
        <w:t>y más adelante indica que la medida denunciada es un reglamento técnico</w:t>
      </w:r>
      <w:r w:rsidR="001C01FC">
        <w:rPr>
          <w:rStyle w:val="Refdenotaalpie"/>
          <w:rFonts w:cs="Arial"/>
        </w:rPr>
        <w:footnoteReference w:id="19"/>
      </w:r>
      <w:r w:rsidR="001C01FC">
        <w:rPr>
          <w:rFonts w:cs="Arial"/>
        </w:rPr>
        <w:t>.</w:t>
      </w:r>
    </w:p>
    <w:p w14:paraId="6D0978E9" w14:textId="5D852F8D" w:rsidR="00443FF6" w:rsidRDefault="00443FF6" w:rsidP="00E16951">
      <w:pPr>
        <w:pStyle w:val="Prrafodelista"/>
        <w:spacing w:line="240" w:lineRule="auto"/>
        <w:ind w:left="0"/>
        <w:jc w:val="both"/>
        <w:rPr>
          <w:rFonts w:cs="Arial"/>
        </w:rPr>
      </w:pPr>
    </w:p>
    <w:p w14:paraId="597E1AB9" w14:textId="4501A981" w:rsidR="000405A9" w:rsidRPr="000405A9" w:rsidRDefault="000405A9" w:rsidP="00E16951">
      <w:pPr>
        <w:pStyle w:val="Prrafodelista"/>
        <w:spacing w:line="240" w:lineRule="auto"/>
        <w:ind w:left="0"/>
        <w:jc w:val="both"/>
        <w:rPr>
          <w:rFonts w:cs="Arial"/>
          <w:u w:val="single"/>
        </w:rPr>
      </w:pPr>
      <w:r w:rsidRPr="000405A9">
        <w:rPr>
          <w:rFonts w:cs="Arial"/>
          <w:u w:val="single"/>
        </w:rPr>
        <w:t xml:space="preserve">La República del Perú al elaborar, adoptar y aplicar </w:t>
      </w:r>
      <w:r w:rsidR="00D86569" w:rsidRPr="000405A9">
        <w:rPr>
          <w:rFonts w:cs="Arial"/>
          <w:u w:val="single"/>
        </w:rPr>
        <w:t>el etiquetado</w:t>
      </w:r>
      <w:r w:rsidRPr="000405A9">
        <w:rPr>
          <w:rFonts w:cs="Arial"/>
          <w:u w:val="single"/>
        </w:rPr>
        <w:t xml:space="preserve"> de OGM o compuestos transgénicos ha impuesto un obstáculo innecesario al comercio, incumpliendo con los artículos 1, 2, 3, 4 ,5, 6, 7 y 10 </w:t>
      </w:r>
      <w:r w:rsidR="004C5E2F" w:rsidRPr="000405A9">
        <w:rPr>
          <w:rFonts w:cs="Arial"/>
          <w:u w:val="single"/>
        </w:rPr>
        <w:t>de la</w:t>
      </w:r>
      <w:r w:rsidRPr="000405A9">
        <w:rPr>
          <w:rFonts w:cs="Arial"/>
          <w:u w:val="single"/>
        </w:rPr>
        <w:t xml:space="preserve"> Decisión 827 y los artículos 7 y 11 de la Decisión 850</w:t>
      </w:r>
    </w:p>
    <w:p w14:paraId="449B4EF5" w14:textId="77777777" w:rsidR="000405A9" w:rsidRPr="002D0ACE" w:rsidRDefault="000405A9" w:rsidP="00E16951">
      <w:pPr>
        <w:pStyle w:val="Prrafodelista"/>
        <w:spacing w:line="240" w:lineRule="auto"/>
        <w:ind w:left="0"/>
        <w:jc w:val="both"/>
        <w:rPr>
          <w:rFonts w:cs="Arial"/>
        </w:rPr>
      </w:pPr>
    </w:p>
    <w:p w14:paraId="29532335" w14:textId="4C85D362" w:rsidR="008C5731" w:rsidRPr="002D0ACE" w:rsidRDefault="00A37415" w:rsidP="008C5731">
      <w:pPr>
        <w:pStyle w:val="Prrafodelista"/>
        <w:numPr>
          <w:ilvl w:val="0"/>
          <w:numId w:val="1"/>
        </w:numPr>
        <w:spacing w:line="240" w:lineRule="auto"/>
        <w:ind w:left="0" w:hanging="567"/>
        <w:jc w:val="both"/>
        <w:rPr>
          <w:rFonts w:cs="Arial"/>
          <w:b/>
          <w:bCs/>
          <w:i/>
          <w:iCs/>
          <w:u w:val="single"/>
        </w:rPr>
      </w:pPr>
      <w:r w:rsidRPr="002D0ACE">
        <w:rPr>
          <w:rFonts w:cs="Arial"/>
        </w:rPr>
        <w:t xml:space="preserve">La reclamante </w:t>
      </w:r>
      <w:r w:rsidR="00D86569">
        <w:rPr>
          <w:rFonts w:cs="Arial"/>
        </w:rPr>
        <w:t>señala</w:t>
      </w:r>
      <w:r w:rsidR="00D86569">
        <w:rPr>
          <w:rStyle w:val="Refdenotaalpie"/>
          <w:rFonts w:cs="Arial"/>
        </w:rPr>
        <w:footnoteReference w:id="20"/>
      </w:r>
      <w:r w:rsidR="00D86569">
        <w:rPr>
          <w:rFonts w:cs="Arial"/>
        </w:rPr>
        <w:t xml:space="preserve"> que el artículo </w:t>
      </w:r>
      <w:r w:rsidR="002A07F9">
        <w:rPr>
          <w:rFonts w:cs="Arial"/>
        </w:rPr>
        <w:t xml:space="preserve">1 </w:t>
      </w:r>
      <w:r w:rsidR="00D86569">
        <w:rPr>
          <w:rFonts w:cs="Arial"/>
        </w:rPr>
        <w:t>de la Decisión 827 tiene a fin evitar que se constituyan en obstáculos técnicos innecesarios al comercio</w:t>
      </w:r>
      <w:r w:rsidR="002C597D">
        <w:rPr>
          <w:rFonts w:cs="Arial"/>
        </w:rPr>
        <w:t>, también indica</w:t>
      </w:r>
      <w:r w:rsidR="002C597D">
        <w:rPr>
          <w:rStyle w:val="Refdenotaalpie"/>
          <w:rFonts w:cs="Arial"/>
        </w:rPr>
        <w:footnoteReference w:id="21"/>
      </w:r>
      <w:r w:rsidR="002C597D">
        <w:rPr>
          <w:rFonts w:cs="Arial"/>
        </w:rPr>
        <w:t xml:space="preserve"> que el artículo 5 dispone que los reglamentos técnicos no contravengan los principios de la Organización Mundial del Comercio</w:t>
      </w:r>
      <w:r w:rsidR="005B2AFC">
        <w:rPr>
          <w:rFonts w:cs="Arial"/>
        </w:rPr>
        <w:t xml:space="preserve">, </w:t>
      </w:r>
      <w:r w:rsidR="004638F4">
        <w:rPr>
          <w:rFonts w:cs="Arial"/>
        </w:rPr>
        <w:t xml:space="preserve">transcribe el artículo 6 (vinculado al artículo 7 de la Decisión 850), </w:t>
      </w:r>
      <w:r w:rsidR="005B2AFC">
        <w:rPr>
          <w:rFonts w:cs="Arial"/>
        </w:rPr>
        <w:t>resaltando también</w:t>
      </w:r>
      <w:r w:rsidR="005B2AFC">
        <w:rPr>
          <w:rStyle w:val="Refdenotaalpie"/>
          <w:rFonts w:cs="Arial"/>
        </w:rPr>
        <w:footnoteReference w:id="22"/>
      </w:r>
      <w:r w:rsidR="005B2AFC">
        <w:rPr>
          <w:rFonts w:cs="Arial"/>
        </w:rPr>
        <w:t xml:space="preserve"> el artículo 11 de la misma norma comunitaria, en el hecho de que no se contravengan los principios establecidos en el marco del Acuerdo sobre Obstáculos Técnicos de la Organización Mundial del Comercio.</w:t>
      </w:r>
    </w:p>
    <w:p w14:paraId="089F6C08" w14:textId="5EC6E3AF" w:rsidR="00266F39" w:rsidRPr="007910D5" w:rsidRDefault="007910D5" w:rsidP="00764A43">
      <w:pPr>
        <w:spacing w:line="240" w:lineRule="auto"/>
        <w:jc w:val="both"/>
        <w:rPr>
          <w:rFonts w:cs="Arial"/>
          <w:u w:val="single"/>
        </w:rPr>
      </w:pPr>
      <w:r w:rsidRPr="007910D5">
        <w:rPr>
          <w:rFonts w:cs="Arial"/>
          <w:u w:val="single"/>
        </w:rPr>
        <w:t>La República del Perú, al adoptar y aplicar la Medida Denunciada, no toma en consideración el contenido mínimo aplicable para los reglamentos Técnicos, vulnerando el artículo 10 de la Decisión 827</w:t>
      </w:r>
    </w:p>
    <w:p w14:paraId="1E73AC3E" w14:textId="3B1F425D" w:rsidR="00E35999" w:rsidRPr="002D0ACE" w:rsidRDefault="006E18C0" w:rsidP="002D0ACE">
      <w:pPr>
        <w:pStyle w:val="Prrafodelista"/>
        <w:numPr>
          <w:ilvl w:val="0"/>
          <w:numId w:val="1"/>
        </w:numPr>
        <w:spacing w:line="240" w:lineRule="auto"/>
        <w:ind w:left="0" w:hanging="567"/>
        <w:jc w:val="both"/>
        <w:rPr>
          <w:rFonts w:cs="Arial"/>
        </w:rPr>
      </w:pPr>
      <w:r>
        <w:rPr>
          <w:rFonts w:cs="Arial"/>
        </w:rPr>
        <w:t xml:space="preserve">La reclamante indica que </w:t>
      </w:r>
      <w:r w:rsidRPr="00775413">
        <w:rPr>
          <w:rFonts w:cs="Arial"/>
          <w:i/>
          <w:iCs/>
        </w:rPr>
        <w:t xml:space="preserve">“… tratándose del artículo 37 del Código, y a partir de la puesta en vigencia para el mercado por la emisión de las Resoluciones, el Oficio, el Oficio Múltiple, el Informe 118 y la Carta, podemos apreciar que pese a contar con todas las características que lo califican como Reglamento Técnico este </w:t>
      </w:r>
      <w:r w:rsidRPr="00775413">
        <w:rPr>
          <w:rFonts w:cs="Arial"/>
          <w:b/>
          <w:bCs/>
          <w:i/>
          <w:iCs/>
        </w:rPr>
        <w:t>no cumple con las exigencias previstas en el Artículo 10 de la Decisión 827.</w:t>
      </w:r>
      <w:r w:rsidRPr="00775413">
        <w:rPr>
          <w:rFonts w:cs="Arial"/>
          <w:i/>
          <w:iCs/>
        </w:rPr>
        <w:t>”</w:t>
      </w:r>
      <w:r>
        <w:rPr>
          <w:rStyle w:val="Refdenotaalpie"/>
          <w:rFonts w:cs="Arial"/>
        </w:rPr>
        <w:footnoteReference w:id="23"/>
      </w:r>
    </w:p>
    <w:p w14:paraId="0E6321F2" w14:textId="77777777" w:rsidR="00A44EC7" w:rsidRPr="002D0ACE" w:rsidRDefault="00A44EC7" w:rsidP="00E16951">
      <w:pPr>
        <w:pStyle w:val="Prrafodelista"/>
        <w:spacing w:line="240" w:lineRule="auto"/>
        <w:ind w:left="0"/>
        <w:jc w:val="both"/>
        <w:rPr>
          <w:rFonts w:cs="Arial"/>
        </w:rPr>
      </w:pPr>
    </w:p>
    <w:p w14:paraId="374D156F" w14:textId="55950D5A" w:rsidR="0082061E" w:rsidRPr="002D0ACE" w:rsidRDefault="00A75863" w:rsidP="002D0ACE">
      <w:pPr>
        <w:pStyle w:val="Prrafodelista"/>
        <w:numPr>
          <w:ilvl w:val="0"/>
          <w:numId w:val="1"/>
        </w:numPr>
        <w:spacing w:line="240" w:lineRule="auto"/>
        <w:ind w:left="0" w:hanging="567"/>
        <w:jc w:val="both"/>
        <w:rPr>
          <w:rFonts w:cs="Arial"/>
        </w:rPr>
      </w:pPr>
      <w:r>
        <w:rPr>
          <w:rFonts w:cs="Arial"/>
        </w:rPr>
        <w:t xml:space="preserve">También la reclamante manifiesta que se puede apreciar que la </w:t>
      </w:r>
      <w:r w:rsidRPr="00775413">
        <w:rPr>
          <w:rFonts w:cs="Arial"/>
          <w:i/>
          <w:iCs/>
        </w:rPr>
        <w:t>“… configuración de la medida Denunciada constituye per se un incumplimiento flagrante y objetivo al contenido de la Decisión 827, toda vez que deviene en reglamento Técnico vigente que no contiene los aspectos mandatorios indispensable que ha debido adoptar y aplicar conforme la normativa comunitaria vinculante.”</w:t>
      </w:r>
      <w:r>
        <w:rPr>
          <w:rStyle w:val="Refdenotaalpie"/>
          <w:rFonts w:cs="Arial"/>
        </w:rPr>
        <w:footnoteReference w:id="24"/>
      </w:r>
      <w:r w:rsidR="00E22371" w:rsidRPr="002D0ACE">
        <w:rPr>
          <w:rFonts w:cs="Arial"/>
        </w:rPr>
        <w:t xml:space="preserve"> </w:t>
      </w:r>
    </w:p>
    <w:p w14:paraId="425D6EAC" w14:textId="797F2A11" w:rsidR="0082061E" w:rsidRDefault="0082061E" w:rsidP="00E16951">
      <w:pPr>
        <w:pStyle w:val="Prrafodelista"/>
        <w:spacing w:line="240" w:lineRule="auto"/>
        <w:ind w:left="0"/>
        <w:jc w:val="both"/>
        <w:rPr>
          <w:rFonts w:cs="Arial"/>
        </w:rPr>
      </w:pPr>
    </w:p>
    <w:p w14:paraId="531B12BB" w14:textId="6A7DF92A" w:rsidR="0082061E" w:rsidRPr="00D909C1" w:rsidRDefault="00F6008E" w:rsidP="00F6008E">
      <w:pPr>
        <w:pStyle w:val="Prrafodelista"/>
        <w:spacing w:line="240" w:lineRule="auto"/>
        <w:ind w:left="0"/>
        <w:jc w:val="both"/>
        <w:rPr>
          <w:rFonts w:cs="Arial"/>
          <w:u w:val="single"/>
        </w:rPr>
      </w:pPr>
      <w:r w:rsidRPr="00D909C1">
        <w:rPr>
          <w:rFonts w:cs="Arial"/>
          <w:u w:val="single"/>
        </w:rPr>
        <w:t xml:space="preserve">La República del Perú, al elaborar, adoptar y aplicar el etiquetado de OGM o compuestos transgénicos sin aplicar estándares internacionales, como el Codex </w:t>
      </w:r>
      <w:proofErr w:type="spellStart"/>
      <w:r w:rsidRPr="00D909C1">
        <w:rPr>
          <w:rFonts w:cs="Arial"/>
          <w:u w:val="single"/>
        </w:rPr>
        <w:t>Alimentarius</w:t>
      </w:r>
      <w:proofErr w:type="spellEnd"/>
      <w:r w:rsidRPr="00D909C1">
        <w:rPr>
          <w:rFonts w:cs="Arial"/>
          <w:u w:val="single"/>
        </w:rPr>
        <w:t xml:space="preserve">, está incumpliendo el principio de armonización comprendido en </w:t>
      </w:r>
      <w:r w:rsidR="005C22DE">
        <w:rPr>
          <w:rFonts w:cs="Arial"/>
          <w:u w:val="single"/>
        </w:rPr>
        <w:t>l</w:t>
      </w:r>
      <w:r w:rsidRPr="00D909C1">
        <w:rPr>
          <w:rFonts w:cs="Arial"/>
          <w:u w:val="single"/>
        </w:rPr>
        <w:t>os artículos 5 y 8 de la Decisión 827 y el artículo 11 de la Decisión 850</w:t>
      </w:r>
    </w:p>
    <w:p w14:paraId="5C05593A" w14:textId="77777777" w:rsidR="0082061E" w:rsidRPr="002D0ACE" w:rsidRDefault="0082061E" w:rsidP="002D0ACE">
      <w:pPr>
        <w:pStyle w:val="Prrafodelista"/>
        <w:spacing w:line="240" w:lineRule="auto"/>
        <w:ind w:left="0" w:hanging="567"/>
        <w:jc w:val="both"/>
        <w:rPr>
          <w:rFonts w:cs="Arial"/>
        </w:rPr>
      </w:pPr>
    </w:p>
    <w:p w14:paraId="0D1B78BD" w14:textId="1FE6B205" w:rsidR="0082061E" w:rsidRDefault="00E46A91" w:rsidP="002D0ACE">
      <w:pPr>
        <w:pStyle w:val="Prrafodelista"/>
        <w:numPr>
          <w:ilvl w:val="0"/>
          <w:numId w:val="1"/>
        </w:numPr>
        <w:spacing w:line="240" w:lineRule="auto"/>
        <w:ind w:left="0" w:hanging="567"/>
        <w:jc w:val="both"/>
        <w:rPr>
          <w:rFonts w:cs="Arial"/>
        </w:rPr>
      </w:pPr>
      <w:r>
        <w:rPr>
          <w:rFonts w:cs="Arial"/>
        </w:rPr>
        <w:t>La</w:t>
      </w:r>
      <w:r w:rsidR="0082061E" w:rsidRPr="002D0ACE">
        <w:rPr>
          <w:rFonts w:cs="Arial"/>
        </w:rPr>
        <w:t xml:space="preserve"> reclamante </w:t>
      </w:r>
      <w:r>
        <w:rPr>
          <w:rFonts w:cs="Arial"/>
        </w:rPr>
        <w:t xml:space="preserve">entiende que la medida denunciada </w:t>
      </w:r>
      <w:r w:rsidRPr="00E46A91">
        <w:rPr>
          <w:rFonts w:cs="Arial"/>
          <w:i/>
          <w:iCs/>
        </w:rPr>
        <w:t>“… también vulnera el principio de armonización que debe regir para toda elaboración, adopción y aplicación de un reglamento Técnico”</w:t>
      </w:r>
      <w:r>
        <w:rPr>
          <w:rStyle w:val="Refdenotaalpie"/>
          <w:rFonts w:cs="Arial"/>
          <w:i/>
          <w:iCs/>
        </w:rPr>
        <w:footnoteReference w:id="25"/>
      </w:r>
      <w:r w:rsidR="003B08D7">
        <w:rPr>
          <w:rFonts w:cs="Arial"/>
          <w:i/>
          <w:iCs/>
        </w:rPr>
        <w:t xml:space="preserve">, </w:t>
      </w:r>
      <w:r w:rsidR="003B08D7" w:rsidRPr="003B08D7">
        <w:rPr>
          <w:rFonts w:cs="Arial"/>
        </w:rPr>
        <w:t>especificando las Decisiones 827 y 850</w:t>
      </w:r>
      <w:r w:rsidR="00310F75">
        <w:rPr>
          <w:rFonts w:cs="Arial"/>
        </w:rPr>
        <w:t xml:space="preserve"> como normas internacionales</w:t>
      </w:r>
      <w:r w:rsidR="003B08D7" w:rsidRPr="003B08D7">
        <w:rPr>
          <w:rFonts w:cs="Arial"/>
        </w:rPr>
        <w:t>.</w:t>
      </w:r>
    </w:p>
    <w:p w14:paraId="2523DBE4" w14:textId="1F8B2DC9" w:rsidR="00E46A91" w:rsidRDefault="00E46A91" w:rsidP="00310F75">
      <w:pPr>
        <w:pStyle w:val="Prrafodelista"/>
        <w:spacing w:line="240" w:lineRule="auto"/>
        <w:ind w:left="0"/>
        <w:jc w:val="both"/>
        <w:rPr>
          <w:rFonts w:cs="Arial"/>
        </w:rPr>
      </w:pPr>
    </w:p>
    <w:p w14:paraId="39683D7B" w14:textId="126E595B" w:rsidR="00AC3D72" w:rsidRPr="00AC3D72" w:rsidRDefault="00AC3D72" w:rsidP="00310F75">
      <w:pPr>
        <w:pStyle w:val="Prrafodelista"/>
        <w:spacing w:line="240" w:lineRule="auto"/>
        <w:ind w:left="0"/>
        <w:jc w:val="both"/>
        <w:rPr>
          <w:rFonts w:cs="Arial"/>
          <w:u w:val="single"/>
        </w:rPr>
      </w:pPr>
      <w:r w:rsidRPr="00AC3D72">
        <w:rPr>
          <w:rFonts w:cs="Arial"/>
          <w:u w:val="single"/>
        </w:rPr>
        <w:t>La República del Perú incumple con el artículo 9 de la decisión 827 y con el artículo 25 de la Decisión 850, al no contar con organismos de evaluación de la conformidad acreditados o designados, o con los mecanismos necesarios que permitan verificar el cumplimiento de las obligaciones de la Medida Denunciada</w:t>
      </w:r>
    </w:p>
    <w:p w14:paraId="355BD871" w14:textId="77777777" w:rsidR="00AC3D72" w:rsidRDefault="00AC3D72" w:rsidP="00310F75">
      <w:pPr>
        <w:pStyle w:val="Prrafodelista"/>
        <w:spacing w:line="240" w:lineRule="auto"/>
        <w:ind w:left="0"/>
        <w:jc w:val="both"/>
        <w:rPr>
          <w:rFonts w:cs="Arial"/>
        </w:rPr>
      </w:pPr>
    </w:p>
    <w:p w14:paraId="660D48EC" w14:textId="2E4AE70A" w:rsidR="00310F75" w:rsidRPr="00CB6006" w:rsidRDefault="00777E9C" w:rsidP="002D0ACE">
      <w:pPr>
        <w:pStyle w:val="Prrafodelista"/>
        <w:numPr>
          <w:ilvl w:val="0"/>
          <w:numId w:val="1"/>
        </w:numPr>
        <w:spacing w:line="240" w:lineRule="auto"/>
        <w:ind w:left="0" w:hanging="567"/>
        <w:jc w:val="both"/>
        <w:rPr>
          <w:rFonts w:cs="Arial"/>
        </w:rPr>
      </w:pPr>
      <w:r>
        <w:rPr>
          <w:rFonts w:cs="Arial"/>
        </w:rPr>
        <w:lastRenderedPageBreak/>
        <w:t>Seña</w:t>
      </w:r>
      <w:r w:rsidR="00D96BEF">
        <w:rPr>
          <w:rFonts w:cs="Arial"/>
        </w:rPr>
        <w:t>la</w:t>
      </w:r>
      <w:r>
        <w:rPr>
          <w:rFonts w:cs="Arial"/>
        </w:rPr>
        <w:t xml:space="preserve"> que hubo un incumplimiento flagrante los artículos señalados de las Decisión 827 y 850 </w:t>
      </w:r>
      <w:r w:rsidRPr="00777E9C">
        <w:rPr>
          <w:rFonts w:cs="Arial"/>
          <w:i/>
          <w:iCs/>
        </w:rPr>
        <w:t>“… al momento de emitir y aplicar a todo el mercado la Medida Denunciada sin contar con los organismos de evaluación de conformidad acreditados y designados.”</w:t>
      </w:r>
      <w:r>
        <w:rPr>
          <w:rStyle w:val="Refdenotaalpie"/>
          <w:rFonts w:cs="Arial"/>
          <w:i/>
          <w:iCs/>
        </w:rPr>
        <w:footnoteReference w:id="26"/>
      </w:r>
    </w:p>
    <w:p w14:paraId="044DAB90" w14:textId="7DB8B422" w:rsidR="00CB6006" w:rsidRDefault="00CB6006" w:rsidP="00CB6006">
      <w:pPr>
        <w:pStyle w:val="Prrafodelista"/>
        <w:spacing w:line="240" w:lineRule="auto"/>
        <w:ind w:left="0"/>
        <w:jc w:val="both"/>
        <w:rPr>
          <w:rFonts w:cs="Arial"/>
        </w:rPr>
      </w:pPr>
    </w:p>
    <w:p w14:paraId="31E366E7" w14:textId="4D92C3CC" w:rsidR="00CB6006" w:rsidRPr="00CB6006" w:rsidRDefault="00CB6006" w:rsidP="00CB6006">
      <w:pPr>
        <w:pStyle w:val="Prrafodelista"/>
        <w:spacing w:line="240" w:lineRule="auto"/>
        <w:ind w:left="0"/>
        <w:jc w:val="both"/>
        <w:rPr>
          <w:rFonts w:cs="Arial"/>
          <w:u w:val="single"/>
        </w:rPr>
      </w:pPr>
      <w:r w:rsidRPr="00CB6006">
        <w:rPr>
          <w:rFonts w:cs="Arial"/>
          <w:u w:val="single"/>
        </w:rPr>
        <w:t>La República del Perú incumple el principio de transparencia para reglamentos Técnicos regulado en los artículos 12, 13, 14 y 15 de la Decisión 827 y en el artículo 37 de la Decisión 850</w:t>
      </w:r>
    </w:p>
    <w:p w14:paraId="306B2DF2" w14:textId="3C787029" w:rsidR="00CB6006" w:rsidRDefault="00CB6006" w:rsidP="00CB6006">
      <w:pPr>
        <w:pStyle w:val="Prrafodelista"/>
        <w:spacing w:line="240" w:lineRule="auto"/>
        <w:ind w:left="0"/>
        <w:jc w:val="both"/>
        <w:rPr>
          <w:rFonts w:cs="Arial"/>
        </w:rPr>
      </w:pPr>
    </w:p>
    <w:p w14:paraId="430D0EF9" w14:textId="4548164C" w:rsidR="00CB6006" w:rsidRDefault="00A64775" w:rsidP="002D0ACE">
      <w:pPr>
        <w:pStyle w:val="Prrafodelista"/>
        <w:numPr>
          <w:ilvl w:val="0"/>
          <w:numId w:val="1"/>
        </w:numPr>
        <w:spacing w:line="240" w:lineRule="auto"/>
        <w:ind w:left="0" w:hanging="567"/>
        <w:jc w:val="both"/>
        <w:rPr>
          <w:rFonts w:cs="Arial"/>
        </w:rPr>
      </w:pPr>
      <w:r>
        <w:rPr>
          <w:rFonts w:cs="Arial"/>
        </w:rPr>
        <w:t xml:space="preserve">Establece que la medida denunciada debió cumplir con los lineamientos establecidos en los </w:t>
      </w:r>
      <w:r w:rsidR="00F54AB2">
        <w:rPr>
          <w:rFonts w:cs="Arial"/>
        </w:rPr>
        <w:t>mencionados artículos y normas comunitarias, de notificar y publicar con las formalidades los proyectos de reglamentos técnicos</w:t>
      </w:r>
      <w:r w:rsidR="00F54AB2">
        <w:rPr>
          <w:rStyle w:val="Refdenotaalpie"/>
          <w:rFonts w:cs="Arial"/>
        </w:rPr>
        <w:footnoteReference w:id="27"/>
      </w:r>
      <w:r w:rsidR="00F54AB2">
        <w:rPr>
          <w:rFonts w:cs="Arial"/>
        </w:rPr>
        <w:t>.</w:t>
      </w:r>
    </w:p>
    <w:p w14:paraId="798C2890" w14:textId="6AA7D807" w:rsidR="008A7B48" w:rsidRDefault="008A7B48" w:rsidP="008A7B48">
      <w:pPr>
        <w:pStyle w:val="Prrafodelista"/>
        <w:spacing w:line="240" w:lineRule="auto"/>
        <w:ind w:left="0"/>
        <w:jc w:val="both"/>
        <w:rPr>
          <w:rFonts w:cs="Arial"/>
        </w:rPr>
      </w:pPr>
    </w:p>
    <w:p w14:paraId="44177B01" w14:textId="5F44AD99" w:rsidR="008A7B48" w:rsidRPr="008A7B48" w:rsidRDefault="008A7B48" w:rsidP="008A7B48">
      <w:pPr>
        <w:pStyle w:val="Prrafodelista"/>
        <w:spacing w:line="240" w:lineRule="auto"/>
        <w:ind w:left="0"/>
        <w:jc w:val="both"/>
        <w:rPr>
          <w:rFonts w:cs="Arial"/>
          <w:u w:val="single"/>
        </w:rPr>
      </w:pPr>
      <w:r w:rsidRPr="008A7B48">
        <w:rPr>
          <w:rFonts w:cs="Arial"/>
          <w:u w:val="single"/>
        </w:rPr>
        <w:t>La vulneración de lineamientos obligatorios establecidos en las Decisiones 827 y 850 generan afectación en los reclamantes</w:t>
      </w:r>
    </w:p>
    <w:p w14:paraId="4E89DAC0" w14:textId="77777777" w:rsidR="008A7B48" w:rsidRDefault="008A7B48" w:rsidP="008A7B48">
      <w:pPr>
        <w:pStyle w:val="Prrafodelista"/>
        <w:spacing w:line="240" w:lineRule="auto"/>
        <w:ind w:left="0"/>
        <w:jc w:val="both"/>
        <w:rPr>
          <w:rFonts w:cs="Arial"/>
        </w:rPr>
      </w:pPr>
    </w:p>
    <w:p w14:paraId="690C097D" w14:textId="710F22EC" w:rsidR="008A7B48" w:rsidRPr="009D1F1E" w:rsidRDefault="00E648F5" w:rsidP="002D0ACE">
      <w:pPr>
        <w:pStyle w:val="Prrafodelista"/>
        <w:numPr>
          <w:ilvl w:val="0"/>
          <w:numId w:val="1"/>
        </w:numPr>
        <w:spacing w:line="240" w:lineRule="auto"/>
        <w:ind w:left="0" w:hanging="567"/>
        <w:jc w:val="both"/>
        <w:rPr>
          <w:rFonts w:cs="Arial"/>
        </w:rPr>
      </w:pPr>
      <w:r>
        <w:rPr>
          <w:rFonts w:cs="Arial"/>
        </w:rPr>
        <w:t xml:space="preserve">Indican que la </w:t>
      </w:r>
      <w:r w:rsidRPr="00E648F5">
        <w:rPr>
          <w:rFonts w:cs="Arial"/>
          <w:i/>
          <w:iCs/>
        </w:rPr>
        <w:t>“… postura de la República del Perú en elaborar, adoptar e implementar un reglamento técnico como la Medida Denunciada (artículo 37 sin reglamento) los afecta y daña directamente…”</w:t>
      </w:r>
      <w:r>
        <w:rPr>
          <w:rStyle w:val="Refdenotaalpie"/>
          <w:rFonts w:cs="Arial"/>
          <w:i/>
          <w:iCs/>
        </w:rPr>
        <w:footnoteReference w:id="28"/>
      </w:r>
    </w:p>
    <w:p w14:paraId="6CBBB41D" w14:textId="7603DB28" w:rsidR="009D1F1E" w:rsidRDefault="009D1F1E" w:rsidP="009D1F1E">
      <w:pPr>
        <w:pStyle w:val="Prrafodelista"/>
        <w:spacing w:line="240" w:lineRule="auto"/>
        <w:ind w:left="0"/>
        <w:jc w:val="both"/>
        <w:rPr>
          <w:rFonts w:cs="Arial"/>
        </w:rPr>
      </w:pPr>
    </w:p>
    <w:p w14:paraId="0CFB97A1" w14:textId="49443F33" w:rsidR="009D1F1E" w:rsidRPr="009D1F1E" w:rsidRDefault="009D1F1E" w:rsidP="009D1F1E">
      <w:pPr>
        <w:pStyle w:val="Prrafodelista"/>
        <w:spacing w:line="240" w:lineRule="auto"/>
        <w:ind w:left="0"/>
        <w:jc w:val="both"/>
        <w:rPr>
          <w:rFonts w:cs="Arial"/>
          <w:u w:val="single"/>
        </w:rPr>
      </w:pPr>
      <w:r w:rsidRPr="009D1F1E">
        <w:rPr>
          <w:rFonts w:cs="Arial"/>
          <w:u w:val="single"/>
        </w:rPr>
        <w:t>La posición de la República del Perú al no elaborar, adoptar e implementar un Reglamento Técnico acorde a la Comunidad Andina es evidenciada por diversos órganos gubernamentales</w:t>
      </w:r>
    </w:p>
    <w:p w14:paraId="4629E5D2" w14:textId="77777777" w:rsidR="009D1F1E" w:rsidRPr="009D1F1E" w:rsidRDefault="009D1F1E" w:rsidP="009D1F1E">
      <w:pPr>
        <w:pStyle w:val="Prrafodelista"/>
        <w:spacing w:line="240" w:lineRule="auto"/>
        <w:ind w:left="0"/>
        <w:jc w:val="both"/>
        <w:rPr>
          <w:rFonts w:cs="Arial"/>
        </w:rPr>
      </w:pPr>
    </w:p>
    <w:p w14:paraId="502A38E4" w14:textId="77FEE2AE" w:rsidR="009D1F1E" w:rsidRPr="00AF0F5C" w:rsidRDefault="00065C90" w:rsidP="002D0ACE">
      <w:pPr>
        <w:pStyle w:val="Prrafodelista"/>
        <w:numPr>
          <w:ilvl w:val="0"/>
          <w:numId w:val="1"/>
        </w:numPr>
        <w:spacing w:line="240" w:lineRule="auto"/>
        <w:ind w:left="0" w:hanging="567"/>
        <w:jc w:val="both"/>
        <w:rPr>
          <w:rFonts w:cs="Arial"/>
        </w:rPr>
      </w:pPr>
      <w:r>
        <w:rPr>
          <w:rFonts w:cs="Arial"/>
        </w:rPr>
        <w:t xml:space="preserve">Al respecto, la reclamante adjunta en anexos al escrito, diversos informes de órganos públicos, en el que </w:t>
      </w:r>
      <w:r w:rsidRPr="00065C90">
        <w:rPr>
          <w:rFonts w:cs="Arial"/>
          <w:i/>
          <w:iCs/>
        </w:rPr>
        <w:t>“… Perú no está tomando en cuenta los lineamientos del ordenamiento andino…”</w:t>
      </w:r>
      <w:r>
        <w:rPr>
          <w:rStyle w:val="Refdenotaalpie"/>
          <w:rFonts w:cs="Arial"/>
          <w:i/>
          <w:iCs/>
        </w:rPr>
        <w:footnoteReference w:id="29"/>
      </w:r>
    </w:p>
    <w:p w14:paraId="084B1C72" w14:textId="795F3E3F" w:rsidR="00AF0F5C" w:rsidRDefault="00AF0F5C" w:rsidP="00AF0F5C">
      <w:pPr>
        <w:pStyle w:val="Prrafodelista"/>
        <w:spacing w:line="240" w:lineRule="auto"/>
        <w:ind w:left="0"/>
        <w:jc w:val="both"/>
        <w:rPr>
          <w:rFonts w:cs="Arial"/>
        </w:rPr>
      </w:pPr>
    </w:p>
    <w:p w14:paraId="55E3F644" w14:textId="1776F290" w:rsidR="00AF0F5C" w:rsidRPr="00AF0F5C" w:rsidRDefault="00AF0F5C" w:rsidP="00AF0F5C">
      <w:pPr>
        <w:pStyle w:val="Prrafodelista"/>
        <w:spacing w:line="240" w:lineRule="auto"/>
        <w:ind w:left="0"/>
        <w:jc w:val="both"/>
        <w:rPr>
          <w:rFonts w:cs="Arial"/>
          <w:u w:val="single"/>
        </w:rPr>
      </w:pPr>
      <w:r w:rsidRPr="00AF0F5C">
        <w:rPr>
          <w:rFonts w:cs="Arial"/>
          <w:u w:val="single"/>
        </w:rPr>
        <w:t xml:space="preserve">La Decisión 827, la Decisión 850 y el Tratado de Creación del </w:t>
      </w:r>
      <w:r w:rsidR="002A51C5">
        <w:rPr>
          <w:rFonts w:cs="Arial"/>
          <w:u w:val="single"/>
        </w:rPr>
        <w:t>T</w:t>
      </w:r>
      <w:r w:rsidRPr="00AF0F5C">
        <w:rPr>
          <w:rFonts w:cs="Arial"/>
          <w:u w:val="single"/>
        </w:rPr>
        <w:t xml:space="preserve">ribunal de </w:t>
      </w:r>
      <w:r w:rsidR="002A51C5">
        <w:rPr>
          <w:rFonts w:cs="Arial"/>
          <w:u w:val="single"/>
        </w:rPr>
        <w:t>J</w:t>
      </w:r>
      <w:r w:rsidRPr="00AF0F5C">
        <w:rPr>
          <w:rFonts w:cs="Arial"/>
          <w:u w:val="single"/>
        </w:rPr>
        <w:t>usticia de la Comunidad Andina son normas de aplicación directa por la República del Perú y se encuentran vigentes al momento de la pretendida aplicación del artículo 37 del Código</w:t>
      </w:r>
    </w:p>
    <w:p w14:paraId="00D37E2A" w14:textId="77777777" w:rsidR="00AF0F5C" w:rsidRPr="00AF0F5C" w:rsidRDefault="00AF0F5C" w:rsidP="00AF0F5C">
      <w:pPr>
        <w:pStyle w:val="Prrafodelista"/>
        <w:spacing w:line="240" w:lineRule="auto"/>
        <w:ind w:left="0"/>
        <w:jc w:val="both"/>
        <w:rPr>
          <w:rFonts w:cs="Arial"/>
        </w:rPr>
      </w:pPr>
    </w:p>
    <w:p w14:paraId="1BE29795" w14:textId="790EB8B0" w:rsidR="00AF0F5C" w:rsidRDefault="002B75B9" w:rsidP="002D0ACE">
      <w:pPr>
        <w:pStyle w:val="Prrafodelista"/>
        <w:numPr>
          <w:ilvl w:val="0"/>
          <w:numId w:val="1"/>
        </w:numPr>
        <w:spacing w:line="240" w:lineRule="auto"/>
        <w:ind w:left="0" w:hanging="567"/>
        <w:jc w:val="both"/>
        <w:rPr>
          <w:rFonts w:cs="Arial"/>
        </w:rPr>
      </w:pPr>
      <w:r>
        <w:rPr>
          <w:rFonts w:cs="Arial"/>
        </w:rPr>
        <w:t xml:space="preserve">Sostienen que </w:t>
      </w:r>
      <w:r w:rsidRPr="002B75B9">
        <w:rPr>
          <w:rFonts w:cs="Arial"/>
          <w:i/>
          <w:iCs/>
        </w:rPr>
        <w:t>“… sin perjuicio que el Artículo 37 del Código no había sido reglamentado conforme la Decisión 827, lo cierto es que la Carta del Presidente del INDECOPI del 01 de julio de 2022 ha activado la aplicación inmediata de dicha norma interna…”</w:t>
      </w:r>
      <w:r>
        <w:rPr>
          <w:rStyle w:val="Refdenotaalpie"/>
          <w:rFonts w:cs="Arial"/>
          <w:i/>
          <w:iCs/>
        </w:rPr>
        <w:footnoteReference w:id="30"/>
      </w:r>
    </w:p>
    <w:p w14:paraId="0C193728" w14:textId="432F3DE1" w:rsidR="002B75B9" w:rsidRDefault="002B75B9" w:rsidP="002B75B9">
      <w:pPr>
        <w:pStyle w:val="Prrafodelista"/>
        <w:spacing w:line="240" w:lineRule="auto"/>
        <w:ind w:left="0"/>
        <w:jc w:val="both"/>
        <w:rPr>
          <w:rFonts w:cs="Arial"/>
        </w:rPr>
      </w:pPr>
    </w:p>
    <w:p w14:paraId="0665B9AF" w14:textId="70F46DD6" w:rsidR="003273C9" w:rsidRPr="003273C9" w:rsidRDefault="003273C9" w:rsidP="002B75B9">
      <w:pPr>
        <w:pStyle w:val="Prrafodelista"/>
        <w:spacing w:line="240" w:lineRule="auto"/>
        <w:ind w:left="0"/>
        <w:jc w:val="both"/>
        <w:rPr>
          <w:rFonts w:cs="Arial"/>
          <w:u w:val="single"/>
        </w:rPr>
      </w:pPr>
      <w:r w:rsidRPr="003273C9">
        <w:rPr>
          <w:rFonts w:cs="Arial"/>
          <w:u w:val="single"/>
        </w:rPr>
        <w:t xml:space="preserve">La </w:t>
      </w:r>
      <w:r w:rsidR="009D0AFC">
        <w:rPr>
          <w:rFonts w:cs="Arial"/>
          <w:u w:val="single"/>
        </w:rPr>
        <w:t>R</w:t>
      </w:r>
      <w:r w:rsidRPr="003273C9">
        <w:rPr>
          <w:rFonts w:cs="Arial"/>
          <w:u w:val="single"/>
        </w:rPr>
        <w:t>epública del Perú incumple además con lo previsto en el artículo del Tratado de Creación del Tribunal de Justicia de la Comunidad Andina, al haber emitido el artículo 37 del Código y posteriormente con la Carta, el oficio, el oficio Múltiple, el Informe 118 y las Resoluciones poner en vigencia sus efectos en el mercado comunitario</w:t>
      </w:r>
    </w:p>
    <w:p w14:paraId="5A6F9FC7" w14:textId="77777777" w:rsidR="003273C9" w:rsidRDefault="003273C9" w:rsidP="002B75B9">
      <w:pPr>
        <w:pStyle w:val="Prrafodelista"/>
        <w:spacing w:line="240" w:lineRule="auto"/>
        <w:ind w:left="0"/>
        <w:jc w:val="both"/>
        <w:rPr>
          <w:rFonts w:cs="Arial"/>
        </w:rPr>
      </w:pPr>
    </w:p>
    <w:p w14:paraId="1FE5AED5" w14:textId="0460BBD0" w:rsidR="002B75B9" w:rsidRDefault="003273C9" w:rsidP="002D0ACE">
      <w:pPr>
        <w:pStyle w:val="Prrafodelista"/>
        <w:numPr>
          <w:ilvl w:val="0"/>
          <w:numId w:val="1"/>
        </w:numPr>
        <w:spacing w:line="240" w:lineRule="auto"/>
        <w:ind w:left="0" w:hanging="567"/>
        <w:jc w:val="both"/>
        <w:rPr>
          <w:rFonts w:cs="Arial"/>
        </w:rPr>
      </w:pPr>
      <w:r>
        <w:rPr>
          <w:rFonts w:cs="Arial"/>
        </w:rPr>
        <w:t xml:space="preserve">Reiteran que </w:t>
      </w:r>
      <w:r w:rsidRPr="003273C9">
        <w:rPr>
          <w:rFonts w:cs="Arial"/>
          <w:i/>
          <w:iCs/>
        </w:rPr>
        <w:t>“… el Artículo 37 del Código incumple flagrante y objetivamente con disposiciones específicas de la Decisión 827.”</w:t>
      </w:r>
      <w:r>
        <w:rPr>
          <w:rStyle w:val="Refdenotaalpie"/>
          <w:rFonts w:cs="Arial"/>
          <w:i/>
          <w:iCs/>
        </w:rPr>
        <w:footnoteReference w:id="31"/>
      </w:r>
    </w:p>
    <w:p w14:paraId="38E3C587" w14:textId="2223C3F8" w:rsidR="003273C9" w:rsidRDefault="003273C9" w:rsidP="003273C9">
      <w:pPr>
        <w:pStyle w:val="Prrafodelista"/>
        <w:spacing w:line="240" w:lineRule="auto"/>
        <w:ind w:left="0"/>
        <w:jc w:val="both"/>
        <w:rPr>
          <w:rFonts w:cs="Arial"/>
        </w:rPr>
      </w:pPr>
    </w:p>
    <w:p w14:paraId="5121C61A" w14:textId="623EEDAF" w:rsidR="00D5545C" w:rsidRPr="00D5545C" w:rsidRDefault="00D5545C" w:rsidP="003273C9">
      <w:pPr>
        <w:pStyle w:val="Prrafodelista"/>
        <w:spacing w:line="240" w:lineRule="auto"/>
        <w:ind w:left="0"/>
        <w:jc w:val="both"/>
        <w:rPr>
          <w:rFonts w:cs="Arial"/>
          <w:u w:val="single"/>
        </w:rPr>
      </w:pPr>
      <w:r w:rsidRPr="00D5545C">
        <w:rPr>
          <w:rFonts w:cs="Arial"/>
          <w:u w:val="single"/>
        </w:rPr>
        <w:t>Solicitud de declaración de incumplimiento flagrante</w:t>
      </w:r>
    </w:p>
    <w:p w14:paraId="4AE5E7EC" w14:textId="77777777" w:rsidR="00D5545C" w:rsidRDefault="00D5545C" w:rsidP="003273C9">
      <w:pPr>
        <w:pStyle w:val="Prrafodelista"/>
        <w:spacing w:line="240" w:lineRule="auto"/>
        <w:ind w:left="0"/>
        <w:jc w:val="both"/>
        <w:rPr>
          <w:rFonts w:cs="Arial"/>
        </w:rPr>
      </w:pPr>
    </w:p>
    <w:p w14:paraId="1B1543A0" w14:textId="6FC5EC17" w:rsidR="003273C9" w:rsidRDefault="00D5545C" w:rsidP="002D0ACE">
      <w:pPr>
        <w:pStyle w:val="Prrafodelista"/>
        <w:numPr>
          <w:ilvl w:val="0"/>
          <w:numId w:val="1"/>
        </w:numPr>
        <w:spacing w:line="240" w:lineRule="auto"/>
        <w:ind w:left="0" w:hanging="567"/>
        <w:jc w:val="both"/>
        <w:rPr>
          <w:rFonts w:cs="Arial"/>
        </w:rPr>
      </w:pPr>
      <w:r>
        <w:rPr>
          <w:rFonts w:cs="Arial"/>
        </w:rPr>
        <w:t xml:space="preserve">La reclamante menciona que </w:t>
      </w:r>
      <w:r w:rsidRPr="007E798A">
        <w:rPr>
          <w:rFonts w:cs="Arial"/>
          <w:i/>
          <w:iCs/>
        </w:rPr>
        <w:t xml:space="preserve">“… nos encontramos frente a un caso </w:t>
      </w:r>
      <w:r w:rsidRPr="007E798A">
        <w:rPr>
          <w:rFonts w:cs="Arial"/>
          <w:b/>
          <w:bCs/>
          <w:i/>
          <w:iCs/>
          <w:u w:val="single"/>
        </w:rPr>
        <w:t>evidente</w:t>
      </w:r>
      <w:r w:rsidRPr="007E798A">
        <w:rPr>
          <w:rFonts w:cs="Arial"/>
          <w:i/>
          <w:iCs/>
        </w:rPr>
        <w:t xml:space="preserve"> de incumplimiento, por lo que la Secretaría General deberá dictaminar que el mismo el </w:t>
      </w:r>
      <w:r w:rsidRPr="007E798A">
        <w:rPr>
          <w:rFonts w:cs="Arial"/>
          <w:b/>
          <w:bCs/>
          <w:i/>
          <w:iCs/>
          <w:u w:val="single"/>
        </w:rPr>
        <w:t>flagrante</w:t>
      </w:r>
      <w:r w:rsidRPr="007E798A">
        <w:rPr>
          <w:rFonts w:cs="Arial"/>
          <w:i/>
          <w:iCs/>
        </w:rPr>
        <w:t>.”</w:t>
      </w:r>
      <w:r w:rsidR="007E798A">
        <w:rPr>
          <w:rStyle w:val="Refdenotaalpie"/>
          <w:rFonts w:cs="Arial"/>
          <w:i/>
          <w:iCs/>
        </w:rPr>
        <w:footnoteReference w:id="32"/>
      </w:r>
    </w:p>
    <w:p w14:paraId="594E6242" w14:textId="5B3939DA" w:rsidR="00D5545C" w:rsidRDefault="00D5545C" w:rsidP="00D5545C">
      <w:pPr>
        <w:pStyle w:val="Prrafodelista"/>
        <w:spacing w:line="240" w:lineRule="auto"/>
        <w:ind w:left="0"/>
        <w:jc w:val="both"/>
        <w:rPr>
          <w:rFonts w:cs="Arial"/>
        </w:rPr>
      </w:pPr>
    </w:p>
    <w:p w14:paraId="3D6D4C2B" w14:textId="6A9BF9DE" w:rsidR="00D24B7E" w:rsidRPr="00D24B7E" w:rsidRDefault="00D24B7E" w:rsidP="00D5545C">
      <w:pPr>
        <w:pStyle w:val="Prrafodelista"/>
        <w:spacing w:line="240" w:lineRule="auto"/>
        <w:ind w:left="0"/>
        <w:jc w:val="both"/>
        <w:rPr>
          <w:rFonts w:cs="Arial"/>
          <w:u w:val="single"/>
        </w:rPr>
      </w:pPr>
      <w:r w:rsidRPr="00D24B7E">
        <w:rPr>
          <w:rFonts w:cs="Arial"/>
          <w:u w:val="single"/>
        </w:rPr>
        <w:t>Solicitud de suspensión de la medida incumplidora de la República del Perú (Artículo 37 del Código, Oficio, Oficio Múltiple, Informe 118, Resoluciones y Carta)</w:t>
      </w:r>
    </w:p>
    <w:p w14:paraId="3FE91513" w14:textId="686BEC47" w:rsidR="00D5545C" w:rsidRDefault="00D5545C" w:rsidP="00D24B7E">
      <w:pPr>
        <w:pStyle w:val="Prrafodelista"/>
        <w:spacing w:line="240" w:lineRule="auto"/>
        <w:ind w:left="0"/>
        <w:jc w:val="both"/>
        <w:rPr>
          <w:rFonts w:cs="Arial"/>
        </w:rPr>
      </w:pPr>
    </w:p>
    <w:p w14:paraId="7403906F" w14:textId="3C1CD225" w:rsidR="00D24B7E" w:rsidRDefault="00476793" w:rsidP="002D0ACE">
      <w:pPr>
        <w:pStyle w:val="Prrafodelista"/>
        <w:numPr>
          <w:ilvl w:val="0"/>
          <w:numId w:val="1"/>
        </w:numPr>
        <w:spacing w:line="240" w:lineRule="auto"/>
        <w:ind w:left="0" w:hanging="567"/>
        <w:jc w:val="both"/>
        <w:rPr>
          <w:rFonts w:cs="Arial"/>
        </w:rPr>
      </w:pPr>
      <w:r>
        <w:rPr>
          <w:rFonts w:cs="Arial"/>
        </w:rPr>
        <w:t xml:space="preserve">Manifiestan que </w:t>
      </w:r>
      <w:r w:rsidR="00C20058" w:rsidRPr="00C20058">
        <w:rPr>
          <w:rFonts w:cs="Arial"/>
          <w:i/>
          <w:iCs/>
        </w:rPr>
        <w:t>“… estamos frente a un probable caso de incumplimiento flagrante…”</w:t>
      </w:r>
      <w:r w:rsidR="00C20058">
        <w:rPr>
          <w:rStyle w:val="Refdenotaalpie"/>
          <w:rFonts w:cs="Arial"/>
          <w:i/>
          <w:iCs/>
        </w:rPr>
        <w:footnoteReference w:id="33"/>
      </w:r>
      <w:r w:rsidR="00C20058">
        <w:rPr>
          <w:rFonts w:cs="Arial"/>
        </w:rPr>
        <w:t xml:space="preserve"> y que se está también </w:t>
      </w:r>
      <w:r w:rsidR="00C20058" w:rsidRPr="00C20058">
        <w:rPr>
          <w:rFonts w:cs="Arial"/>
          <w:i/>
          <w:iCs/>
        </w:rPr>
        <w:t xml:space="preserve">“… </w:t>
      </w:r>
      <w:r w:rsidR="00C20058" w:rsidRPr="00D73780">
        <w:rPr>
          <w:rFonts w:cs="Arial"/>
          <w:i/>
          <w:iCs/>
          <w:u w:val="single"/>
        </w:rPr>
        <w:t>frente a un único procedimiento (de acción de incumplimiento),</w:t>
      </w:r>
      <w:r w:rsidR="00C20058" w:rsidRPr="00C20058">
        <w:rPr>
          <w:rFonts w:cs="Arial"/>
          <w:i/>
          <w:iCs/>
        </w:rPr>
        <w:t xml:space="preserve"> que por cuestiones procesales se subdivide…”</w:t>
      </w:r>
      <w:r w:rsidR="00C20058">
        <w:rPr>
          <w:rStyle w:val="Refdenotaalpie"/>
          <w:rFonts w:cs="Arial"/>
          <w:i/>
          <w:iCs/>
        </w:rPr>
        <w:footnoteReference w:id="34"/>
      </w:r>
      <w:r w:rsidR="00C20058" w:rsidRPr="00C20058">
        <w:rPr>
          <w:rFonts w:cs="Arial"/>
          <w:i/>
          <w:iCs/>
        </w:rPr>
        <w:t xml:space="preserve"> </w:t>
      </w:r>
      <w:r w:rsidR="00C20058">
        <w:rPr>
          <w:rFonts w:cs="Arial"/>
        </w:rPr>
        <w:t>en una etapa ante la SGCAN y luego ante el TJCAN.</w:t>
      </w:r>
      <w:r w:rsidR="006749B2">
        <w:rPr>
          <w:rFonts w:cs="Arial"/>
        </w:rPr>
        <w:t xml:space="preserve"> En este sentido, continúan indicando que </w:t>
      </w:r>
      <w:r w:rsidR="006749B2" w:rsidRPr="006749B2">
        <w:rPr>
          <w:rFonts w:cs="Arial"/>
          <w:i/>
          <w:iCs/>
        </w:rPr>
        <w:t>“… el Tribunal tiene la facultad de dictar medidas cautelares dentro el procedimiento de incumplimiento…”</w:t>
      </w:r>
      <w:r w:rsidR="006749B2">
        <w:rPr>
          <w:rStyle w:val="Refdenotaalpie"/>
          <w:rFonts w:cs="Arial"/>
          <w:i/>
          <w:iCs/>
        </w:rPr>
        <w:footnoteReference w:id="35"/>
      </w:r>
      <w:r w:rsidR="006749B2">
        <w:rPr>
          <w:rFonts w:cs="Arial"/>
        </w:rPr>
        <w:t xml:space="preserve"> conforme la Decisión 500</w:t>
      </w:r>
      <w:r w:rsidR="00BE29DA">
        <w:rPr>
          <w:rFonts w:cs="Arial"/>
        </w:rPr>
        <w:t xml:space="preserve">, por lo que solicitan a la SGCAN se </w:t>
      </w:r>
      <w:r w:rsidR="00BE29DA" w:rsidRPr="00BE29DA">
        <w:rPr>
          <w:rFonts w:cs="Arial"/>
          <w:i/>
          <w:iCs/>
        </w:rPr>
        <w:t>“… ordene la suspensión provisional del Artículo 37 del Código…”</w:t>
      </w:r>
      <w:r w:rsidR="00BE29DA">
        <w:rPr>
          <w:rStyle w:val="Refdenotaalpie"/>
          <w:rFonts w:cs="Arial"/>
          <w:i/>
          <w:iCs/>
        </w:rPr>
        <w:footnoteReference w:id="36"/>
      </w:r>
    </w:p>
    <w:p w14:paraId="2E72DF2B" w14:textId="77777777" w:rsidR="00D24B7E" w:rsidRDefault="00D24B7E" w:rsidP="00D24B7E">
      <w:pPr>
        <w:pStyle w:val="Prrafodelista"/>
        <w:spacing w:line="240" w:lineRule="auto"/>
        <w:ind w:left="0"/>
        <w:jc w:val="both"/>
        <w:rPr>
          <w:rFonts w:cs="Arial"/>
        </w:rPr>
      </w:pPr>
    </w:p>
    <w:p w14:paraId="71F3FEDD" w14:textId="054A569A" w:rsidR="00D24B7E" w:rsidRPr="000E5298" w:rsidRDefault="004B0A29" w:rsidP="002D0ACE">
      <w:pPr>
        <w:pStyle w:val="Prrafodelista"/>
        <w:numPr>
          <w:ilvl w:val="0"/>
          <w:numId w:val="1"/>
        </w:numPr>
        <w:spacing w:line="240" w:lineRule="auto"/>
        <w:ind w:left="0" w:hanging="567"/>
        <w:jc w:val="both"/>
        <w:rPr>
          <w:rFonts w:cs="Arial"/>
        </w:rPr>
      </w:pPr>
      <w:r>
        <w:rPr>
          <w:rFonts w:cs="Arial"/>
        </w:rPr>
        <w:t xml:space="preserve">La reclamante concluye su escrito en el acápite </w:t>
      </w:r>
      <w:r w:rsidRPr="0035062F">
        <w:rPr>
          <w:rFonts w:cs="Arial"/>
        </w:rPr>
        <w:t xml:space="preserve">“por lo expuesto”, solicitando se declare que la </w:t>
      </w:r>
      <w:r w:rsidRPr="0035062F">
        <w:rPr>
          <w:rFonts w:cs="Arial"/>
          <w:i/>
          <w:iCs/>
        </w:rPr>
        <w:t xml:space="preserve">“… conducta de la República del Perú, a través de la promulgación del Artículo 37 del Código, el oficio, el Oficio Múltiple, el Informe 118, las Resoluciones y de la Carta del Presidente Ejecutivo del INDECOPI, constituye un </w:t>
      </w:r>
      <w:r w:rsidRPr="0035062F">
        <w:rPr>
          <w:rFonts w:cs="Arial"/>
          <w:b/>
          <w:bCs/>
          <w:i/>
          <w:iCs/>
        </w:rPr>
        <w:t xml:space="preserve">incumplimiento flagrante </w:t>
      </w:r>
      <w:r w:rsidRPr="0035062F">
        <w:rPr>
          <w:rFonts w:cs="Arial"/>
          <w:i/>
          <w:iCs/>
        </w:rPr>
        <w:t>de los Artículos 1, 2, 3, 4, 5, 6, 7, 8,9, 10, 11, 12, 13, 14 y 15 de la Decisión 827, los artículos 7, 11, 25 y 37 de la Decisión 850</w:t>
      </w:r>
      <w:r w:rsidR="0035062F" w:rsidRPr="0035062F">
        <w:rPr>
          <w:rFonts w:cs="Arial"/>
          <w:i/>
          <w:iCs/>
        </w:rPr>
        <w:t>, así como del artículo 4 del Tratado de Creación del Tribunal de Justicia</w:t>
      </w:r>
      <w:r w:rsidR="00375F89">
        <w:rPr>
          <w:rFonts w:cs="Arial"/>
          <w:i/>
          <w:iCs/>
        </w:rPr>
        <w:t>…</w:t>
      </w:r>
      <w:r w:rsidR="0035062F" w:rsidRPr="0035062F">
        <w:rPr>
          <w:rFonts w:cs="Arial"/>
          <w:i/>
          <w:iCs/>
        </w:rPr>
        <w:t>”</w:t>
      </w:r>
      <w:r w:rsidR="0035062F">
        <w:rPr>
          <w:rStyle w:val="Refdenotaalpie"/>
          <w:rFonts w:cs="Arial"/>
          <w:i/>
          <w:iCs/>
        </w:rPr>
        <w:footnoteReference w:id="37"/>
      </w:r>
    </w:p>
    <w:p w14:paraId="7759EABC" w14:textId="77777777" w:rsidR="000E5298" w:rsidRPr="000E5298" w:rsidRDefault="000E5298" w:rsidP="000E5298">
      <w:pPr>
        <w:pStyle w:val="Prrafodelista"/>
        <w:rPr>
          <w:rFonts w:cs="Arial"/>
        </w:rPr>
      </w:pPr>
    </w:p>
    <w:p w14:paraId="0FE8F70A" w14:textId="181DACA7" w:rsidR="000E5298" w:rsidRPr="002D0ACE" w:rsidRDefault="000E5298" w:rsidP="002D0ACE">
      <w:pPr>
        <w:pStyle w:val="Prrafodelista"/>
        <w:numPr>
          <w:ilvl w:val="0"/>
          <w:numId w:val="1"/>
        </w:numPr>
        <w:spacing w:line="240" w:lineRule="auto"/>
        <w:ind w:left="0" w:hanging="567"/>
        <w:jc w:val="both"/>
        <w:rPr>
          <w:rFonts w:cs="Arial"/>
        </w:rPr>
      </w:pPr>
      <w:r>
        <w:rPr>
          <w:rFonts w:cs="Arial"/>
        </w:rPr>
        <w:t>Asimismo, en fecha 21 de noviembre de 2022, la reclama</w:t>
      </w:r>
      <w:r w:rsidR="00B5588B">
        <w:rPr>
          <w:rFonts w:cs="Arial"/>
        </w:rPr>
        <w:t>nte</w:t>
      </w:r>
      <w:r>
        <w:rPr>
          <w:rFonts w:cs="Arial"/>
        </w:rPr>
        <w:t xml:space="preserve"> presentó en anexo la Resolución N° </w:t>
      </w:r>
      <w:r w:rsidRPr="000E5298">
        <w:rPr>
          <w:rFonts w:cs="Arial"/>
        </w:rPr>
        <w:t>1385-2022/PS3</w:t>
      </w:r>
      <w:r>
        <w:rPr>
          <w:rFonts w:cs="Arial"/>
        </w:rPr>
        <w:t xml:space="preserve"> de fecha 6 de octubre de 2022 emitida por INDECOPI, mediante la cual </w:t>
      </w:r>
      <w:r w:rsidR="006E31F5">
        <w:rPr>
          <w:rFonts w:cs="Arial"/>
        </w:rPr>
        <w:t>se sanciona a la empresa Mondelez Perú S.A. con una multa de 3,49 unidades Impositivas Tributarias por infracción a lo establecido en el artículo 37 del Código del Protección y Defensa del Consumidor.</w:t>
      </w:r>
    </w:p>
    <w:p w14:paraId="5819954F" w14:textId="77777777" w:rsidR="004A30F3" w:rsidRPr="002D0ACE" w:rsidRDefault="004A30F3" w:rsidP="002D0ACE">
      <w:pPr>
        <w:pStyle w:val="Prrafodelista"/>
        <w:spacing w:line="240" w:lineRule="auto"/>
        <w:ind w:left="0" w:hanging="567"/>
        <w:jc w:val="both"/>
        <w:rPr>
          <w:rFonts w:cs="Arial"/>
        </w:rPr>
      </w:pPr>
    </w:p>
    <w:p w14:paraId="3F528855" w14:textId="2C66BCC3" w:rsidR="003606E6" w:rsidRPr="002D0ACE" w:rsidRDefault="00EB5041" w:rsidP="00E16951">
      <w:pPr>
        <w:pStyle w:val="Prrafodelista"/>
        <w:spacing w:line="240" w:lineRule="auto"/>
        <w:ind w:left="0"/>
        <w:jc w:val="both"/>
        <w:rPr>
          <w:rFonts w:cs="Arial"/>
        </w:rPr>
      </w:pPr>
      <w:r w:rsidRPr="002D0ACE">
        <w:rPr>
          <w:rFonts w:cs="Arial"/>
          <w:b/>
          <w:i/>
          <w:u w:val="single"/>
        </w:rPr>
        <w:t>5</w:t>
      </w:r>
      <w:r w:rsidR="00A22943" w:rsidRPr="002D0ACE">
        <w:rPr>
          <w:rFonts w:cs="Arial"/>
          <w:b/>
          <w:i/>
          <w:u w:val="single"/>
        </w:rPr>
        <w:t>.2. Argumentos de la Reclamada</w:t>
      </w:r>
    </w:p>
    <w:p w14:paraId="5C44F427" w14:textId="77777777" w:rsidR="003606E6" w:rsidRPr="002D0ACE" w:rsidRDefault="003606E6" w:rsidP="00E16951">
      <w:pPr>
        <w:pStyle w:val="Prrafodelista"/>
        <w:spacing w:line="240" w:lineRule="auto"/>
        <w:rPr>
          <w:rFonts w:cs="Arial"/>
        </w:rPr>
      </w:pPr>
    </w:p>
    <w:p w14:paraId="623C3783" w14:textId="2391D62D" w:rsidR="00B446F7" w:rsidRPr="002D0ACE" w:rsidRDefault="004829F6" w:rsidP="002D0ACE">
      <w:pPr>
        <w:pStyle w:val="Prrafodelista"/>
        <w:numPr>
          <w:ilvl w:val="0"/>
          <w:numId w:val="1"/>
        </w:numPr>
        <w:spacing w:line="240" w:lineRule="auto"/>
        <w:ind w:left="0" w:hanging="567"/>
        <w:jc w:val="both"/>
        <w:rPr>
          <w:rFonts w:cs="Arial"/>
        </w:rPr>
      </w:pPr>
      <w:r w:rsidRPr="002D0ACE">
        <w:rPr>
          <w:rFonts w:cs="Arial"/>
        </w:rPr>
        <w:t>Mediante Oficio Nº0</w:t>
      </w:r>
      <w:r w:rsidR="00E554BC">
        <w:rPr>
          <w:rFonts w:cs="Arial"/>
        </w:rPr>
        <w:t>0</w:t>
      </w:r>
      <w:r w:rsidRPr="002D0ACE">
        <w:rPr>
          <w:rFonts w:cs="Arial"/>
        </w:rPr>
        <w:t>1-202</w:t>
      </w:r>
      <w:r w:rsidR="00E554BC">
        <w:rPr>
          <w:rFonts w:cs="Arial"/>
        </w:rPr>
        <w:t>3</w:t>
      </w:r>
      <w:r w:rsidRPr="002D0ACE">
        <w:rPr>
          <w:rFonts w:cs="Arial"/>
        </w:rPr>
        <w:t xml:space="preserve">-MINCETUR/VMCE/DGGJCI de </w:t>
      </w:r>
      <w:r w:rsidR="00E554BC">
        <w:rPr>
          <w:rFonts w:cs="Arial"/>
        </w:rPr>
        <w:t>11</w:t>
      </w:r>
      <w:r w:rsidRPr="002D0ACE">
        <w:rPr>
          <w:rFonts w:cs="Arial"/>
        </w:rPr>
        <w:t xml:space="preserve"> de </w:t>
      </w:r>
      <w:r w:rsidR="00E554BC">
        <w:rPr>
          <w:rFonts w:cs="Arial"/>
        </w:rPr>
        <w:t>enero</w:t>
      </w:r>
      <w:r w:rsidRPr="002D0ACE">
        <w:rPr>
          <w:rFonts w:cs="Arial"/>
        </w:rPr>
        <w:t xml:space="preserve"> de 202</w:t>
      </w:r>
      <w:r w:rsidR="00E554BC">
        <w:rPr>
          <w:rFonts w:cs="Arial"/>
        </w:rPr>
        <w:t>3, recibido en este órgano comunitario el 12 de enero de 2023</w:t>
      </w:r>
      <w:r w:rsidRPr="002D0ACE">
        <w:rPr>
          <w:rFonts w:cs="Arial"/>
        </w:rPr>
        <w:t xml:space="preserve">, la reclamada </w:t>
      </w:r>
      <w:r w:rsidR="00F6126C" w:rsidRPr="002D0ACE">
        <w:rPr>
          <w:rFonts w:cs="Arial"/>
        </w:rPr>
        <w:t>presentó</w:t>
      </w:r>
      <w:r w:rsidRPr="002D0ACE">
        <w:rPr>
          <w:rFonts w:cs="Arial"/>
        </w:rPr>
        <w:t xml:space="preserve"> a la SGCAN su contestación al reclamo, </w:t>
      </w:r>
      <w:r w:rsidR="005944FB" w:rsidRPr="002D0ACE">
        <w:rPr>
          <w:rFonts w:cs="Arial"/>
        </w:rPr>
        <w:t xml:space="preserve">cuyos argumentos han sido </w:t>
      </w:r>
      <w:r w:rsidR="00F6126C" w:rsidRPr="002D0ACE">
        <w:rPr>
          <w:rFonts w:cs="Arial"/>
        </w:rPr>
        <w:t>desarrollados en dos partes,</w:t>
      </w:r>
      <w:r w:rsidR="005944FB" w:rsidRPr="002D0ACE">
        <w:rPr>
          <w:rFonts w:cs="Arial"/>
        </w:rPr>
        <w:t xml:space="preserve"> como cuestiones previas y argumentos de fondo</w:t>
      </w:r>
      <w:r w:rsidR="00E554BC">
        <w:rPr>
          <w:rFonts w:cs="Arial"/>
        </w:rPr>
        <w:t xml:space="preserve"> como sigue</w:t>
      </w:r>
      <w:r w:rsidR="005944FB" w:rsidRPr="002D0ACE">
        <w:rPr>
          <w:rFonts w:cs="Arial"/>
        </w:rPr>
        <w:t>:</w:t>
      </w:r>
    </w:p>
    <w:p w14:paraId="59CEDE51" w14:textId="7324937B" w:rsidR="008A3F63" w:rsidRPr="002D0ACE" w:rsidRDefault="00EB5041" w:rsidP="00E16951">
      <w:pPr>
        <w:spacing w:line="240" w:lineRule="auto"/>
        <w:jc w:val="both"/>
        <w:rPr>
          <w:rFonts w:cs="Arial"/>
        </w:rPr>
      </w:pPr>
      <w:r w:rsidRPr="009F3869">
        <w:rPr>
          <w:rFonts w:cs="Arial"/>
        </w:rPr>
        <w:t>5.</w:t>
      </w:r>
      <w:r w:rsidR="008A3F63" w:rsidRPr="009F3869">
        <w:rPr>
          <w:rFonts w:cs="Arial"/>
        </w:rPr>
        <w:t xml:space="preserve">2.1 </w:t>
      </w:r>
      <w:r w:rsidR="008A3F63" w:rsidRPr="009F3869">
        <w:rPr>
          <w:rFonts w:cs="Arial"/>
          <w:u w:val="single"/>
        </w:rPr>
        <w:t xml:space="preserve">Cuestiones </w:t>
      </w:r>
      <w:r w:rsidR="003479E1" w:rsidRPr="009F3869">
        <w:rPr>
          <w:rFonts w:cs="Arial"/>
          <w:u w:val="single"/>
        </w:rPr>
        <w:t>Previas</w:t>
      </w:r>
    </w:p>
    <w:p w14:paraId="2F414433" w14:textId="49AB2F06" w:rsidR="00E77FFD" w:rsidRPr="002D0ACE" w:rsidRDefault="004A4E40" w:rsidP="002D0ACE">
      <w:pPr>
        <w:pStyle w:val="Prrafodelista"/>
        <w:numPr>
          <w:ilvl w:val="0"/>
          <w:numId w:val="1"/>
        </w:numPr>
        <w:spacing w:line="240" w:lineRule="auto"/>
        <w:ind w:left="0" w:hanging="567"/>
        <w:jc w:val="both"/>
        <w:rPr>
          <w:rFonts w:cs="Arial"/>
        </w:rPr>
      </w:pPr>
      <w:r w:rsidRPr="002D0ACE">
        <w:rPr>
          <w:rFonts w:cs="Arial"/>
        </w:rPr>
        <w:t xml:space="preserve">La reclamada presenta en su escrito de contestación los siguientes </w:t>
      </w:r>
      <w:r w:rsidR="00E77FFD" w:rsidRPr="002D0ACE">
        <w:rPr>
          <w:rFonts w:cs="Arial"/>
        </w:rPr>
        <w:t xml:space="preserve">cuestionamientos de admisibilidad al escrito de reclamo, a efectos de que el mismo sea </w:t>
      </w:r>
      <w:r w:rsidR="00E92A30">
        <w:rPr>
          <w:rFonts w:cs="Arial"/>
        </w:rPr>
        <w:t xml:space="preserve">declarado improcedente </w:t>
      </w:r>
      <w:r w:rsidR="00E77FFD" w:rsidRPr="002D0ACE">
        <w:rPr>
          <w:rFonts w:cs="Arial"/>
        </w:rPr>
        <w:t>y se ordene el archivo de</w:t>
      </w:r>
      <w:r w:rsidR="00E92A30">
        <w:rPr>
          <w:rFonts w:cs="Arial"/>
        </w:rPr>
        <w:t>finitivo del procedimiento, siendo éstas:</w:t>
      </w:r>
      <w:r w:rsidR="00E77FFD" w:rsidRPr="002D0ACE">
        <w:rPr>
          <w:rFonts w:cs="Arial"/>
        </w:rPr>
        <w:t xml:space="preserve"> </w:t>
      </w:r>
      <w:r w:rsidR="00942FD8">
        <w:rPr>
          <w:rFonts w:cs="Arial"/>
        </w:rPr>
        <w:t xml:space="preserve">(i) </w:t>
      </w:r>
      <w:r w:rsidR="00E77FFD" w:rsidRPr="002D0ACE">
        <w:rPr>
          <w:rFonts w:cs="Arial"/>
        </w:rPr>
        <w:t>falta de legitimidad activa de la</w:t>
      </w:r>
      <w:r w:rsidR="00E92A30">
        <w:rPr>
          <w:rFonts w:cs="Arial"/>
        </w:rPr>
        <w:t>s</w:t>
      </w:r>
      <w:r w:rsidR="00E77FFD" w:rsidRPr="002D0ACE">
        <w:rPr>
          <w:rFonts w:cs="Arial"/>
        </w:rPr>
        <w:t xml:space="preserve"> reclamante</w:t>
      </w:r>
      <w:r w:rsidR="00E92A30">
        <w:rPr>
          <w:rFonts w:cs="Arial"/>
        </w:rPr>
        <w:t xml:space="preserve">s; </w:t>
      </w:r>
      <w:r w:rsidR="00942FD8">
        <w:rPr>
          <w:rFonts w:cs="Arial"/>
        </w:rPr>
        <w:t xml:space="preserve">(ii) </w:t>
      </w:r>
      <w:r w:rsidR="00E92A30" w:rsidRPr="00E92A30">
        <w:rPr>
          <w:rFonts w:cs="Arial"/>
        </w:rPr>
        <w:t xml:space="preserve">la falta de interés para obrar por la existencia de procesos </w:t>
      </w:r>
      <w:r w:rsidR="00E92A30" w:rsidRPr="00E92A30">
        <w:rPr>
          <w:rFonts w:cs="Arial"/>
        </w:rPr>
        <w:lastRenderedPageBreak/>
        <w:t>pendientes entre las mismas partes y la misma causa (mismo asunto)</w:t>
      </w:r>
      <w:r w:rsidR="00E92A30">
        <w:rPr>
          <w:rFonts w:cs="Arial"/>
        </w:rPr>
        <w:t xml:space="preserve">; </w:t>
      </w:r>
      <w:r w:rsidR="00942FD8">
        <w:rPr>
          <w:rFonts w:cs="Arial"/>
        </w:rPr>
        <w:t xml:space="preserve">(iii) </w:t>
      </w:r>
      <w:r w:rsidR="00E92A30" w:rsidRPr="00E92A30">
        <w:rPr>
          <w:rFonts w:cs="Arial"/>
        </w:rPr>
        <w:t xml:space="preserve">la falta de competencia de la SGCAN y </w:t>
      </w:r>
      <w:r w:rsidR="00942FD8">
        <w:rPr>
          <w:rFonts w:cs="Arial"/>
        </w:rPr>
        <w:t xml:space="preserve">(iv) </w:t>
      </w:r>
      <w:r w:rsidR="00E92A30" w:rsidRPr="00E92A30">
        <w:rPr>
          <w:rFonts w:cs="Arial"/>
        </w:rPr>
        <w:t>la indebida naturaleza de la acción</w:t>
      </w:r>
      <w:r w:rsidR="00E77FFD" w:rsidRPr="002D0ACE">
        <w:rPr>
          <w:rFonts w:cs="Arial"/>
        </w:rPr>
        <w:t>.</w:t>
      </w:r>
      <w:r w:rsidR="005944FB" w:rsidRPr="002D0ACE">
        <w:rPr>
          <w:rStyle w:val="Refdenotaalpie"/>
          <w:rFonts w:cs="Arial"/>
        </w:rPr>
        <w:footnoteReference w:id="38"/>
      </w:r>
    </w:p>
    <w:p w14:paraId="65F41B47" w14:textId="60C77338" w:rsidR="004A4E40" w:rsidRPr="002D0ACE" w:rsidRDefault="004A4E40" w:rsidP="00E16951">
      <w:pPr>
        <w:pStyle w:val="Prrafodelista"/>
        <w:spacing w:line="240" w:lineRule="auto"/>
        <w:ind w:left="0"/>
        <w:jc w:val="both"/>
        <w:rPr>
          <w:rFonts w:cs="Arial"/>
        </w:rPr>
      </w:pPr>
    </w:p>
    <w:p w14:paraId="3DB04FFD" w14:textId="31BC9EC9" w:rsidR="004A4E40" w:rsidRPr="002D0ACE" w:rsidRDefault="00EB5041" w:rsidP="00E16951">
      <w:pPr>
        <w:pStyle w:val="Prrafodelista"/>
        <w:spacing w:line="240" w:lineRule="auto"/>
        <w:ind w:left="0"/>
        <w:jc w:val="both"/>
        <w:rPr>
          <w:rFonts w:cs="Arial"/>
        </w:rPr>
      </w:pPr>
      <w:r w:rsidRPr="002D0ACE">
        <w:rPr>
          <w:rFonts w:cs="Arial"/>
        </w:rPr>
        <w:t>5</w:t>
      </w:r>
      <w:r w:rsidR="004A4E40" w:rsidRPr="002D0ACE">
        <w:rPr>
          <w:rFonts w:cs="Arial"/>
        </w:rPr>
        <w:t>.2.1.</w:t>
      </w:r>
      <w:r w:rsidR="00EB7C08" w:rsidRPr="002D0ACE">
        <w:rPr>
          <w:rFonts w:cs="Arial"/>
        </w:rPr>
        <w:t>1</w:t>
      </w:r>
      <w:r w:rsidR="004A4E40" w:rsidRPr="002D0ACE">
        <w:rPr>
          <w:rFonts w:cs="Arial"/>
        </w:rPr>
        <w:tab/>
      </w:r>
      <w:r w:rsidR="004A4E40" w:rsidRPr="002D0ACE">
        <w:rPr>
          <w:rFonts w:cs="Arial"/>
          <w:u w:val="single"/>
        </w:rPr>
        <w:t>Falta de legitimidad de la reclamante</w:t>
      </w:r>
      <w:r w:rsidR="004A4E40" w:rsidRPr="002D0ACE">
        <w:rPr>
          <w:rFonts w:cs="Arial"/>
        </w:rPr>
        <w:t>:</w:t>
      </w:r>
    </w:p>
    <w:p w14:paraId="51FBA330" w14:textId="41ECD11B" w:rsidR="004A4E40" w:rsidRDefault="004A4E40" w:rsidP="00E16951">
      <w:pPr>
        <w:pStyle w:val="Prrafodelista"/>
        <w:spacing w:line="240" w:lineRule="auto"/>
        <w:ind w:left="0"/>
        <w:jc w:val="both"/>
        <w:rPr>
          <w:rFonts w:cs="Arial"/>
        </w:rPr>
      </w:pPr>
    </w:p>
    <w:p w14:paraId="351ED07A" w14:textId="4F9524FB" w:rsidR="000768AB" w:rsidRDefault="000768AB" w:rsidP="00E16951">
      <w:pPr>
        <w:pStyle w:val="Prrafodelista"/>
        <w:spacing w:line="240" w:lineRule="auto"/>
        <w:ind w:left="0"/>
        <w:jc w:val="both"/>
        <w:rPr>
          <w:rFonts w:cs="Arial"/>
        </w:rPr>
      </w:pPr>
      <w:r w:rsidRPr="000768AB">
        <w:rPr>
          <w:rFonts w:cs="Arial"/>
          <w:b/>
          <w:bCs/>
          <w:i/>
          <w:iCs/>
        </w:rPr>
        <w:t xml:space="preserve">Las reclamantes no han demostrado que el ejercicio de la acción de incumplimiento es oportuno, ni que afecta sus derechos subjetivos directos ni </w:t>
      </w:r>
      <w:proofErr w:type="gramStart"/>
      <w:r w:rsidRPr="000768AB">
        <w:rPr>
          <w:rFonts w:cs="Arial"/>
          <w:b/>
          <w:bCs/>
          <w:i/>
          <w:iCs/>
        </w:rPr>
        <w:t>actuales</w:t>
      </w:r>
      <w:r w:rsidRPr="000768AB">
        <w:rPr>
          <w:rFonts w:cs="Arial"/>
          <w:b/>
          <w:bCs/>
        </w:rPr>
        <w:t>.-</w:t>
      </w:r>
      <w:proofErr w:type="gramEnd"/>
    </w:p>
    <w:p w14:paraId="48EC48B7" w14:textId="77777777" w:rsidR="00396428" w:rsidRDefault="00396428" w:rsidP="00E16951">
      <w:pPr>
        <w:pStyle w:val="Prrafodelista"/>
        <w:spacing w:line="240" w:lineRule="auto"/>
        <w:ind w:left="0"/>
        <w:jc w:val="both"/>
        <w:rPr>
          <w:rFonts w:cs="Arial"/>
          <w:b/>
          <w:bCs/>
        </w:rPr>
      </w:pPr>
    </w:p>
    <w:p w14:paraId="366C8062" w14:textId="2C9AC7B5" w:rsidR="000768AB" w:rsidRDefault="000768AB" w:rsidP="00E16951">
      <w:pPr>
        <w:pStyle w:val="Prrafodelista"/>
        <w:spacing w:line="240" w:lineRule="auto"/>
        <w:ind w:left="0"/>
        <w:jc w:val="both"/>
        <w:rPr>
          <w:rFonts w:cs="Arial"/>
          <w:b/>
          <w:bCs/>
        </w:rPr>
      </w:pPr>
      <w:r w:rsidRPr="000768AB">
        <w:rPr>
          <w:rFonts w:cs="Arial"/>
          <w:b/>
          <w:bCs/>
        </w:rPr>
        <w:t>Sobre la acreditación de la afectación concreta, real y directa de los derechos subjetivos de las reclamantes</w:t>
      </w:r>
    </w:p>
    <w:p w14:paraId="28600725" w14:textId="77777777" w:rsidR="000768AB" w:rsidRPr="002D0ACE" w:rsidRDefault="000768AB" w:rsidP="00E16951">
      <w:pPr>
        <w:pStyle w:val="Prrafodelista"/>
        <w:spacing w:line="240" w:lineRule="auto"/>
        <w:ind w:left="0"/>
        <w:jc w:val="both"/>
        <w:rPr>
          <w:rFonts w:cs="Arial"/>
        </w:rPr>
      </w:pPr>
    </w:p>
    <w:p w14:paraId="5E390969" w14:textId="03B4841A" w:rsidR="00AB5D7D" w:rsidRPr="002D0ACE" w:rsidRDefault="005944FB" w:rsidP="002D0ACE">
      <w:pPr>
        <w:pStyle w:val="Prrafodelista"/>
        <w:numPr>
          <w:ilvl w:val="0"/>
          <w:numId w:val="1"/>
        </w:numPr>
        <w:spacing w:line="240" w:lineRule="auto"/>
        <w:ind w:left="0" w:hanging="567"/>
        <w:jc w:val="both"/>
        <w:rPr>
          <w:rFonts w:cs="Arial"/>
        </w:rPr>
      </w:pPr>
      <w:r w:rsidRPr="002D0ACE">
        <w:rPr>
          <w:rFonts w:cs="Arial"/>
        </w:rPr>
        <w:t xml:space="preserve">La reclamada </w:t>
      </w:r>
      <w:r w:rsidR="000768AB">
        <w:rPr>
          <w:rFonts w:cs="Arial"/>
        </w:rPr>
        <w:t>señala</w:t>
      </w:r>
      <w:r w:rsidRPr="002D0ACE">
        <w:rPr>
          <w:rFonts w:cs="Arial"/>
        </w:rPr>
        <w:t xml:space="preserve"> </w:t>
      </w:r>
      <w:r w:rsidR="000768AB">
        <w:rPr>
          <w:rFonts w:cs="Arial"/>
        </w:rPr>
        <w:t>los</w:t>
      </w:r>
      <w:r w:rsidRPr="002D0ACE">
        <w:rPr>
          <w:rFonts w:cs="Arial"/>
        </w:rPr>
        <w:t xml:space="preserve"> </w:t>
      </w:r>
      <w:r w:rsidR="000768AB" w:rsidRPr="000768AB">
        <w:rPr>
          <w:rFonts w:cs="Arial"/>
        </w:rPr>
        <w:t>artículo</w:t>
      </w:r>
      <w:r w:rsidR="000768AB">
        <w:rPr>
          <w:rFonts w:cs="Arial"/>
        </w:rPr>
        <w:t>s</w:t>
      </w:r>
      <w:r w:rsidR="000768AB" w:rsidRPr="000768AB">
        <w:rPr>
          <w:rFonts w:cs="Arial"/>
        </w:rPr>
        <w:t xml:space="preserve"> </w:t>
      </w:r>
      <w:r w:rsidR="000768AB">
        <w:rPr>
          <w:rFonts w:cs="Arial"/>
        </w:rPr>
        <w:t xml:space="preserve">24 y </w:t>
      </w:r>
      <w:r w:rsidR="000768AB" w:rsidRPr="000768AB">
        <w:rPr>
          <w:rFonts w:cs="Arial"/>
        </w:rPr>
        <w:t xml:space="preserve">25 del Tratado de Creación del TJCAN </w:t>
      </w:r>
      <w:r w:rsidR="000768AB">
        <w:rPr>
          <w:rFonts w:cs="Arial"/>
        </w:rPr>
        <w:t xml:space="preserve">sobre </w:t>
      </w:r>
      <w:r w:rsidR="000768AB" w:rsidRPr="000768AB">
        <w:rPr>
          <w:rFonts w:cs="Arial"/>
        </w:rPr>
        <w:t>las personas naturales o jurídicas afectadas en sus derechos</w:t>
      </w:r>
      <w:r w:rsidR="000768AB" w:rsidRPr="000768AB">
        <w:rPr>
          <w:rFonts w:cs="Arial"/>
          <w:b/>
          <w:bCs/>
        </w:rPr>
        <w:t xml:space="preserve"> </w:t>
      </w:r>
      <w:r w:rsidR="000768AB" w:rsidRPr="000768AB">
        <w:rPr>
          <w:rFonts w:cs="Arial"/>
        </w:rPr>
        <w:t xml:space="preserve">por el incumplimiento de un País Miembro, </w:t>
      </w:r>
      <w:r w:rsidR="000768AB">
        <w:rPr>
          <w:rFonts w:cs="Arial"/>
        </w:rPr>
        <w:t>y el artículo 13 de la Decisión 623.</w:t>
      </w:r>
      <w:r w:rsidR="000768AB">
        <w:rPr>
          <w:rStyle w:val="Refdenotaalpie"/>
          <w:rFonts w:cs="Arial"/>
        </w:rPr>
        <w:footnoteReference w:id="39"/>
      </w:r>
    </w:p>
    <w:p w14:paraId="2FE62D8D" w14:textId="77777777" w:rsidR="00AB5D7D" w:rsidRPr="002D0ACE" w:rsidRDefault="00AB5D7D" w:rsidP="00E16951">
      <w:pPr>
        <w:pStyle w:val="Prrafodelista"/>
        <w:spacing w:line="240" w:lineRule="auto"/>
        <w:ind w:left="0"/>
        <w:jc w:val="both"/>
        <w:rPr>
          <w:rFonts w:cs="Arial"/>
        </w:rPr>
      </w:pPr>
    </w:p>
    <w:p w14:paraId="1EF14E6A" w14:textId="2DC02AF4" w:rsidR="005944FB" w:rsidRDefault="00031762" w:rsidP="002D0ACE">
      <w:pPr>
        <w:pStyle w:val="Prrafodelista"/>
        <w:numPr>
          <w:ilvl w:val="0"/>
          <w:numId w:val="1"/>
        </w:numPr>
        <w:spacing w:line="240" w:lineRule="auto"/>
        <w:ind w:left="0" w:hanging="567"/>
        <w:jc w:val="both"/>
        <w:rPr>
          <w:rFonts w:cs="Arial"/>
        </w:rPr>
      </w:pPr>
      <w:r>
        <w:rPr>
          <w:rFonts w:cs="Arial"/>
        </w:rPr>
        <w:t xml:space="preserve">Se refirió al proceso 75-AI-2001 donde el TJCAN realizó un análisis al “derecho subjetivo afectado”, señalando que, la legitimación para ejercer la acción de incumplimiento </w:t>
      </w:r>
      <w:r w:rsidRPr="00031762">
        <w:rPr>
          <w:rFonts w:cs="Arial"/>
          <w:i/>
          <w:iCs/>
        </w:rPr>
        <w:t>“… exige la existencia de una relación de identidad entre el titular del derecho subjetivo y el de la acción, de modo que ésta sólo puede ser ejercida por quién se afirme titular de aquél…”</w:t>
      </w:r>
      <w:r>
        <w:rPr>
          <w:rStyle w:val="Refdenotaalpie"/>
          <w:rFonts w:cs="Arial"/>
          <w:i/>
          <w:iCs/>
        </w:rPr>
        <w:footnoteReference w:id="40"/>
      </w:r>
    </w:p>
    <w:p w14:paraId="3C8DCB28" w14:textId="77777777" w:rsidR="00031762" w:rsidRPr="00031762" w:rsidRDefault="00031762" w:rsidP="00031762">
      <w:pPr>
        <w:pStyle w:val="Prrafodelista"/>
        <w:rPr>
          <w:rFonts w:cs="Arial"/>
        </w:rPr>
      </w:pPr>
    </w:p>
    <w:p w14:paraId="37C285A5" w14:textId="65521EAE" w:rsidR="00031762" w:rsidRDefault="005C0C2C" w:rsidP="002D0ACE">
      <w:pPr>
        <w:pStyle w:val="Prrafodelista"/>
        <w:numPr>
          <w:ilvl w:val="0"/>
          <w:numId w:val="1"/>
        </w:numPr>
        <w:spacing w:line="240" w:lineRule="auto"/>
        <w:ind w:left="0" w:hanging="567"/>
        <w:jc w:val="both"/>
        <w:rPr>
          <w:rFonts w:cs="Arial"/>
        </w:rPr>
      </w:pPr>
      <w:r>
        <w:rPr>
          <w:rFonts w:cs="Arial"/>
        </w:rPr>
        <w:t xml:space="preserve">También hace mención al proceso 03-AI-2017 </w:t>
      </w:r>
      <w:r w:rsidR="00D12BA1">
        <w:rPr>
          <w:rFonts w:cs="Arial"/>
        </w:rPr>
        <w:t xml:space="preserve">del Tribunal andino, señalando </w:t>
      </w:r>
      <w:r>
        <w:rPr>
          <w:rFonts w:cs="Arial"/>
        </w:rPr>
        <w:t>que la afectación debe ser concreta, real y directa como también oportuna</w:t>
      </w:r>
      <w:r>
        <w:rPr>
          <w:rStyle w:val="Refdenotaalpie"/>
          <w:rFonts w:cs="Arial"/>
        </w:rPr>
        <w:footnoteReference w:id="41"/>
      </w:r>
      <w:r>
        <w:rPr>
          <w:rFonts w:cs="Arial"/>
        </w:rPr>
        <w:t>.</w:t>
      </w:r>
      <w:r w:rsidR="007C1F4F">
        <w:rPr>
          <w:rFonts w:cs="Arial"/>
        </w:rPr>
        <w:t xml:space="preserve"> Asimismo, detalló el siguiente extremo:</w:t>
      </w:r>
    </w:p>
    <w:p w14:paraId="50EBF547" w14:textId="77777777" w:rsidR="007C1F4F" w:rsidRPr="007C1F4F" w:rsidRDefault="007C1F4F" w:rsidP="007C1F4F">
      <w:pPr>
        <w:pStyle w:val="Prrafodelista"/>
        <w:rPr>
          <w:rFonts w:cs="Arial"/>
        </w:rPr>
      </w:pPr>
    </w:p>
    <w:p w14:paraId="1A6FDFDE" w14:textId="7BDF4110" w:rsidR="007C1F4F" w:rsidRPr="002D0ACE" w:rsidRDefault="007C1F4F" w:rsidP="007C1F4F">
      <w:pPr>
        <w:pStyle w:val="Prrafodelista"/>
        <w:spacing w:line="240" w:lineRule="auto"/>
        <w:ind w:left="567"/>
        <w:jc w:val="both"/>
        <w:rPr>
          <w:rFonts w:cs="Arial"/>
        </w:rPr>
      </w:pPr>
      <w:r w:rsidRPr="007C1F4F">
        <w:rPr>
          <w:rFonts w:cs="Arial"/>
          <w:i/>
          <w:iCs/>
        </w:rPr>
        <w:t xml:space="preserve">«…la afectación al derecho subjetivo o al interés legítimo debe ser </w:t>
      </w:r>
      <w:r w:rsidRPr="007C1F4F">
        <w:rPr>
          <w:rFonts w:cs="Arial"/>
          <w:b/>
          <w:bCs/>
          <w:i/>
          <w:iCs/>
        </w:rPr>
        <w:t>actual e inmediata</w:t>
      </w:r>
      <w:r w:rsidRPr="007C1F4F">
        <w:rPr>
          <w:rFonts w:cs="Arial"/>
          <w:i/>
          <w:iCs/>
        </w:rPr>
        <w:t xml:space="preserve">, </w:t>
      </w:r>
      <w:r w:rsidRPr="007C1F4F">
        <w:rPr>
          <w:rFonts w:cs="Arial"/>
          <w:b/>
          <w:bCs/>
          <w:i/>
          <w:iCs/>
        </w:rPr>
        <w:t>real y concreta, y directa</w:t>
      </w:r>
      <w:r w:rsidRPr="007C1F4F">
        <w:rPr>
          <w:rFonts w:cs="Arial"/>
          <w:i/>
          <w:iCs/>
        </w:rPr>
        <w:t>. …[d]</w:t>
      </w:r>
      <w:proofErr w:type="spellStart"/>
      <w:r w:rsidRPr="007C1F4F">
        <w:rPr>
          <w:rFonts w:cs="Arial"/>
          <w:i/>
          <w:iCs/>
        </w:rPr>
        <w:t>ado</w:t>
      </w:r>
      <w:proofErr w:type="spellEnd"/>
      <w:r w:rsidRPr="007C1F4F">
        <w:rPr>
          <w:rFonts w:cs="Arial"/>
          <w:i/>
          <w:iCs/>
        </w:rPr>
        <w:t xml:space="preserve"> que la afectación debe ser actual e inmediata, la respuesta del afectado debe ser oportuna…» (Énfasis propio del texto citado)</w:t>
      </w:r>
      <w:r>
        <w:rPr>
          <w:rStyle w:val="Refdenotaalpie"/>
          <w:rFonts w:cs="Arial"/>
          <w:i/>
          <w:iCs/>
        </w:rPr>
        <w:footnoteReference w:id="42"/>
      </w:r>
    </w:p>
    <w:p w14:paraId="6FA1CD5B" w14:textId="77777777" w:rsidR="00AB5D7D" w:rsidRPr="002D0ACE" w:rsidRDefault="00AB5D7D" w:rsidP="00E16951">
      <w:pPr>
        <w:pStyle w:val="Prrafodelista"/>
        <w:spacing w:line="240" w:lineRule="auto"/>
        <w:ind w:left="0"/>
        <w:jc w:val="both"/>
        <w:rPr>
          <w:rFonts w:cs="Arial"/>
        </w:rPr>
      </w:pPr>
    </w:p>
    <w:p w14:paraId="4D3F304B" w14:textId="7CBD83C4" w:rsidR="005944FB" w:rsidRPr="002D0ACE" w:rsidRDefault="00AB5D7D" w:rsidP="002D0ACE">
      <w:pPr>
        <w:pStyle w:val="Prrafodelista"/>
        <w:numPr>
          <w:ilvl w:val="0"/>
          <w:numId w:val="1"/>
        </w:numPr>
        <w:spacing w:line="240" w:lineRule="auto"/>
        <w:ind w:left="0" w:hanging="567"/>
        <w:jc w:val="both"/>
        <w:rPr>
          <w:rFonts w:cs="Arial"/>
        </w:rPr>
      </w:pPr>
      <w:r w:rsidRPr="002D0ACE">
        <w:rPr>
          <w:rFonts w:cs="Arial"/>
        </w:rPr>
        <w:t xml:space="preserve">Señala la reclamada </w:t>
      </w:r>
      <w:r w:rsidR="009971F5">
        <w:rPr>
          <w:rFonts w:cs="Arial"/>
        </w:rPr>
        <w:t xml:space="preserve">que es </w:t>
      </w:r>
      <w:r w:rsidR="009971F5" w:rsidRPr="009971F5">
        <w:rPr>
          <w:rFonts w:cs="Arial"/>
          <w:i/>
          <w:iCs/>
        </w:rPr>
        <w:t xml:space="preserve">“…menester que la SGCAN tenga presente, a partir de una revisión de los anexos del reclamo, que </w:t>
      </w:r>
      <w:r w:rsidR="009971F5" w:rsidRPr="009971F5">
        <w:rPr>
          <w:rFonts w:cs="Arial"/>
          <w:b/>
          <w:bCs/>
          <w:i/>
          <w:iCs/>
        </w:rPr>
        <w:t xml:space="preserve">las reclamantes no han aportado ninguna prueba </w:t>
      </w:r>
      <w:r w:rsidR="009971F5" w:rsidRPr="009971F5">
        <w:rPr>
          <w:rFonts w:cs="Arial"/>
          <w:i/>
          <w:iCs/>
        </w:rPr>
        <w:t xml:space="preserve">en el presente procedimiento que permita acreditar que efectivamente han experimentado una afectación </w:t>
      </w:r>
      <w:r w:rsidR="009971F5" w:rsidRPr="009971F5">
        <w:rPr>
          <w:rFonts w:cs="Arial"/>
          <w:b/>
          <w:bCs/>
          <w:i/>
          <w:iCs/>
        </w:rPr>
        <w:t xml:space="preserve">concreta, real y directa </w:t>
      </w:r>
      <w:r w:rsidR="009971F5" w:rsidRPr="009971F5">
        <w:rPr>
          <w:rFonts w:cs="Arial"/>
          <w:i/>
          <w:iCs/>
        </w:rPr>
        <w:t xml:space="preserve">de sus derechos como consecuencia de la medida reclamada que supuestamente infringe la normatividad comunitaria; por el contrario, se limitan a </w:t>
      </w:r>
      <w:r w:rsidR="009971F5" w:rsidRPr="009971F5">
        <w:rPr>
          <w:rFonts w:cs="Arial"/>
          <w:b/>
          <w:bCs/>
          <w:i/>
          <w:iCs/>
        </w:rPr>
        <w:t xml:space="preserve">efectuar alegaciones subjetivas carentes de sustento jurídico a la luz del derecho comunitario </w:t>
      </w:r>
      <w:r w:rsidR="009971F5" w:rsidRPr="009971F5">
        <w:rPr>
          <w:rFonts w:cs="Arial"/>
          <w:i/>
          <w:iCs/>
        </w:rPr>
        <w:t>que no logran acreditar el cumplimiento del precitado requisito de legitimación activa y que más bien demuestran que, en el presente caso, no existe una afectación a sus derechos…”</w:t>
      </w:r>
      <w:r w:rsidR="009971F5">
        <w:rPr>
          <w:rStyle w:val="Refdenotaalpie"/>
          <w:rFonts w:cs="Arial"/>
          <w:i/>
          <w:iCs/>
        </w:rPr>
        <w:footnoteReference w:id="43"/>
      </w:r>
      <w:r w:rsidRPr="002D0ACE">
        <w:rPr>
          <w:rFonts w:cs="Arial"/>
        </w:rPr>
        <w:t xml:space="preserve"> </w:t>
      </w:r>
      <w:r w:rsidR="009971F5">
        <w:rPr>
          <w:rFonts w:cs="Arial"/>
        </w:rPr>
        <w:t>(Énfasis propio del texto citado)</w:t>
      </w:r>
    </w:p>
    <w:p w14:paraId="777305CD" w14:textId="77777777" w:rsidR="00880AD5" w:rsidRPr="002D0ACE" w:rsidRDefault="00880AD5" w:rsidP="002D0ACE">
      <w:pPr>
        <w:pStyle w:val="Prrafodelista"/>
        <w:spacing w:line="240" w:lineRule="auto"/>
        <w:ind w:left="0" w:hanging="567"/>
        <w:jc w:val="both"/>
        <w:rPr>
          <w:rFonts w:cs="Arial"/>
        </w:rPr>
      </w:pPr>
    </w:p>
    <w:p w14:paraId="1062D615" w14:textId="46CB6374" w:rsidR="003F1DF5" w:rsidRDefault="00B47BA7" w:rsidP="002D0ACE">
      <w:pPr>
        <w:pStyle w:val="Prrafodelista"/>
        <w:numPr>
          <w:ilvl w:val="0"/>
          <w:numId w:val="1"/>
        </w:numPr>
        <w:spacing w:line="240" w:lineRule="auto"/>
        <w:ind w:left="0" w:hanging="567"/>
        <w:jc w:val="both"/>
        <w:rPr>
          <w:rFonts w:cs="Arial"/>
        </w:rPr>
      </w:pPr>
      <w:r>
        <w:rPr>
          <w:rFonts w:cs="Arial"/>
        </w:rPr>
        <w:t xml:space="preserve">Expresan también que, </w:t>
      </w:r>
      <w:r w:rsidRPr="00B47BA7">
        <w:rPr>
          <w:rFonts w:cs="Arial"/>
          <w:i/>
          <w:iCs/>
        </w:rPr>
        <w:t xml:space="preserve">“… la </w:t>
      </w:r>
      <w:r w:rsidRPr="00B47BA7">
        <w:rPr>
          <w:rFonts w:cs="Arial"/>
          <w:b/>
          <w:bCs/>
          <w:i/>
          <w:iCs/>
        </w:rPr>
        <w:t>afectación directa a la esfera jurídica</w:t>
      </w:r>
      <w:r w:rsidRPr="00B47BA7">
        <w:rPr>
          <w:rFonts w:cs="Arial"/>
          <w:i/>
          <w:iCs/>
        </w:rPr>
        <w:t xml:space="preserve"> de la persona natural o jurídica, como condición para el cumplimiento del requisito de </w:t>
      </w:r>
      <w:r w:rsidRPr="00B47BA7">
        <w:rPr>
          <w:rFonts w:cs="Arial"/>
          <w:b/>
          <w:bCs/>
          <w:i/>
          <w:iCs/>
        </w:rPr>
        <w:t>legitimación activa</w:t>
      </w:r>
      <w:r w:rsidRPr="00B47BA7">
        <w:rPr>
          <w:rFonts w:cs="Arial"/>
          <w:i/>
          <w:iCs/>
        </w:rPr>
        <w:t xml:space="preserve">, cabe precisar que, el TJCAN, en el citado Auto del 3 de octubre de 2017, hizo especial énfasis en que la </w:t>
      </w:r>
      <w:r w:rsidRPr="00B47BA7">
        <w:rPr>
          <w:rFonts w:cs="Arial"/>
          <w:b/>
          <w:bCs/>
          <w:i/>
          <w:iCs/>
        </w:rPr>
        <w:t>comparecencia en defensa de los intereses de otros posibles afectados</w:t>
      </w:r>
      <w:r w:rsidRPr="00B47BA7">
        <w:rPr>
          <w:rFonts w:cs="Arial"/>
          <w:i/>
          <w:iCs/>
        </w:rPr>
        <w:t xml:space="preserve">, </w:t>
      </w:r>
      <w:r w:rsidRPr="00B47BA7">
        <w:rPr>
          <w:rFonts w:cs="Arial"/>
          <w:i/>
          <w:iCs/>
        </w:rPr>
        <w:lastRenderedPageBreak/>
        <w:t xml:space="preserve">como consecuencia de la impugnación de una </w:t>
      </w:r>
      <w:r w:rsidRPr="00B47BA7">
        <w:rPr>
          <w:rFonts w:cs="Arial"/>
          <w:b/>
          <w:bCs/>
          <w:i/>
          <w:iCs/>
        </w:rPr>
        <w:t>norma nacional de efectos generales</w:t>
      </w:r>
      <w:r w:rsidRPr="00B47BA7">
        <w:rPr>
          <w:rFonts w:cs="Arial"/>
          <w:i/>
          <w:iCs/>
        </w:rPr>
        <w:t xml:space="preserve">, evidenciaría un </w:t>
      </w:r>
      <w:r w:rsidRPr="00B47BA7">
        <w:rPr>
          <w:rFonts w:cs="Arial"/>
          <w:b/>
          <w:bCs/>
          <w:i/>
          <w:iCs/>
        </w:rPr>
        <w:t>“interés difuso, general o abstracto</w:t>
      </w:r>
      <w:r>
        <w:rPr>
          <w:rFonts w:cs="Arial"/>
          <w:b/>
          <w:bCs/>
          <w:i/>
          <w:iCs/>
        </w:rPr>
        <w:t>…</w:t>
      </w:r>
      <w:r w:rsidRPr="00B47BA7">
        <w:rPr>
          <w:rFonts w:cs="Arial"/>
          <w:i/>
          <w:iCs/>
        </w:rPr>
        <w:t>”</w:t>
      </w:r>
      <w:r w:rsidR="00A06B18">
        <w:rPr>
          <w:rStyle w:val="Refdenotaalpie"/>
          <w:rFonts w:cs="Arial"/>
          <w:i/>
          <w:iCs/>
        </w:rPr>
        <w:footnoteReference w:id="44"/>
      </w:r>
      <w:r w:rsidRPr="00B47BA7">
        <w:rPr>
          <w:rFonts w:cs="Arial"/>
        </w:rPr>
        <w:t xml:space="preserve"> (Énfasis propio del texto citado)</w:t>
      </w:r>
      <w:r>
        <w:rPr>
          <w:rFonts w:cs="Arial"/>
        </w:rPr>
        <w:t xml:space="preserve"> </w:t>
      </w:r>
      <w:r w:rsidRPr="00B47BA7">
        <w:rPr>
          <w:rFonts w:cs="Arial"/>
        </w:rPr>
        <w:t xml:space="preserve">y, </w:t>
      </w:r>
      <w:r>
        <w:rPr>
          <w:rFonts w:cs="Arial"/>
        </w:rPr>
        <w:t>transcriben la siguiente jurisprudencia al respecto:</w:t>
      </w:r>
    </w:p>
    <w:p w14:paraId="244A03EA" w14:textId="6377D04F" w:rsidR="00B47BA7" w:rsidRDefault="00B47BA7" w:rsidP="00B47BA7">
      <w:pPr>
        <w:pStyle w:val="Prrafodelista"/>
        <w:rPr>
          <w:rFonts w:cs="Arial"/>
        </w:rPr>
      </w:pPr>
    </w:p>
    <w:p w14:paraId="7E700263" w14:textId="77777777" w:rsidR="00A06B18" w:rsidRDefault="00B47BA7" w:rsidP="00B47BA7">
      <w:pPr>
        <w:pStyle w:val="Prrafodelista"/>
        <w:ind w:left="567"/>
        <w:jc w:val="both"/>
        <w:rPr>
          <w:rFonts w:cs="Arial"/>
          <w:i/>
          <w:iCs/>
        </w:rPr>
      </w:pPr>
      <w:r w:rsidRPr="00B47BA7">
        <w:rPr>
          <w:rFonts w:cs="Arial"/>
        </w:rPr>
        <w:t>“</w:t>
      </w:r>
      <w:r w:rsidRPr="00B47BA7">
        <w:rPr>
          <w:rFonts w:cs="Arial"/>
          <w:i/>
          <w:iCs/>
        </w:rPr>
        <w:t xml:space="preserve">3.1.16. Es fácil apreciar que Flores Maravilla, más que venir por una afectación directa a su esfera jurídica de derechos subjetivos o intereses legítimos, viene, como lo afirmó ante la SGCA y luego ante este Tribunal, </w:t>
      </w:r>
      <w:r w:rsidRPr="00B47BA7">
        <w:rPr>
          <w:rFonts w:cs="Arial"/>
          <w:b/>
          <w:bCs/>
          <w:i/>
          <w:iCs/>
        </w:rPr>
        <w:t>en representación de todos los floricultores colombianos</w:t>
      </w:r>
      <w:r w:rsidRPr="00B47BA7">
        <w:rPr>
          <w:rFonts w:cs="Arial"/>
          <w:i/>
          <w:iCs/>
        </w:rPr>
        <w:t xml:space="preserve">; esto es, en representación </w:t>
      </w:r>
      <w:r w:rsidRPr="00B47BA7">
        <w:rPr>
          <w:rFonts w:cs="Arial"/>
          <w:b/>
          <w:bCs/>
          <w:i/>
          <w:iCs/>
        </w:rPr>
        <w:t>de un interés difuso, general o abstracto</w:t>
      </w:r>
      <w:r w:rsidRPr="00B47BA7">
        <w:rPr>
          <w:rFonts w:cs="Arial"/>
          <w:i/>
          <w:iCs/>
        </w:rPr>
        <w:t xml:space="preserve">. </w:t>
      </w:r>
    </w:p>
    <w:p w14:paraId="0AAD5B64" w14:textId="77777777" w:rsidR="00A06B18" w:rsidRDefault="00B47BA7" w:rsidP="00B47BA7">
      <w:pPr>
        <w:pStyle w:val="Prrafodelista"/>
        <w:ind w:left="567"/>
        <w:jc w:val="both"/>
        <w:rPr>
          <w:rFonts w:cs="Arial"/>
          <w:i/>
          <w:iCs/>
        </w:rPr>
      </w:pPr>
      <w:r w:rsidRPr="00B47BA7">
        <w:rPr>
          <w:rFonts w:cs="Arial"/>
          <w:i/>
          <w:iCs/>
        </w:rPr>
        <w:t xml:space="preserve">3.1.17. Es por ello que mediante Dictamen Nº 03-2016 del 28 de abril de 2016, la SGCA señaló que Flores Maravilla no venía por una afectación a sus derechos sino en atención a un </w:t>
      </w:r>
      <w:r w:rsidRPr="00B47BA7">
        <w:rPr>
          <w:rFonts w:cs="Arial"/>
          <w:b/>
          <w:bCs/>
          <w:i/>
          <w:iCs/>
        </w:rPr>
        <w:t>interés abstracto y general</w:t>
      </w:r>
      <w:r w:rsidRPr="00B47BA7">
        <w:rPr>
          <w:rFonts w:cs="Arial"/>
          <w:i/>
          <w:iCs/>
        </w:rPr>
        <w:t xml:space="preserve">. </w:t>
      </w:r>
    </w:p>
    <w:p w14:paraId="067F4AF5" w14:textId="460FA3FC" w:rsidR="00B47BA7" w:rsidRDefault="00B47BA7" w:rsidP="00B47BA7">
      <w:pPr>
        <w:pStyle w:val="Prrafodelista"/>
        <w:ind w:left="567"/>
        <w:jc w:val="both"/>
        <w:rPr>
          <w:rFonts w:cs="Arial"/>
        </w:rPr>
      </w:pPr>
      <w:r w:rsidRPr="00B47BA7">
        <w:rPr>
          <w:rFonts w:cs="Arial"/>
          <w:i/>
          <w:iCs/>
        </w:rPr>
        <w:t xml:space="preserve">3.1.18. Este Tribunal coincide con la SGCA en que Flores Maravilla carece de legitimidad para demandar. Un comportamiento oportunista no puede ser amparado bajo la supuesta afectación de un derecho subjetivo o interés legítimo. Además, </w:t>
      </w:r>
      <w:r w:rsidRPr="00B47BA7">
        <w:rPr>
          <w:rFonts w:cs="Arial"/>
          <w:b/>
          <w:bCs/>
          <w:i/>
          <w:iCs/>
        </w:rPr>
        <w:t>ha quedado demostrado que Flores Maravilla se apersona al proceso en representación de un interés difuso, general o abstracto</w:t>
      </w:r>
      <w:r w:rsidR="00A06B18">
        <w:rPr>
          <w:rFonts w:cs="Arial"/>
          <w:b/>
          <w:bCs/>
          <w:i/>
          <w:iCs/>
        </w:rPr>
        <w:t>.</w:t>
      </w:r>
      <w:r w:rsidRPr="00B47BA7">
        <w:rPr>
          <w:rFonts w:cs="Arial"/>
        </w:rPr>
        <w:t>”</w:t>
      </w:r>
      <w:r w:rsidR="00A06B18">
        <w:rPr>
          <w:rStyle w:val="Refdenotaalpie"/>
          <w:rFonts w:cs="Arial"/>
        </w:rPr>
        <w:footnoteReference w:id="45"/>
      </w:r>
      <w:r w:rsidRPr="00B47BA7">
        <w:rPr>
          <w:rFonts w:cs="Arial"/>
        </w:rPr>
        <w:t xml:space="preserve"> (Énfasis agregado)</w:t>
      </w:r>
    </w:p>
    <w:p w14:paraId="1B959A08" w14:textId="77777777" w:rsidR="00B47BA7" w:rsidRPr="00B47BA7" w:rsidRDefault="00B47BA7" w:rsidP="00B47BA7">
      <w:pPr>
        <w:pStyle w:val="Prrafodelista"/>
        <w:rPr>
          <w:rFonts w:cs="Arial"/>
        </w:rPr>
      </w:pPr>
    </w:p>
    <w:p w14:paraId="0EF9E81B" w14:textId="71E97B0F" w:rsidR="00B47BA7" w:rsidRDefault="005162AF" w:rsidP="002D0ACE">
      <w:pPr>
        <w:pStyle w:val="Prrafodelista"/>
        <w:numPr>
          <w:ilvl w:val="0"/>
          <w:numId w:val="1"/>
        </w:numPr>
        <w:spacing w:line="240" w:lineRule="auto"/>
        <w:ind w:left="0" w:hanging="567"/>
        <w:jc w:val="both"/>
        <w:rPr>
          <w:rFonts w:cs="Arial"/>
        </w:rPr>
      </w:pPr>
      <w:r>
        <w:rPr>
          <w:rFonts w:cs="Arial"/>
        </w:rPr>
        <w:t>Exponen que el artículo 37 del Código, objeto del presente reclamo, se encuentra en proceso de reglamentación, entendiendo que la supuesta afectación no es concreta ni directa</w:t>
      </w:r>
      <w:r>
        <w:rPr>
          <w:rStyle w:val="Refdenotaalpie"/>
          <w:rFonts w:cs="Arial"/>
        </w:rPr>
        <w:footnoteReference w:id="46"/>
      </w:r>
      <w:r>
        <w:rPr>
          <w:rFonts w:cs="Arial"/>
        </w:rPr>
        <w:t>.</w:t>
      </w:r>
    </w:p>
    <w:p w14:paraId="3B22DD8C" w14:textId="77777777" w:rsidR="00B47BA7" w:rsidRPr="00B47BA7" w:rsidRDefault="00B47BA7" w:rsidP="00B47BA7">
      <w:pPr>
        <w:pStyle w:val="Prrafodelista"/>
        <w:rPr>
          <w:rFonts w:cs="Arial"/>
        </w:rPr>
      </w:pPr>
    </w:p>
    <w:p w14:paraId="42A6EB66" w14:textId="18A175FC" w:rsidR="00CF409F" w:rsidRDefault="00CF409F" w:rsidP="00D6606A">
      <w:pPr>
        <w:pStyle w:val="Prrafodelista"/>
        <w:spacing w:line="240" w:lineRule="auto"/>
        <w:ind w:left="0"/>
        <w:jc w:val="both"/>
        <w:rPr>
          <w:rFonts w:cs="Arial"/>
        </w:rPr>
      </w:pPr>
      <w:r w:rsidRPr="00CF409F">
        <w:rPr>
          <w:rFonts w:cs="Arial"/>
          <w:b/>
          <w:bCs/>
        </w:rPr>
        <w:t>Sobre la afectación actual e inmediata del derecho subjetivo de las reclamantes</w:t>
      </w:r>
    </w:p>
    <w:p w14:paraId="4165146D" w14:textId="201C9067" w:rsidR="00B47BA7" w:rsidRDefault="00B47BA7" w:rsidP="00CF409F">
      <w:pPr>
        <w:pStyle w:val="Prrafodelista"/>
        <w:spacing w:line="240" w:lineRule="auto"/>
        <w:ind w:left="0"/>
        <w:jc w:val="both"/>
        <w:rPr>
          <w:rFonts w:cs="Arial"/>
        </w:rPr>
      </w:pPr>
    </w:p>
    <w:p w14:paraId="052AFCA7" w14:textId="5BAA56F8" w:rsidR="00CF409F" w:rsidRDefault="005101F7" w:rsidP="008505E1">
      <w:pPr>
        <w:pStyle w:val="Prrafodelista"/>
        <w:numPr>
          <w:ilvl w:val="0"/>
          <w:numId w:val="1"/>
        </w:numPr>
        <w:spacing w:line="240" w:lineRule="auto"/>
        <w:ind w:left="0" w:hanging="567"/>
        <w:jc w:val="both"/>
        <w:rPr>
          <w:rFonts w:cs="Arial"/>
        </w:rPr>
      </w:pPr>
      <w:r>
        <w:rPr>
          <w:rFonts w:cs="Arial"/>
        </w:rPr>
        <w:t xml:space="preserve">La reclamada sostiene que </w:t>
      </w:r>
      <w:r w:rsidRPr="005101F7">
        <w:rPr>
          <w:rFonts w:cs="Arial"/>
          <w:i/>
          <w:iCs/>
        </w:rPr>
        <w:t xml:space="preserve">“… </w:t>
      </w:r>
      <w:r w:rsidRPr="005101F7">
        <w:rPr>
          <w:rFonts w:cs="Arial"/>
          <w:b/>
          <w:bCs/>
          <w:i/>
          <w:iCs/>
        </w:rPr>
        <w:t>no existe afectación actual ni oportuna dado que el artículo 37 del Código entró en vigencia en el año 2011</w:t>
      </w:r>
      <w:r w:rsidRPr="005101F7">
        <w:rPr>
          <w:rFonts w:cs="Arial"/>
          <w:i/>
          <w:iCs/>
        </w:rPr>
        <w:t xml:space="preserve">; y, por consiguiente, ya </w:t>
      </w:r>
      <w:r w:rsidRPr="005101F7">
        <w:rPr>
          <w:rFonts w:cs="Arial"/>
          <w:b/>
          <w:bCs/>
          <w:i/>
          <w:iCs/>
        </w:rPr>
        <w:t>han transcurrido más de diez (10) años desde la entrada en vigor de la medida cuestionada</w:t>
      </w:r>
      <w:r w:rsidRPr="005101F7">
        <w:rPr>
          <w:rFonts w:cs="Arial"/>
          <w:i/>
          <w:iCs/>
        </w:rPr>
        <w:t>; por lo que la presentación del presente reclamo carece de sustento en la actualidad.”</w:t>
      </w:r>
      <w:r>
        <w:rPr>
          <w:rStyle w:val="Refdenotaalpie"/>
          <w:rFonts w:cs="Arial"/>
          <w:i/>
          <w:iCs/>
        </w:rPr>
        <w:footnoteReference w:id="47"/>
      </w:r>
      <w:r w:rsidR="00B72742">
        <w:rPr>
          <w:rFonts w:cs="Arial"/>
          <w:i/>
          <w:iCs/>
        </w:rPr>
        <w:t xml:space="preserve"> </w:t>
      </w:r>
      <w:r w:rsidR="00B72742">
        <w:rPr>
          <w:rFonts w:cs="Arial"/>
        </w:rPr>
        <w:t>(Énfasis propio del texto citado)</w:t>
      </w:r>
      <w:r w:rsidR="002C60AE">
        <w:rPr>
          <w:rFonts w:cs="Arial"/>
        </w:rPr>
        <w:t xml:space="preserve">. En este aspecto cita los </w:t>
      </w:r>
      <w:r w:rsidR="002C60AE" w:rsidRPr="002C60AE">
        <w:rPr>
          <w:rFonts w:cs="Arial"/>
        </w:rPr>
        <w:t>Autos del 13 de diciembre del 2022 recaídos en los Procesos 02-AI-2021 y 04-AI-2021</w:t>
      </w:r>
      <w:r w:rsidR="002C60AE">
        <w:rPr>
          <w:rStyle w:val="Refdenotaalpie"/>
          <w:rFonts w:cs="Arial"/>
        </w:rPr>
        <w:footnoteReference w:id="48"/>
      </w:r>
      <w:r w:rsidR="002C60AE">
        <w:rPr>
          <w:rFonts w:cs="Arial"/>
        </w:rPr>
        <w:t>.</w:t>
      </w:r>
    </w:p>
    <w:p w14:paraId="64BB21A1" w14:textId="65A0A2D0" w:rsidR="005B5A99" w:rsidRDefault="005B5A99" w:rsidP="005B5A99">
      <w:pPr>
        <w:pStyle w:val="Prrafodelista"/>
        <w:spacing w:line="240" w:lineRule="auto"/>
        <w:ind w:left="0"/>
        <w:jc w:val="both"/>
        <w:rPr>
          <w:rFonts w:cs="Arial"/>
        </w:rPr>
      </w:pPr>
    </w:p>
    <w:p w14:paraId="46FFE27D" w14:textId="5A2F5F35" w:rsidR="005B5A99" w:rsidRDefault="00561068" w:rsidP="008505E1">
      <w:pPr>
        <w:pStyle w:val="Prrafodelista"/>
        <w:numPr>
          <w:ilvl w:val="0"/>
          <w:numId w:val="1"/>
        </w:numPr>
        <w:spacing w:line="240" w:lineRule="auto"/>
        <w:ind w:left="0" w:hanging="567"/>
        <w:jc w:val="both"/>
        <w:rPr>
          <w:rFonts w:cs="Arial"/>
        </w:rPr>
      </w:pPr>
      <w:r>
        <w:rPr>
          <w:rFonts w:cs="Arial"/>
        </w:rPr>
        <w:t xml:space="preserve">También indica que </w:t>
      </w:r>
      <w:r w:rsidRPr="00561068">
        <w:rPr>
          <w:rFonts w:cs="Arial"/>
        </w:rPr>
        <w:t>las normas comunitarias supuestamente vulneradas, Decisiones 827 y 850 entraron en vigor a partir de los años 2018 y 2019, respectivamente</w:t>
      </w:r>
      <w:r>
        <w:rPr>
          <w:rStyle w:val="Refdenotaalpie"/>
          <w:rFonts w:cs="Arial"/>
        </w:rPr>
        <w:footnoteReference w:id="49"/>
      </w:r>
      <w:r w:rsidRPr="00561068">
        <w:rPr>
          <w:rFonts w:cs="Arial"/>
        </w:rPr>
        <w:t>.</w:t>
      </w:r>
    </w:p>
    <w:p w14:paraId="440001FA" w14:textId="227EFC8E" w:rsidR="005B5A99" w:rsidRDefault="00932C00" w:rsidP="00932C00">
      <w:pPr>
        <w:jc w:val="both"/>
        <w:rPr>
          <w:rFonts w:cs="Arial"/>
        </w:rPr>
      </w:pPr>
      <w:r w:rsidRPr="00932C00">
        <w:rPr>
          <w:rFonts w:cs="Arial"/>
          <w:b/>
          <w:bCs/>
        </w:rPr>
        <w:t xml:space="preserve">Falta de interés para obrar por coexistencia de un proceso pendiente entre las mismas partes y por la misma </w:t>
      </w:r>
      <w:proofErr w:type="gramStart"/>
      <w:r w:rsidRPr="00932C00">
        <w:rPr>
          <w:rFonts w:cs="Arial"/>
          <w:b/>
          <w:bCs/>
        </w:rPr>
        <w:t>causa</w:t>
      </w:r>
      <w:r w:rsidRPr="00932C00">
        <w:rPr>
          <w:rFonts w:cs="Arial"/>
        </w:rPr>
        <w:t>.-</w:t>
      </w:r>
      <w:proofErr w:type="gramEnd"/>
    </w:p>
    <w:p w14:paraId="72FE0F39" w14:textId="24F9A3E7" w:rsidR="00DC5AB3" w:rsidRDefault="00DC5AB3" w:rsidP="008505E1">
      <w:pPr>
        <w:pStyle w:val="Prrafodelista"/>
        <w:numPr>
          <w:ilvl w:val="0"/>
          <w:numId w:val="1"/>
        </w:numPr>
        <w:spacing w:line="240" w:lineRule="auto"/>
        <w:ind w:left="0" w:hanging="567"/>
        <w:jc w:val="both"/>
        <w:rPr>
          <w:rFonts w:cs="Arial"/>
        </w:rPr>
      </w:pPr>
      <w:r>
        <w:rPr>
          <w:rFonts w:cs="Arial"/>
        </w:rPr>
        <w:t>La reclamante señala:</w:t>
      </w:r>
    </w:p>
    <w:p w14:paraId="2CB8CBAC" w14:textId="18119CC7" w:rsidR="00DC5AB3" w:rsidRDefault="00DC5AB3" w:rsidP="00DC5AB3">
      <w:pPr>
        <w:pStyle w:val="Prrafodelista"/>
        <w:spacing w:line="240" w:lineRule="auto"/>
        <w:ind w:left="0"/>
        <w:jc w:val="both"/>
        <w:rPr>
          <w:rFonts w:cs="Arial"/>
        </w:rPr>
      </w:pPr>
    </w:p>
    <w:p w14:paraId="37D6AE6F" w14:textId="77777777" w:rsidR="0065453D" w:rsidRDefault="00DC5AB3" w:rsidP="00DC5AB3">
      <w:pPr>
        <w:pStyle w:val="Prrafodelista"/>
        <w:spacing w:line="240" w:lineRule="auto"/>
        <w:ind w:left="567"/>
        <w:jc w:val="both"/>
        <w:rPr>
          <w:rFonts w:cs="Arial"/>
          <w:i/>
          <w:iCs/>
        </w:rPr>
      </w:pPr>
      <w:r w:rsidRPr="00DC5AB3">
        <w:rPr>
          <w:rFonts w:cs="Arial"/>
          <w:i/>
          <w:iCs/>
        </w:rPr>
        <w:t xml:space="preserve">“… el artículo 61, numeral 7, de la Decisión 500 del CAMRE – Estatuto del Tribunal de Justicia de la Comunidad Andina (en adelante, </w:t>
      </w:r>
      <w:r w:rsidRPr="00DC5AB3">
        <w:rPr>
          <w:rFonts w:cs="Arial"/>
          <w:b/>
          <w:bCs/>
          <w:i/>
          <w:iCs/>
        </w:rPr>
        <w:t>Estatuto del TJCAN</w:t>
      </w:r>
      <w:r w:rsidRPr="00DC5AB3">
        <w:rPr>
          <w:rFonts w:cs="Arial"/>
          <w:i/>
          <w:iCs/>
        </w:rPr>
        <w:t>), prevé la excepción previa (</w:t>
      </w:r>
      <w:r w:rsidRPr="00DC5AB3">
        <w:rPr>
          <w:rFonts w:cs="Arial"/>
          <w:b/>
          <w:bCs/>
          <w:i/>
          <w:iCs/>
        </w:rPr>
        <w:t xml:space="preserve">cuestión previa </w:t>
      </w:r>
      <w:r w:rsidRPr="00DC5AB3">
        <w:rPr>
          <w:rFonts w:cs="Arial"/>
          <w:i/>
          <w:iCs/>
        </w:rPr>
        <w:t xml:space="preserve">para los procedimientos administrativos ante la </w:t>
      </w:r>
      <w:r w:rsidRPr="00DC5AB3">
        <w:rPr>
          <w:rFonts w:cs="Arial"/>
          <w:i/>
          <w:iCs/>
        </w:rPr>
        <w:lastRenderedPageBreak/>
        <w:t xml:space="preserve">SGCAN como el presente) relativa a la existencia de un </w:t>
      </w:r>
      <w:r w:rsidRPr="00DC5AB3">
        <w:rPr>
          <w:rFonts w:cs="Arial"/>
          <w:b/>
          <w:bCs/>
          <w:i/>
          <w:iCs/>
        </w:rPr>
        <w:t>proceso pendiente entre las mismas partes y el mismo asunto</w:t>
      </w:r>
      <w:r w:rsidRPr="00DC5AB3">
        <w:rPr>
          <w:rFonts w:cs="Arial"/>
          <w:i/>
          <w:iCs/>
        </w:rPr>
        <w:t xml:space="preserve">: </w:t>
      </w:r>
    </w:p>
    <w:p w14:paraId="7E88F7AA" w14:textId="77777777" w:rsidR="0065453D" w:rsidRDefault="0065453D" w:rsidP="00DC5AB3">
      <w:pPr>
        <w:pStyle w:val="Prrafodelista"/>
        <w:spacing w:line="240" w:lineRule="auto"/>
        <w:ind w:left="567"/>
        <w:jc w:val="both"/>
        <w:rPr>
          <w:rFonts w:cs="Arial"/>
          <w:i/>
          <w:iCs/>
        </w:rPr>
      </w:pPr>
    </w:p>
    <w:p w14:paraId="5648CE66" w14:textId="77777777" w:rsidR="0065453D" w:rsidRDefault="00DC5AB3" w:rsidP="00DC5AB3">
      <w:pPr>
        <w:pStyle w:val="Prrafodelista"/>
        <w:spacing w:line="240" w:lineRule="auto"/>
        <w:ind w:left="567"/>
        <w:jc w:val="both"/>
        <w:rPr>
          <w:rFonts w:cs="Arial"/>
          <w:b/>
          <w:bCs/>
          <w:i/>
          <w:iCs/>
        </w:rPr>
      </w:pPr>
      <w:r w:rsidRPr="00DC5AB3">
        <w:rPr>
          <w:rFonts w:cs="Arial"/>
          <w:b/>
          <w:bCs/>
          <w:i/>
          <w:iCs/>
        </w:rPr>
        <w:t>Artículo 61.- Excepciones previas</w:t>
      </w:r>
    </w:p>
    <w:p w14:paraId="36E720EE" w14:textId="77777777" w:rsidR="0065453D" w:rsidRDefault="00DC5AB3" w:rsidP="00DC5AB3">
      <w:pPr>
        <w:pStyle w:val="Prrafodelista"/>
        <w:spacing w:line="240" w:lineRule="auto"/>
        <w:ind w:left="567"/>
        <w:jc w:val="both"/>
        <w:rPr>
          <w:rFonts w:cs="Arial"/>
          <w:i/>
          <w:iCs/>
        </w:rPr>
      </w:pPr>
      <w:r w:rsidRPr="00DC5AB3">
        <w:rPr>
          <w:rFonts w:cs="Arial"/>
          <w:i/>
          <w:iCs/>
        </w:rPr>
        <w:t xml:space="preserve">El Tribunal resolverá, con carácter previo, las siguientes excepciones: </w:t>
      </w:r>
    </w:p>
    <w:p w14:paraId="4A68F22D" w14:textId="77777777" w:rsidR="0065453D" w:rsidRDefault="00DC5AB3" w:rsidP="00DC5AB3">
      <w:pPr>
        <w:pStyle w:val="Prrafodelista"/>
        <w:spacing w:line="240" w:lineRule="auto"/>
        <w:ind w:left="567"/>
        <w:jc w:val="both"/>
        <w:rPr>
          <w:rFonts w:cs="Arial"/>
          <w:i/>
          <w:iCs/>
        </w:rPr>
      </w:pPr>
      <w:r w:rsidRPr="00DC5AB3">
        <w:rPr>
          <w:rFonts w:cs="Arial"/>
          <w:i/>
          <w:iCs/>
        </w:rPr>
        <w:t>(…)</w:t>
      </w:r>
    </w:p>
    <w:p w14:paraId="76B8392F" w14:textId="4C40BA86" w:rsidR="00DC5AB3" w:rsidRPr="00DC5AB3" w:rsidRDefault="00DC5AB3" w:rsidP="00DC5AB3">
      <w:pPr>
        <w:pStyle w:val="Prrafodelista"/>
        <w:spacing w:line="240" w:lineRule="auto"/>
        <w:ind w:left="567"/>
        <w:jc w:val="both"/>
        <w:rPr>
          <w:rFonts w:cs="Arial"/>
          <w:i/>
          <w:iCs/>
        </w:rPr>
      </w:pPr>
      <w:r w:rsidRPr="00DC5AB3">
        <w:rPr>
          <w:rFonts w:cs="Arial"/>
          <w:i/>
          <w:iCs/>
        </w:rPr>
        <w:t>7. Proceso pendiente entre las mismas partes y sobre el mismo asunto.”</w:t>
      </w:r>
      <w:r>
        <w:rPr>
          <w:rStyle w:val="Refdenotaalpie"/>
          <w:rFonts w:cs="Arial"/>
          <w:i/>
          <w:iCs/>
        </w:rPr>
        <w:footnoteReference w:id="50"/>
      </w:r>
    </w:p>
    <w:p w14:paraId="296804CD" w14:textId="77777777" w:rsidR="00DC5AB3" w:rsidRDefault="00DC5AB3" w:rsidP="00DC5AB3">
      <w:pPr>
        <w:pStyle w:val="Prrafodelista"/>
        <w:spacing w:line="240" w:lineRule="auto"/>
        <w:ind w:left="0"/>
        <w:jc w:val="both"/>
        <w:rPr>
          <w:rFonts w:cs="Arial"/>
        </w:rPr>
      </w:pPr>
    </w:p>
    <w:p w14:paraId="47DB52B0" w14:textId="1DE28D9F" w:rsidR="005B5A99" w:rsidRDefault="006D06D9" w:rsidP="008505E1">
      <w:pPr>
        <w:pStyle w:val="Prrafodelista"/>
        <w:numPr>
          <w:ilvl w:val="0"/>
          <w:numId w:val="1"/>
        </w:numPr>
        <w:spacing w:line="240" w:lineRule="auto"/>
        <w:ind w:left="0" w:hanging="567"/>
        <w:jc w:val="both"/>
        <w:rPr>
          <w:rFonts w:cs="Arial"/>
        </w:rPr>
      </w:pPr>
      <w:r>
        <w:rPr>
          <w:rFonts w:cs="Arial"/>
        </w:rPr>
        <w:t>Indican que</w:t>
      </w:r>
      <w:r w:rsidRPr="006D06D9">
        <w:rPr>
          <w:rFonts w:cs="Arial"/>
        </w:rPr>
        <w:t xml:space="preserve"> resulta necesario </w:t>
      </w:r>
      <w:r>
        <w:rPr>
          <w:rFonts w:cs="Arial"/>
        </w:rPr>
        <w:t xml:space="preserve">que se </w:t>
      </w:r>
      <w:r w:rsidRPr="006D06D9">
        <w:rPr>
          <w:rFonts w:cs="Arial"/>
        </w:rPr>
        <w:t>cumpla con el requisito referido a la inexistencia de un proceso pendiente entre las mismas partes por la misma causa</w:t>
      </w:r>
      <w:r>
        <w:rPr>
          <w:rFonts w:cs="Arial"/>
        </w:rPr>
        <w:t xml:space="preserve"> en el derecho interno, precisando la jurisprudencia del proceso 01-AI-2017</w:t>
      </w:r>
      <w:r>
        <w:rPr>
          <w:rStyle w:val="Refdenotaalpie"/>
          <w:rFonts w:cs="Arial"/>
        </w:rPr>
        <w:footnoteReference w:id="51"/>
      </w:r>
      <w:r w:rsidR="00971A52">
        <w:rPr>
          <w:rFonts w:cs="Arial"/>
        </w:rPr>
        <w:t xml:space="preserve"> y los procesos acumulados 01-AI-2016 y 02-AI-2016</w:t>
      </w:r>
      <w:r w:rsidR="00971A52">
        <w:rPr>
          <w:rStyle w:val="Refdenotaalpie"/>
          <w:rFonts w:cs="Arial"/>
        </w:rPr>
        <w:footnoteReference w:id="52"/>
      </w:r>
      <w:r w:rsidRPr="006D06D9">
        <w:rPr>
          <w:rFonts w:cs="Arial"/>
        </w:rPr>
        <w:t>.</w:t>
      </w:r>
    </w:p>
    <w:p w14:paraId="091F1480" w14:textId="77777777" w:rsidR="005B5A99" w:rsidRPr="005B5A99" w:rsidRDefault="005B5A99" w:rsidP="005B5A99">
      <w:pPr>
        <w:pStyle w:val="Prrafodelista"/>
        <w:rPr>
          <w:rFonts w:cs="Arial"/>
        </w:rPr>
      </w:pPr>
    </w:p>
    <w:p w14:paraId="55B6816E" w14:textId="4529A8FA" w:rsidR="005B5A99" w:rsidRDefault="001B0217" w:rsidP="008505E1">
      <w:pPr>
        <w:pStyle w:val="Prrafodelista"/>
        <w:numPr>
          <w:ilvl w:val="0"/>
          <w:numId w:val="1"/>
        </w:numPr>
        <w:spacing w:line="240" w:lineRule="auto"/>
        <w:ind w:left="0" w:hanging="567"/>
        <w:jc w:val="both"/>
        <w:rPr>
          <w:rFonts w:cs="Arial"/>
        </w:rPr>
      </w:pPr>
      <w:r>
        <w:rPr>
          <w:rFonts w:cs="Arial"/>
        </w:rPr>
        <w:t xml:space="preserve">Asimismo, el escrito expresa que las </w:t>
      </w:r>
      <w:r w:rsidRPr="001B0217">
        <w:rPr>
          <w:rFonts w:cs="Arial"/>
        </w:rPr>
        <w:t xml:space="preserve">empresas </w:t>
      </w:r>
      <w:proofErr w:type="spellStart"/>
      <w:r w:rsidRPr="001B0217">
        <w:rPr>
          <w:rFonts w:cs="Arial"/>
        </w:rPr>
        <w:t>Molitalia</w:t>
      </w:r>
      <w:proofErr w:type="spellEnd"/>
      <w:r w:rsidRPr="001B0217">
        <w:rPr>
          <w:rFonts w:cs="Arial"/>
        </w:rPr>
        <w:t xml:space="preserve"> S.A. y </w:t>
      </w:r>
      <w:proofErr w:type="spellStart"/>
      <w:r w:rsidRPr="001B0217">
        <w:rPr>
          <w:rFonts w:cs="Arial"/>
        </w:rPr>
        <w:t>Mondelez</w:t>
      </w:r>
      <w:proofErr w:type="spellEnd"/>
      <w:r w:rsidRPr="001B0217">
        <w:rPr>
          <w:rFonts w:cs="Arial"/>
        </w:rPr>
        <w:t xml:space="preserve"> Perú S.A.</w:t>
      </w:r>
      <w:r w:rsidRPr="001B0217">
        <w:rPr>
          <w:rFonts w:cs="Arial"/>
          <w:b/>
          <w:bCs/>
        </w:rPr>
        <w:t xml:space="preserve"> </w:t>
      </w:r>
      <w:r w:rsidRPr="001B0217">
        <w:rPr>
          <w:rFonts w:cs="Arial"/>
        </w:rPr>
        <w:t>(que fueron parte, de manera individual, de los procedimientos, en los cuales se emitieron las Resoluciones N° 2304-2019/SPC-INDECOPI y N° 2051-2019/SPC-INDECOPI, respectivamente, y que son medidas objeto del reclamo) son asociadas a la SNI, por lo que resulta que, en este procedimiento ante la SGCAN, dicho gremio actúa en representación y defensa de los intereses comerciales de dichas empresas, lo cual se enmarca en las funciones y fines previstos en su Estatut</w:t>
      </w:r>
      <w:r>
        <w:rPr>
          <w:rFonts w:cs="Arial"/>
        </w:rPr>
        <w:t>o</w:t>
      </w:r>
      <w:r>
        <w:rPr>
          <w:rStyle w:val="Refdenotaalpie"/>
          <w:rFonts w:cs="Arial"/>
        </w:rPr>
        <w:footnoteReference w:id="53"/>
      </w:r>
      <w:r>
        <w:rPr>
          <w:rFonts w:cs="Arial"/>
        </w:rPr>
        <w:t>.</w:t>
      </w:r>
    </w:p>
    <w:p w14:paraId="739E781A" w14:textId="77777777" w:rsidR="005E2F80" w:rsidRDefault="005E2F80" w:rsidP="00EC5728">
      <w:pPr>
        <w:pStyle w:val="Prrafodelista"/>
        <w:spacing w:line="240" w:lineRule="auto"/>
        <w:ind w:left="0"/>
        <w:jc w:val="both"/>
        <w:rPr>
          <w:rFonts w:cs="Arial"/>
        </w:rPr>
      </w:pPr>
    </w:p>
    <w:p w14:paraId="5C664B87" w14:textId="76106534" w:rsidR="00EC5728" w:rsidRPr="0083707D" w:rsidRDefault="00BE24B7" w:rsidP="00BE24B7">
      <w:pPr>
        <w:pStyle w:val="Prrafodelista"/>
        <w:numPr>
          <w:ilvl w:val="0"/>
          <w:numId w:val="1"/>
        </w:numPr>
        <w:spacing w:line="240" w:lineRule="auto"/>
        <w:ind w:left="0" w:hanging="567"/>
        <w:jc w:val="both"/>
        <w:rPr>
          <w:rFonts w:cs="Arial"/>
          <w:i/>
          <w:iCs/>
        </w:rPr>
      </w:pPr>
      <w:r>
        <w:rPr>
          <w:rFonts w:cs="Arial"/>
        </w:rPr>
        <w:t xml:space="preserve">La reclamada en este sentido señala que, </w:t>
      </w:r>
      <w:r w:rsidR="005E2F80" w:rsidRPr="00BE24B7">
        <w:rPr>
          <w:rFonts w:cs="Arial"/>
          <w:i/>
          <w:iCs/>
        </w:rPr>
        <w:t xml:space="preserve">“… </w:t>
      </w:r>
      <w:r w:rsidR="00EC5728" w:rsidRPr="00BE24B7">
        <w:rPr>
          <w:rFonts w:cs="Arial"/>
          <w:i/>
          <w:iCs/>
        </w:rPr>
        <w:t xml:space="preserve">constituye un hecho probado que </w:t>
      </w:r>
      <w:r w:rsidR="00EC5728" w:rsidRPr="00BE24B7">
        <w:rPr>
          <w:rFonts w:cs="Arial"/>
          <w:b/>
          <w:bCs/>
          <w:i/>
          <w:iCs/>
        </w:rPr>
        <w:t xml:space="preserve">las empresas </w:t>
      </w:r>
      <w:proofErr w:type="spellStart"/>
      <w:r w:rsidR="00EC5728" w:rsidRPr="00BE24B7">
        <w:rPr>
          <w:rFonts w:cs="Arial"/>
          <w:b/>
          <w:bCs/>
          <w:i/>
          <w:iCs/>
        </w:rPr>
        <w:t>Molitalia</w:t>
      </w:r>
      <w:proofErr w:type="spellEnd"/>
      <w:r w:rsidR="00EC5728" w:rsidRPr="00BE24B7">
        <w:rPr>
          <w:rFonts w:cs="Arial"/>
          <w:b/>
          <w:bCs/>
          <w:i/>
          <w:iCs/>
        </w:rPr>
        <w:t xml:space="preserve"> S.A. y </w:t>
      </w:r>
      <w:proofErr w:type="spellStart"/>
      <w:r w:rsidR="00EC5728" w:rsidRPr="00BE24B7">
        <w:rPr>
          <w:rFonts w:cs="Arial"/>
          <w:b/>
          <w:bCs/>
          <w:i/>
          <w:iCs/>
        </w:rPr>
        <w:t>Mondelez</w:t>
      </w:r>
      <w:proofErr w:type="spellEnd"/>
      <w:r w:rsidR="00EC5728" w:rsidRPr="00BE24B7">
        <w:rPr>
          <w:rFonts w:cs="Arial"/>
          <w:b/>
          <w:bCs/>
          <w:i/>
          <w:iCs/>
        </w:rPr>
        <w:t xml:space="preserve"> Perú S.A. se encuentran vinculadas con la SNI</w:t>
      </w:r>
      <w:r w:rsidR="00EC5728" w:rsidRPr="00BE24B7">
        <w:rPr>
          <w:rFonts w:cs="Arial"/>
          <w:i/>
          <w:iCs/>
        </w:rPr>
        <w:t>, puesto que entre ellas existe una relación jurídica de carácter asociativo (asociadas - asociación)</w:t>
      </w:r>
      <w:r w:rsidR="005E2F80" w:rsidRPr="00BE24B7">
        <w:rPr>
          <w:rFonts w:cs="Arial"/>
          <w:i/>
          <w:iCs/>
        </w:rPr>
        <w:t>”</w:t>
      </w:r>
      <w:r w:rsidR="005E2F80">
        <w:rPr>
          <w:rStyle w:val="Refdenotaalpie"/>
          <w:rFonts w:cs="Arial"/>
          <w:i/>
          <w:iCs/>
        </w:rPr>
        <w:footnoteReference w:id="54"/>
      </w:r>
      <w:r>
        <w:rPr>
          <w:rFonts w:cs="Arial"/>
          <w:i/>
          <w:iCs/>
        </w:rPr>
        <w:t xml:space="preserve">, </w:t>
      </w:r>
      <w:r>
        <w:rPr>
          <w:rFonts w:cs="Arial"/>
        </w:rPr>
        <w:t>por lo que se tiene que la S</w:t>
      </w:r>
      <w:r w:rsidR="00B45C46">
        <w:rPr>
          <w:rFonts w:cs="Arial"/>
        </w:rPr>
        <w:t>NI</w:t>
      </w:r>
      <w:r>
        <w:rPr>
          <w:rFonts w:cs="Arial"/>
        </w:rPr>
        <w:t xml:space="preserve"> interpuso reclamo en vía prejudicial ante la SGCAN en representación de sus asociadas para cuestionar las Resoluciones N° </w:t>
      </w:r>
      <w:r w:rsidRPr="00BE24B7">
        <w:rPr>
          <w:rFonts w:cs="Arial"/>
        </w:rPr>
        <w:t>2304-2019/SPC-INDECOPI y N° 2051-2019/SPC-INDECOPI y, a su vez, dichos actos administrativos han sido impugnados por las mencionadas empresas (asociadas de la SNI) ante el Poder Judicial peruano</w:t>
      </w:r>
      <w:r>
        <w:rPr>
          <w:rStyle w:val="Refdenotaalpie"/>
          <w:rFonts w:cs="Arial"/>
        </w:rPr>
        <w:footnoteReference w:id="55"/>
      </w:r>
      <w:r w:rsidR="0083707D">
        <w:rPr>
          <w:rFonts w:cs="Arial"/>
        </w:rPr>
        <w:t>. Al respecto indica:</w:t>
      </w:r>
    </w:p>
    <w:p w14:paraId="69935201" w14:textId="77777777" w:rsidR="0083707D" w:rsidRPr="0083707D" w:rsidRDefault="0083707D" w:rsidP="0083707D">
      <w:pPr>
        <w:pStyle w:val="Prrafodelista"/>
        <w:rPr>
          <w:rFonts w:cs="Arial"/>
          <w:i/>
          <w:iCs/>
        </w:rPr>
      </w:pPr>
    </w:p>
    <w:p w14:paraId="3ED76D92" w14:textId="041772F7" w:rsidR="0083707D" w:rsidRPr="00BE24B7" w:rsidRDefault="0083707D" w:rsidP="0083707D">
      <w:pPr>
        <w:pStyle w:val="Prrafodelista"/>
        <w:spacing w:line="240" w:lineRule="auto"/>
        <w:ind w:left="567"/>
        <w:jc w:val="both"/>
        <w:rPr>
          <w:rFonts w:cs="Arial"/>
          <w:i/>
          <w:iCs/>
        </w:rPr>
      </w:pPr>
      <w:r>
        <w:rPr>
          <w:rFonts w:cs="Arial"/>
          <w:i/>
          <w:iCs/>
        </w:rPr>
        <w:t>“</w:t>
      </w:r>
      <w:r w:rsidRPr="0083707D">
        <w:rPr>
          <w:rFonts w:cs="Arial"/>
          <w:i/>
          <w:iCs/>
        </w:rPr>
        <w:t xml:space="preserve">Lo anterior cobra aún mayor importancia si se tiene en consideración que la Sentencia del 3 de octubre de 2022, emitida por la Quinta Sala Especializada en lo Contencioso Administrativo con Subespecialidad en Temas de Mercado de la Corte Superior de Justicia de Lima, declaró </w:t>
      </w:r>
      <w:r w:rsidRPr="0083707D">
        <w:rPr>
          <w:rFonts w:cs="Arial"/>
          <w:b/>
          <w:bCs/>
          <w:i/>
          <w:iCs/>
        </w:rPr>
        <w:t xml:space="preserve">nula </w:t>
      </w:r>
      <w:r w:rsidRPr="0083707D">
        <w:rPr>
          <w:rFonts w:cs="Arial"/>
          <w:i/>
          <w:iCs/>
        </w:rPr>
        <w:t>en parte la Resolución N° 2304-2019/SPC-INDECOPI, por lo que devolvió el expediente al Vigésimo Cuarto Juzgado Contencioso Administrativo con Sub Especialidad en Temas de Mercado</w:t>
      </w:r>
      <w:r>
        <w:rPr>
          <w:rFonts w:cs="Arial"/>
          <w:i/>
          <w:iCs/>
        </w:rPr>
        <w:t>…”</w:t>
      </w:r>
      <w:r>
        <w:rPr>
          <w:rStyle w:val="Refdenotaalpie"/>
          <w:rFonts w:cs="Arial"/>
          <w:i/>
          <w:iCs/>
        </w:rPr>
        <w:footnoteReference w:id="56"/>
      </w:r>
    </w:p>
    <w:p w14:paraId="7E64FC18" w14:textId="53B7C5FF" w:rsidR="00EC5728" w:rsidRDefault="00EC5728" w:rsidP="00EC5728">
      <w:pPr>
        <w:pStyle w:val="Prrafodelista"/>
        <w:spacing w:line="240" w:lineRule="auto"/>
        <w:ind w:left="0"/>
        <w:jc w:val="both"/>
        <w:rPr>
          <w:rFonts w:cs="Arial"/>
        </w:rPr>
      </w:pPr>
    </w:p>
    <w:p w14:paraId="4C33BB40" w14:textId="4E9CA64F" w:rsidR="004009D1" w:rsidRPr="00375F89" w:rsidRDefault="004009D1" w:rsidP="00EC5728">
      <w:pPr>
        <w:pStyle w:val="Prrafodelista"/>
        <w:spacing w:line="240" w:lineRule="auto"/>
        <w:ind w:left="0"/>
        <w:jc w:val="both"/>
        <w:rPr>
          <w:rFonts w:cs="Arial"/>
          <w:b/>
          <w:bCs/>
        </w:rPr>
      </w:pPr>
      <w:r w:rsidRPr="00375F89">
        <w:rPr>
          <w:rFonts w:cs="Arial"/>
          <w:b/>
          <w:bCs/>
        </w:rPr>
        <w:t xml:space="preserve">Falta de competencia de la SGCAN para conocer un reclamo que tiene por objeto que se deje sin efecto una norma nacional y actos administrativos </w:t>
      </w:r>
      <w:proofErr w:type="gramStart"/>
      <w:r w:rsidRPr="00375F89">
        <w:rPr>
          <w:rFonts w:cs="Arial"/>
          <w:b/>
          <w:bCs/>
        </w:rPr>
        <w:t>internos.-</w:t>
      </w:r>
      <w:proofErr w:type="gramEnd"/>
    </w:p>
    <w:p w14:paraId="6AA51697" w14:textId="77777777" w:rsidR="004009D1" w:rsidRPr="00375F89" w:rsidRDefault="004009D1" w:rsidP="00EC5728">
      <w:pPr>
        <w:pStyle w:val="Prrafodelista"/>
        <w:spacing w:line="240" w:lineRule="auto"/>
        <w:ind w:left="0"/>
        <w:jc w:val="both"/>
        <w:rPr>
          <w:rFonts w:cs="Arial"/>
        </w:rPr>
      </w:pPr>
    </w:p>
    <w:p w14:paraId="57745D9A" w14:textId="0C521307" w:rsidR="004F4475" w:rsidRPr="00375F89" w:rsidRDefault="00217A16" w:rsidP="002D0ACE">
      <w:pPr>
        <w:pStyle w:val="Prrafodelista"/>
        <w:numPr>
          <w:ilvl w:val="0"/>
          <w:numId w:val="1"/>
        </w:numPr>
        <w:spacing w:line="240" w:lineRule="auto"/>
        <w:ind w:left="0" w:hanging="567"/>
        <w:jc w:val="both"/>
        <w:rPr>
          <w:rFonts w:cs="Arial"/>
        </w:rPr>
      </w:pPr>
      <w:r w:rsidRPr="00375F89">
        <w:rPr>
          <w:rFonts w:cs="Arial"/>
        </w:rPr>
        <w:lastRenderedPageBreak/>
        <w:t>El escrito de la reclamada hace mención al artículo 107 de la Decisión 500 sobre el objeto y finalidad de la acción de incumplimiento</w:t>
      </w:r>
      <w:r w:rsidRPr="00375F89">
        <w:rPr>
          <w:rStyle w:val="Refdenotaalpie"/>
          <w:rFonts w:cs="Arial"/>
        </w:rPr>
        <w:footnoteReference w:id="57"/>
      </w:r>
      <w:r w:rsidR="00375F89" w:rsidRPr="00375F89">
        <w:rPr>
          <w:rFonts w:cs="Arial"/>
        </w:rPr>
        <w:t xml:space="preserve"> y se refiere a la parte final del escrito de la reclamante que se transcribe a continuación:</w:t>
      </w:r>
    </w:p>
    <w:p w14:paraId="43B09C87" w14:textId="6971CE97" w:rsidR="00375F89" w:rsidRPr="00375F89" w:rsidRDefault="00375F89" w:rsidP="00375F89">
      <w:pPr>
        <w:pStyle w:val="Prrafodelista"/>
        <w:spacing w:line="240" w:lineRule="auto"/>
        <w:ind w:left="0"/>
        <w:jc w:val="both"/>
        <w:rPr>
          <w:rFonts w:cs="Arial"/>
        </w:rPr>
      </w:pPr>
    </w:p>
    <w:p w14:paraId="1DD8640C" w14:textId="77777777" w:rsidR="00375F89" w:rsidRPr="00375F89" w:rsidRDefault="00375F89" w:rsidP="00375F89">
      <w:pPr>
        <w:pStyle w:val="Prrafodelista"/>
        <w:spacing w:line="240" w:lineRule="auto"/>
        <w:ind w:left="567"/>
        <w:jc w:val="both"/>
        <w:rPr>
          <w:rFonts w:cs="Arial"/>
          <w:i/>
          <w:iCs/>
        </w:rPr>
      </w:pPr>
      <w:r w:rsidRPr="00375F89">
        <w:rPr>
          <w:rFonts w:cs="Arial"/>
          <w:i/>
          <w:iCs/>
        </w:rPr>
        <w:t>“POR LO EXPUESTO:</w:t>
      </w:r>
    </w:p>
    <w:p w14:paraId="4E0F781B" w14:textId="0AA625F7" w:rsidR="00375F89" w:rsidRPr="007A6705" w:rsidRDefault="00375F89" w:rsidP="00375F89">
      <w:pPr>
        <w:pStyle w:val="Prrafodelista"/>
        <w:spacing w:line="240" w:lineRule="auto"/>
        <w:ind w:left="567"/>
        <w:jc w:val="both"/>
        <w:rPr>
          <w:rFonts w:cs="Arial"/>
        </w:rPr>
      </w:pPr>
      <w:r w:rsidRPr="00375F89">
        <w:rPr>
          <w:rFonts w:cs="Arial"/>
          <w:i/>
          <w:iCs/>
        </w:rPr>
        <w:t xml:space="preserve">Solicitamos atentamente a la Secretaría General admitir la presente solicitud y pronunciarse en su momento declarando que </w:t>
      </w:r>
      <w:r w:rsidRPr="00375F89">
        <w:rPr>
          <w:rFonts w:cs="Arial"/>
          <w:b/>
          <w:bCs/>
          <w:i/>
          <w:iCs/>
        </w:rPr>
        <w:t xml:space="preserve">la conducta de la República del Perú, </w:t>
      </w:r>
      <w:r w:rsidRPr="007A6705">
        <w:rPr>
          <w:rFonts w:cs="Arial"/>
          <w:i/>
          <w:iCs/>
        </w:rPr>
        <w:t>a través de la promulgación del Artículo 37 del Código, el oficio, el Oficio Múltiple, el Informe 118, las Resoluciones y de la Carta del Presidente Ejecutivo del INDECOPI, constituye un incumplimiento flagrante</w:t>
      </w:r>
      <w:r w:rsidRPr="00375F89">
        <w:rPr>
          <w:rFonts w:cs="Arial"/>
          <w:i/>
          <w:iCs/>
        </w:rPr>
        <w:t xml:space="preserve"> de los Artículos 1, 2, 3, 4, 5, 6, 7, 8,9, 10, 11, 12, 13, 14 y 15 de la Decisión 827, los artículos 7, 11, 25 y 37 de la Decisión 850, así como del artículo 4 del Tratado de Creación del Tribunal de Justicia</w:t>
      </w:r>
      <w:r w:rsidR="00F405EB">
        <w:rPr>
          <w:rFonts w:cs="Arial"/>
          <w:i/>
          <w:iCs/>
        </w:rPr>
        <w:t xml:space="preserve">, </w:t>
      </w:r>
      <w:r w:rsidR="00F405EB" w:rsidRPr="007A6705">
        <w:rPr>
          <w:rFonts w:cs="Arial"/>
          <w:b/>
          <w:bCs/>
          <w:i/>
          <w:iCs/>
        </w:rPr>
        <w:t>disponiendo así que se deje sin efecto dicha medida</w:t>
      </w:r>
      <w:r w:rsidR="00F405EB">
        <w:rPr>
          <w:rFonts w:cs="Arial"/>
          <w:i/>
          <w:iCs/>
        </w:rPr>
        <w:t xml:space="preserve"> y que se pronuncie conforme a lo previsto por la normativa comunitaria andina. Es decir, que la República del Perú deba emitir un reglamento técnico del artículo 37 en concordancia con las Decisiones 827 y 850.”</w:t>
      </w:r>
      <w:r w:rsidR="00F405EB">
        <w:rPr>
          <w:rStyle w:val="Refdenotaalpie"/>
          <w:rFonts w:cs="Arial"/>
          <w:i/>
          <w:iCs/>
        </w:rPr>
        <w:footnoteReference w:id="58"/>
      </w:r>
      <w:r w:rsidR="007A6705">
        <w:rPr>
          <w:rFonts w:cs="Arial"/>
          <w:i/>
          <w:iCs/>
        </w:rPr>
        <w:t xml:space="preserve"> </w:t>
      </w:r>
      <w:r w:rsidR="007A6705">
        <w:rPr>
          <w:rFonts w:cs="Arial"/>
        </w:rPr>
        <w:t>(Énfasis fuera de texto)</w:t>
      </w:r>
    </w:p>
    <w:p w14:paraId="02FD5642" w14:textId="77777777" w:rsidR="00BC2F16" w:rsidRPr="002D0ACE" w:rsidRDefault="00BC2F16" w:rsidP="002D0ACE">
      <w:pPr>
        <w:pStyle w:val="Prrafodelista"/>
        <w:spacing w:line="240" w:lineRule="auto"/>
        <w:ind w:left="0" w:hanging="567"/>
        <w:jc w:val="both"/>
        <w:rPr>
          <w:rFonts w:cs="Arial"/>
        </w:rPr>
      </w:pPr>
    </w:p>
    <w:p w14:paraId="7544D0C6" w14:textId="4A70D82F" w:rsidR="004137EE" w:rsidRPr="002D0ACE" w:rsidRDefault="00BB32AE" w:rsidP="002D0ACE">
      <w:pPr>
        <w:pStyle w:val="Prrafodelista"/>
        <w:numPr>
          <w:ilvl w:val="0"/>
          <w:numId w:val="1"/>
        </w:numPr>
        <w:spacing w:line="240" w:lineRule="auto"/>
        <w:ind w:left="0" w:hanging="567"/>
        <w:jc w:val="both"/>
        <w:rPr>
          <w:rFonts w:cs="Arial"/>
        </w:rPr>
      </w:pPr>
      <w:r>
        <w:rPr>
          <w:rFonts w:cs="Arial"/>
        </w:rPr>
        <w:t>Al respecto, manifiesta</w:t>
      </w:r>
      <w:r>
        <w:rPr>
          <w:rStyle w:val="Refdenotaalpie"/>
          <w:rFonts w:cs="Arial"/>
        </w:rPr>
        <w:footnoteReference w:id="59"/>
      </w:r>
      <w:r>
        <w:rPr>
          <w:rFonts w:cs="Arial"/>
        </w:rPr>
        <w:t xml:space="preserve"> que </w:t>
      </w:r>
      <w:r w:rsidRPr="00080556">
        <w:rPr>
          <w:rFonts w:cs="Arial"/>
          <w:i/>
          <w:iCs/>
        </w:rPr>
        <w:t xml:space="preserve">“… el objeto de la acción de incumplimiento no tiene por objetivo que la SGCAN declare la existencia de derechos particulares, sino de verificar si ha existido o no incumplimiento de un País Miembro respecto del derecho comunitario andino.” </w:t>
      </w:r>
      <w:r>
        <w:rPr>
          <w:rFonts w:cs="Arial"/>
        </w:rPr>
        <w:t xml:space="preserve">Y señala la jurisprudencia </w:t>
      </w:r>
      <w:r w:rsidR="00002A0D">
        <w:rPr>
          <w:rFonts w:cs="Arial"/>
        </w:rPr>
        <w:t>del</w:t>
      </w:r>
      <w:r>
        <w:rPr>
          <w:rFonts w:cs="Arial"/>
        </w:rPr>
        <w:t xml:space="preserve"> proceso 01-AI-2018.</w:t>
      </w:r>
    </w:p>
    <w:p w14:paraId="66975A98" w14:textId="77777777" w:rsidR="00A758CB" w:rsidRPr="002D0ACE" w:rsidRDefault="00A758CB" w:rsidP="00E16951">
      <w:pPr>
        <w:pStyle w:val="Prrafodelista"/>
        <w:spacing w:line="240" w:lineRule="auto"/>
        <w:ind w:left="0"/>
        <w:jc w:val="both"/>
        <w:rPr>
          <w:rFonts w:cs="Arial"/>
        </w:rPr>
      </w:pPr>
    </w:p>
    <w:p w14:paraId="25F9C22C" w14:textId="0BCA228D" w:rsidR="004137EE" w:rsidRDefault="00681B9D" w:rsidP="002D0ACE">
      <w:pPr>
        <w:pStyle w:val="Prrafodelista"/>
        <w:numPr>
          <w:ilvl w:val="0"/>
          <w:numId w:val="1"/>
        </w:numPr>
        <w:spacing w:line="240" w:lineRule="auto"/>
        <w:ind w:left="0" w:hanging="567"/>
        <w:jc w:val="both"/>
        <w:rPr>
          <w:rFonts w:cs="Arial"/>
        </w:rPr>
      </w:pPr>
      <w:r>
        <w:rPr>
          <w:rFonts w:cs="Arial"/>
        </w:rPr>
        <w:t xml:space="preserve">También indica que la </w:t>
      </w:r>
      <w:r w:rsidRPr="00681B9D">
        <w:rPr>
          <w:rFonts w:cs="Arial"/>
          <w:i/>
          <w:iCs/>
        </w:rPr>
        <w:t>“… señalada pretensión, sin lugar a dudas, desborda la competencia de la SGCAN en el marco de la fase prejudicial de la Acción de Incumplimiento, pues tal como se ha establecido en la jurisprudencia comunitaria andina, «</w:t>
      </w:r>
      <w:r w:rsidRPr="00681B9D">
        <w:rPr>
          <w:rFonts w:cs="Arial"/>
          <w:b/>
          <w:bCs/>
          <w:i/>
          <w:iCs/>
        </w:rPr>
        <w:t>en vía de acción de incumplimiento no se puede anular o revocar actos administrativos</w:t>
      </w:r>
      <w:r w:rsidRPr="00681B9D">
        <w:rPr>
          <w:rFonts w:cs="Arial"/>
          <w:i/>
          <w:iCs/>
        </w:rPr>
        <w:t>» y, por consiguiente, tampoco «ordenar su supresión», como lo pretenden las reclamantes.”</w:t>
      </w:r>
      <w:r>
        <w:rPr>
          <w:rStyle w:val="Refdenotaalpie"/>
          <w:rFonts w:cs="Arial"/>
          <w:i/>
          <w:iCs/>
        </w:rPr>
        <w:footnoteReference w:id="60"/>
      </w:r>
      <w:r w:rsidR="008F1DF6">
        <w:rPr>
          <w:rFonts w:cs="Arial"/>
        </w:rPr>
        <w:t xml:space="preserve"> En este sentido, señala el Dictamen 07-2012 de 14 de noviembre de 2012.</w:t>
      </w:r>
    </w:p>
    <w:p w14:paraId="757211FB" w14:textId="40E32BD1" w:rsidR="008F1DF6" w:rsidRDefault="008F1DF6" w:rsidP="008F1DF6">
      <w:pPr>
        <w:jc w:val="both"/>
        <w:rPr>
          <w:rFonts w:cs="Arial"/>
        </w:rPr>
      </w:pPr>
      <w:r w:rsidRPr="008F1DF6">
        <w:rPr>
          <w:rFonts w:cs="Arial"/>
          <w:b/>
          <w:bCs/>
        </w:rPr>
        <w:t>Indebida naturaleza de la acción puesto que las reclamantes pretenden desnaturalizar el proceso de acción de incumplimiento, equiparándolo con un proceso contencioso administrativo de plena jurisdicción. -</w:t>
      </w:r>
    </w:p>
    <w:p w14:paraId="54E2009F" w14:textId="77777777" w:rsidR="00EA295A" w:rsidRPr="00EA295A" w:rsidRDefault="00EA295A" w:rsidP="002D0ACE">
      <w:pPr>
        <w:pStyle w:val="Prrafodelista"/>
        <w:numPr>
          <w:ilvl w:val="0"/>
          <w:numId w:val="1"/>
        </w:numPr>
        <w:spacing w:line="240" w:lineRule="auto"/>
        <w:ind w:left="0" w:hanging="567"/>
        <w:jc w:val="both"/>
        <w:rPr>
          <w:rFonts w:cs="Arial"/>
          <w:b/>
          <w:bCs/>
          <w:u w:val="single"/>
        </w:rPr>
      </w:pPr>
      <w:r>
        <w:rPr>
          <w:rFonts w:cs="Arial"/>
        </w:rPr>
        <w:t xml:space="preserve">Se refiere a la </w:t>
      </w:r>
      <w:r w:rsidRPr="00EA295A">
        <w:rPr>
          <w:rFonts w:cs="Arial"/>
        </w:rPr>
        <w:t>naturaleza de la acción de incumplimiento</w:t>
      </w:r>
      <w:r>
        <w:rPr>
          <w:rFonts w:cs="Arial"/>
        </w:rPr>
        <w:t xml:space="preserve"> en las normas comunitarias y en la jurisprudencia del</w:t>
      </w:r>
      <w:r w:rsidRPr="00EA295A">
        <w:rPr>
          <w:rFonts w:cs="Arial"/>
        </w:rPr>
        <w:t xml:space="preserve"> TJCAN</w:t>
      </w:r>
      <w:r>
        <w:rPr>
          <w:rFonts w:cs="Arial"/>
        </w:rPr>
        <w:t xml:space="preserve">, específicamente </w:t>
      </w:r>
      <w:r w:rsidRPr="00EA295A">
        <w:rPr>
          <w:rFonts w:cs="Arial"/>
        </w:rPr>
        <w:t xml:space="preserve">en la Sentencia del 27 de octubre de 1999 recaída en el Proceso 04-AI-9824 </w:t>
      </w:r>
      <w:r>
        <w:rPr>
          <w:rFonts w:cs="Arial"/>
        </w:rPr>
        <w:t>que señala:</w:t>
      </w:r>
    </w:p>
    <w:p w14:paraId="6A516AB3" w14:textId="77777777" w:rsidR="00EA295A" w:rsidRDefault="00EA295A" w:rsidP="00EA295A">
      <w:pPr>
        <w:pStyle w:val="Prrafodelista"/>
        <w:spacing w:line="240" w:lineRule="auto"/>
        <w:ind w:left="0"/>
        <w:jc w:val="both"/>
        <w:rPr>
          <w:rFonts w:cs="Arial"/>
        </w:rPr>
      </w:pPr>
    </w:p>
    <w:p w14:paraId="56D294B4" w14:textId="5DF6EFE0" w:rsidR="00EA295A" w:rsidRPr="00EA295A" w:rsidRDefault="00EA295A" w:rsidP="00EA295A">
      <w:pPr>
        <w:pStyle w:val="Prrafodelista"/>
        <w:spacing w:line="240" w:lineRule="auto"/>
        <w:ind w:left="567"/>
        <w:jc w:val="both"/>
        <w:rPr>
          <w:rFonts w:cs="Arial"/>
          <w:b/>
          <w:bCs/>
          <w:u w:val="single"/>
        </w:rPr>
      </w:pPr>
      <w:r w:rsidRPr="00EA295A">
        <w:rPr>
          <w:rFonts w:cs="Arial"/>
          <w:i/>
          <w:iCs/>
        </w:rPr>
        <w:t>“En cuanto hace a la naturaleza de la acción de incumplimiento, ésta es esencialmente contenciosa y la sentencia que de ella se derive no sólo es declarativa en el sentido de limitarse a la mera declaración de la existencia de un derecho o de una obligación, sino que también está llamada a imponer el cumplimiento de una prestación de hacer o de no hacer (Couture). Así se desprende claramente de lo dispuesto en el artículo 25 del Tratado de Creación del Tribunal, cuando establece que la sentencia de incumplimiento implica para el País cuya conducta ha sido objeto de reclamo, la obligación de adoptar las medidas necesarias para la ejecución de la sentencia, dentro del plazo determinado de tres meses, a partir de su notificación”.</w:t>
      </w:r>
      <w:r>
        <w:rPr>
          <w:rStyle w:val="Refdenotaalpie"/>
          <w:rFonts w:cs="Arial"/>
          <w:i/>
          <w:iCs/>
        </w:rPr>
        <w:footnoteReference w:id="61"/>
      </w:r>
    </w:p>
    <w:p w14:paraId="509BF2F2" w14:textId="61539105" w:rsidR="00EA295A" w:rsidRPr="00EA295A" w:rsidRDefault="00EA295A" w:rsidP="00EA295A">
      <w:pPr>
        <w:pStyle w:val="Prrafodelista"/>
        <w:spacing w:line="240" w:lineRule="auto"/>
        <w:ind w:left="0"/>
        <w:jc w:val="both"/>
        <w:rPr>
          <w:rFonts w:cs="Arial"/>
          <w:b/>
          <w:bCs/>
          <w:u w:val="single"/>
        </w:rPr>
      </w:pPr>
    </w:p>
    <w:p w14:paraId="67E39CB3" w14:textId="492E9423" w:rsidR="00EA295A" w:rsidRPr="00A505AE" w:rsidRDefault="00A505AE" w:rsidP="002D0ACE">
      <w:pPr>
        <w:pStyle w:val="Prrafodelista"/>
        <w:numPr>
          <w:ilvl w:val="0"/>
          <w:numId w:val="1"/>
        </w:numPr>
        <w:spacing w:line="240" w:lineRule="auto"/>
        <w:ind w:left="0" w:hanging="567"/>
        <w:jc w:val="both"/>
        <w:rPr>
          <w:rFonts w:cs="Arial"/>
        </w:rPr>
      </w:pPr>
      <w:r>
        <w:rPr>
          <w:rFonts w:cs="Arial"/>
        </w:rPr>
        <w:t xml:space="preserve">Sostiene que la reclamante, contrarios </w:t>
      </w:r>
      <w:r w:rsidRPr="00A505AE">
        <w:rPr>
          <w:rFonts w:cs="Arial"/>
        </w:rPr>
        <w:t xml:space="preserve">a la naturaleza y fines de la </w:t>
      </w:r>
      <w:r>
        <w:rPr>
          <w:rFonts w:cs="Arial"/>
        </w:rPr>
        <w:t>a</w:t>
      </w:r>
      <w:r w:rsidRPr="00A505AE">
        <w:rPr>
          <w:rFonts w:cs="Arial"/>
        </w:rPr>
        <w:t xml:space="preserve">cción de </w:t>
      </w:r>
      <w:r>
        <w:rPr>
          <w:rFonts w:cs="Arial"/>
        </w:rPr>
        <w:t>i</w:t>
      </w:r>
      <w:r w:rsidRPr="00A505AE">
        <w:rPr>
          <w:rFonts w:cs="Arial"/>
        </w:rPr>
        <w:t>ncumplimiento, buscan la supresión jurídica de actos internos que es propia de las acciones contencioso-administrativas</w:t>
      </w:r>
      <w:r>
        <w:rPr>
          <w:rStyle w:val="Refdenotaalpie"/>
          <w:rFonts w:cs="Arial"/>
        </w:rPr>
        <w:footnoteReference w:id="62"/>
      </w:r>
      <w:r>
        <w:rPr>
          <w:rFonts w:cs="Arial"/>
        </w:rPr>
        <w:t>.</w:t>
      </w:r>
    </w:p>
    <w:p w14:paraId="56693157" w14:textId="21FF7C62" w:rsidR="00EA295A" w:rsidRPr="00EA295A" w:rsidRDefault="00EA295A" w:rsidP="00EA295A">
      <w:pPr>
        <w:pStyle w:val="Prrafodelista"/>
        <w:spacing w:line="240" w:lineRule="auto"/>
        <w:ind w:left="0"/>
        <w:jc w:val="both"/>
        <w:rPr>
          <w:rFonts w:cs="Arial"/>
          <w:b/>
          <w:bCs/>
          <w:u w:val="single"/>
        </w:rPr>
      </w:pPr>
    </w:p>
    <w:p w14:paraId="24F5C2E7" w14:textId="6FA58322" w:rsidR="00BA6A7D" w:rsidRDefault="00ED75EA" w:rsidP="002D0ACE">
      <w:pPr>
        <w:pStyle w:val="Prrafodelista"/>
        <w:numPr>
          <w:ilvl w:val="0"/>
          <w:numId w:val="1"/>
        </w:numPr>
        <w:spacing w:line="240" w:lineRule="auto"/>
        <w:ind w:left="0" w:hanging="567"/>
        <w:jc w:val="both"/>
        <w:rPr>
          <w:rFonts w:cs="Arial"/>
        </w:rPr>
      </w:pPr>
      <w:r>
        <w:rPr>
          <w:rFonts w:cs="Arial"/>
        </w:rPr>
        <w:t xml:space="preserve">Señala que el artículo 37 del Código </w:t>
      </w:r>
      <w:r w:rsidR="007B7F19">
        <w:rPr>
          <w:rFonts w:cs="Arial"/>
        </w:rPr>
        <w:t>y los otros documentos (</w:t>
      </w:r>
      <w:r w:rsidR="007B7F19" w:rsidRPr="007B7F19">
        <w:rPr>
          <w:rFonts w:cs="Arial"/>
        </w:rPr>
        <w:t xml:space="preserve">comunicaciones de entidades del Poder Ejecutivo peruano de mero trámite y actos administrativos con efectos jurídicos particulares y no generales que fueron impugnados al Poder Judicial peruano), no constituyen conductas que ameriten de tutela al amparo de una </w:t>
      </w:r>
      <w:r w:rsidR="007B7F19">
        <w:rPr>
          <w:rFonts w:cs="Arial"/>
        </w:rPr>
        <w:t>a</w:t>
      </w:r>
      <w:r w:rsidR="007B7F19" w:rsidRPr="007B7F19">
        <w:rPr>
          <w:rFonts w:cs="Arial"/>
        </w:rPr>
        <w:t xml:space="preserve">cción de </w:t>
      </w:r>
      <w:r w:rsidR="007B7F19">
        <w:rPr>
          <w:rFonts w:cs="Arial"/>
        </w:rPr>
        <w:t>i</w:t>
      </w:r>
      <w:r w:rsidR="007B7F19" w:rsidRPr="007B7F19">
        <w:rPr>
          <w:rFonts w:cs="Arial"/>
        </w:rPr>
        <w:t>ncumplimiento</w:t>
      </w:r>
      <w:r w:rsidR="007B7F19">
        <w:rPr>
          <w:rFonts w:cs="Arial"/>
        </w:rPr>
        <w:t>.</w:t>
      </w:r>
      <w:r w:rsidR="007B7F19">
        <w:rPr>
          <w:rStyle w:val="Refdenotaalpie"/>
          <w:rFonts w:cs="Arial"/>
        </w:rPr>
        <w:footnoteReference w:id="63"/>
      </w:r>
    </w:p>
    <w:p w14:paraId="30732DA4" w14:textId="77777777" w:rsidR="007B7F19" w:rsidRPr="007B7F19" w:rsidRDefault="007B7F19" w:rsidP="007B7F19">
      <w:pPr>
        <w:pStyle w:val="Prrafodelista"/>
        <w:rPr>
          <w:rFonts w:cs="Arial"/>
        </w:rPr>
      </w:pPr>
    </w:p>
    <w:p w14:paraId="3793B079" w14:textId="10E9F95E" w:rsidR="00ED75EA" w:rsidRPr="00ED75EA" w:rsidRDefault="00B019DD" w:rsidP="002D0ACE">
      <w:pPr>
        <w:pStyle w:val="Prrafodelista"/>
        <w:numPr>
          <w:ilvl w:val="0"/>
          <w:numId w:val="1"/>
        </w:numPr>
        <w:spacing w:line="240" w:lineRule="auto"/>
        <w:ind w:left="0" w:hanging="567"/>
        <w:jc w:val="both"/>
        <w:rPr>
          <w:rFonts w:cs="Arial"/>
          <w:i/>
          <w:iCs/>
        </w:rPr>
      </w:pPr>
      <w:r>
        <w:rPr>
          <w:rFonts w:cs="Arial"/>
        </w:rPr>
        <w:t xml:space="preserve">También indican que es </w:t>
      </w:r>
      <w:r w:rsidRPr="00B019DD">
        <w:rPr>
          <w:rFonts w:cs="Arial"/>
          <w:i/>
          <w:iCs/>
        </w:rPr>
        <w:t xml:space="preserve">“… preciso señalar que la referida disposición del Código </w:t>
      </w:r>
      <w:r w:rsidRPr="003E4DC3">
        <w:rPr>
          <w:rFonts w:cs="Arial"/>
          <w:b/>
          <w:bCs/>
          <w:i/>
          <w:iCs/>
        </w:rPr>
        <w:t>no puede ni debe ser leída de manera aislada</w:t>
      </w:r>
      <w:r w:rsidRPr="00B019DD">
        <w:rPr>
          <w:rFonts w:cs="Arial"/>
          <w:i/>
          <w:iCs/>
        </w:rPr>
        <w:t xml:space="preserve">, ya que, si bien el artículo 37 establece un mandato respecto del etiquetado de los alimentos con componentes genéticamente modificados, </w:t>
      </w:r>
      <w:r w:rsidRPr="003E4DC3">
        <w:rPr>
          <w:rFonts w:cs="Arial"/>
          <w:b/>
          <w:bCs/>
          <w:i/>
          <w:iCs/>
        </w:rPr>
        <w:t>se establece expresamente en la Tercera Disposición Complementaria Final del Código, la obligación de expedir las disposiciones reglamentarias</w:t>
      </w:r>
      <w:r w:rsidRPr="00B019DD">
        <w:rPr>
          <w:rFonts w:cs="Arial"/>
          <w:i/>
          <w:iCs/>
        </w:rPr>
        <w:t xml:space="preserve"> para lo consignado en el artículo 37° de dicho cuerpo normativo.”</w:t>
      </w:r>
      <w:r>
        <w:rPr>
          <w:rStyle w:val="Refdenotaalpie"/>
          <w:rFonts w:cs="Arial"/>
          <w:i/>
          <w:iCs/>
        </w:rPr>
        <w:footnoteReference w:id="64"/>
      </w:r>
      <w:r w:rsidR="003E4DC3">
        <w:rPr>
          <w:rFonts w:cs="Arial"/>
          <w:i/>
          <w:iCs/>
        </w:rPr>
        <w:t xml:space="preserve"> </w:t>
      </w:r>
      <w:r w:rsidR="003E4DC3">
        <w:rPr>
          <w:rFonts w:cs="Arial"/>
        </w:rPr>
        <w:t>(Énfasis fuera de texto)</w:t>
      </w:r>
    </w:p>
    <w:p w14:paraId="37E5DCBC" w14:textId="77777777" w:rsidR="00ED75EA" w:rsidRPr="00ED75EA" w:rsidRDefault="00ED75EA" w:rsidP="00ED75EA">
      <w:pPr>
        <w:pStyle w:val="Prrafodelista"/>
        <w:rPr>
          <w:rFonts w:cs="Arial"/>
        </w:rPr>
      </w:pPr>
    </w:p>
    <w:p w14:paraId="33110ED7" w14:textId="3BA4AD28" w:rsidR="007B7F19" w:rsidRPr="00AD2662" w:rsidRDefault="00AD2662" w:rsidP="002D0ACE">
      <w:pPr>
        <w:pStyle w:val="Prrafodelista"/>
        <w:numPr>
          <w:ilvl w:val="0"/>
          <w:numId w:val="1"/>
        </w:numPr>
        <w:spacing w:line="240" w:lineRule="auto"/>
        <w:ind w:left="0" w:hanging="567"/>
        <w:jc w:val="both"/>
        <w:rPr>
          <w:rFonts w:cs="Arial"/>
          <w:i/>
          <w:iCs/>
        </w:rPr>
      </w:pPr>
      <w:r>
        <w:rPr>
          <w:rFonts w:cs="Arial"/>
        </w:rPr>
        <w:t xml:space="preserve">Expresan en su escrito que </w:t>
      </w:r>
      <w:r w:rsidRPr="00AD2662">
        <w:rPr>
          <w:rFonts w:cs="Arial"/>
          <w:i/>
          <w:iCs/>
        </w:rPr>
        <w:t xml:space="preserve">“… </w:t>
      </w:r>
      <w:r w:rsidRPr="00AD2662">
        <w:rPr>
          <w:rFonts w:cs="Arial"/>
          <w:b/>
          <w:bCs/>
          <w:i/>
          <w:iCs/>
        </w:rPr>
        <w:t>en ningún caso, las Resoluciones, Oficios y Carta han generado un efecto jurídico inmediato</w:t>
      </w:r>
      <w:r w:rsidRPr="00AD2662">
        <w:rPr>
          <w:rFonts w:cs="Arial"/>
          <w:i/>
          <w:iCs/>
        </w:rPr>
        <w:t xml:space="preserve">, siendo que </w:t>
      </w:r>
      <w:r w:rsidRPr="00AD2662">
        <w:rPr>
          <w:rFonts w:cs="Arial"/>
          <w:b/>
          <w:bCs/>
          <w:i/>
          <w:iCs/>
        </w:rPr>
        <w:t xml:space="preserve">ni INDECOPI, ni ninguna otra Entidad han iniciado de oficio algún proceso de fiscalización o sanción </w:t>
      </w:r>
      <w:r w:rsidRPr="00AD2662">
        <w:rPr>
          <w:rFonts w:cs="Arial"/>
          <w:i/>
          <w:iCs/>
        </w:rPr>
        <w:t>por incumplimiento del artículo 37 del Código, con base a dichos documentos.”</w:t>
      </w:r>
      <w:r>
        <w:rPr>
          <w:rStyle w:val="Refdenotaalpie"/>
          <w:rFonts w:cs="Arial"/>
          <w:i/>
          <w:iCs/>
        </w:rPr>
        <w:footnoteReference w:id="65"/>
      </w:r>
    </w:p>
    <w:p w14:paraId="0342D6C9" w14:textId="2C1E1278" w:rsidR="00BA6A7D" w:rsidRPr="007B7F19" w:rsidRDefault="00BA6A7D" w:rsidP="00BA6A7D">
      <w:pPr>
        <w:pStyle w:val="Prrafodelista"/>
        <w:rPr>
          <w:rFonts w:cs="Arial"/>
        </w:rPr>
      </w:pPr>
    </w:p>
    <w:p w14:paraId="443E4509" w14:textId="717AE362" w:rsidR="00083316" w:rsidRPr="00083316" w:rsidRDefault="00083316" w:rsidP="002D0ACE">
      <w:pPr>
        <w:pStyle w:val="Prrafodelista"/>
        <w:numPr>
          <w:ilvl w:val="0"/>
          <w:numId w:val="1"/>
        </w:numPr>
        <w:spacing w:line="240" w:lineRule="auto"/>
        <w:ind w:left="0" w:hanging="567"/>
        <w:jc w:val="both"/>
        <w:rPr>
          <w:rFonts w:cs="Arial"/>
        </w:rPr>
      </w:pPr>
      <w:r>
        <w:rPr>
          <w:rFonts w:cs="Arial"/>
        </w:rPr>
        <w:t xml:space="preserve">La reclamada indica que los </w:t>
      </w:r>
      <w:r w:rsidRPr="00083316">
        <w:rPr>
          <w:rFonts w:cs="Arial"/>
          <w:i/>
          <w:iCs/>
        </w:rPr>
        <w:t>“… Códigos del Consumidor no constituyen reglamentos técnicos sino más bien disposiciones de carácter general cuya aplicación se encuentra supeditada a subsiguientes desarrollos normativos o reglamentarios. En este sentido, el artículo 37 del Código, antes citado, no puede dejar de leerse e interpretarse sin lo establecido en la Tercera Disposición Complementaria Final del referido Código.”</w:t>
      </w:r>
      <w:r w:rsidR="00F16394">
        <w:rPr>
          <w:rStyle w:val="Refdenotaalpie"/>
          <w:rFonts w:cs="Arial"/>
          <w:i/>
          <w:iCs/>
        </w:rPr>
        <w:footnoteReference w:id="66"/>
      </w:r>
      <w:r w:rsidR="0080664D">
        <w:rPr>
          <w:rFonts w:cs="Arial"/>
          <w:i/>
          <w:iCs/>
        </w:rPr>
        <w:t xml:space="preserve"> </w:t>
      </w:r>
      <w:r w:rsidR="0080664D">
        <w:rPr>
          <w:rFonts w:cs="Arial"/>
        </w:rPr>
        <w:t>En este marco, se debe entender que la reglamentación del artículo 37 del Código se mantiene vigente</w:t>
      </w:r>
      <w:r w:rsidR="0080664D">
        <w:rPr>
          <w:rStyle w:val="Refdenotaalpie"/>
          <w:rFonts w:cs="Arial"/>
        </w:rPr>
        <w:footnoteReference w:id="67"/>
      </w:r>
      <w:r w:rsidR="0080664D">
        <w:rPr>
          <w:rFonts w:cs="Arial"/>
        </w:rPr>
        <w:t>.</w:t>
      </w:r>
    </w:p>
    <w:p w14:paraId="23EB41CA" w14:textId="77777777" w:rsidR="00083316" w:rsidRPr="00083316" w:rsidRDefault="00083316" w:rsidP="00083316">
      <w:pPr>
        <w:pStyle w:val="Prrafodelista"/>
        <w:rPr>
          <w:rFonts w:cs="Arial"/>
        </w:rPr>
      </w:pPr>
    </w:p>
    <w:p w14:paraId="40B8C12C" w14:textId="7DBAE7CA" w:rsidR="00BA5AFF" w:rsidRPr="00BA5AFF" w:rsidRDefault="00BA5AFF" w:rsidP="002D0ACE">
      <w:pPr>
        <w:pStyle w:val="Prrafodelista"/>
        <w:numPr>
          <w:ilvl w:val="0"/>
          <w:numId w:val="1"/>
        </w:numPr>
        <w:spacing w:line="240" w:lineRule="auto"/>
        <w:ind w:left="0" w:hanging="567"/>
        <w:jc w:val="both"/>
        <w:rPr>
          <w:rFonts w:cs="Arial"/>
          <w:b/>
          <w:bCs/>
          <w:u w:val="single"/>
        </w:rPr>
      </w:pPr>
      <w:r>
        <w:rPr>
          <w:rFonts w:cs="Arial"/>
        </w:rPr>
        <w:t>En la parte de “conclusiones” la reclamada reitera varios puntos de lo ya expuesto, señalando en resumen lo siguiente:</w:t>
      </w:r>
    </w:p>
    <w:p w14:paraId="74FEC9D1" w14:textId="7CA0C45A" w:rsidR="00BA5AFF" w:rsidRPr="00554CAB" w:rsidRDefault="00BA5AFF" w:rsidP="00BA5AFF">
      <w:pPr>
        <w:ind w:left="567"/>
        <w:jc w:val="both"/>
        <w:rPr>
          <w:rFonts w:cs="Arial"/>
          <w:i/>
          <w:iCs/>
        </w:rPr>
      </w:pPr>
      <w:r w:rsidRPr="00554CAB">
        <w:rPr>
          <w:rFonts w:cs="Arial"/>
          <w:i/>
          <w:iCs/>
        </w:rPr>
        <w:t>“Resulta evidente que la reclamante ha incumplido el requisito de admisibilidad referido a la inexistencia de procesos pendientes entre las mismas partes y la misma causa (mismo asunto), establecido en el artículo 61, numeral 7, de la Decisión 500. (…)</w:t>
      </w:r>
    </w:p>
    <w:p w14:paraId="47259EBA" w14:textId="77777777" w:rsidR="00BA5AFF" w:rsidRPr="00554CAB" w:rsidRDefault="00BA5AFF" w:rsidP="00BA5AFF">
      <w:pPr>
        <w:ind w:left="567"/>
        <w:jc w:val="both"/>
        <w:rPr>
          <w:rFonts w:cs="Arial"/>
          <w:i/>
          <w:iCs/>
        </w:rPr>
      </w:pPr>
      <w:r w:rsidRPr="00554CAB">
        <w:rPr>
          <w:rFonts w:cs="Arial"/>
          <w:i/>
          <w:iCs/>
        </w:rPr>
        <w:t>La SGCAN carece de competencia para revisar actos administrativos internos, por lo que no puede tramitar un reclamo referido a medidas que consisten en resoluciones dictadas por el Tribunal del INDECOPI, las cuales incluso han sido impugnadas por los administrados ante el Poder Judicial peruano.</w:t>
      </w:r>
    </w:p>
    <w:p w14:paraId="22BEB13F" w14:textId="300A89D1" w:rsidR="00BA5AFF" w:rsidRPr="00554CAB" w:rsidRDefault="00BA5AFF" w:rsidP="00BA5AFF">
      <w:pPr>
        <w:ind w:left="567"/>
        <w:jc w:val="both"/>
        <w:rPr>
          <w:rFonts w:cs="Arial"/>
          <w:i/>
          <w:iCs/>
        </w:rPr>
      </w:pPr>
      <w:r w:rsidRPr="00554CAB">
        <w:rPr>
          <w:rFonts w:cs="Arial"/>
          <w:i/>
          <w:iCs/>
        </w:rPr>
        <w:lastRenderedPageBreak/>
        <w:t>No corresponde que la SGCAN se constituya en una tercera instancia de revisión de las resoluciones del Tribunal del INDECOPI objeto del reclamo (…)</w:t>
      </w:r>
    </w:p>
    <w:p w14:paraId="1F55EF45" w14:textId="7BD2D16B" w:rsidR="00554CAB" w:rsidRPr="00554CAB" w:rsidRDefault="00554CAB" w:rsidP="00BA5AFF">
      <w:pPr>
        <w:ind w:left="567"/>
        <w:jc w:val="both"/>
        <w:rPr>
          <w:rFonts w:cs="Arial"/>
          <w:i/>
          <w:iCs/>
        </w:rPr>
      </w:pPr>
      <w:r w:rsidRPr="00554CAB">
        <w:rPr>
          <w:rFonts w:cs="Arial"/>
          <w:i/>
          <w:iCs/>
        </w:rPr>
        <w:t>En ningún caso, las Resoluciones, Oficios y Carta han generado una afectación a los derechos subjetivos de las reclamantes, siendo que, ni el INDECOPI, ni ninguna otra Entidad, ha iniciado de oficio algún proceso de fiscalización o sanción por incumplimiento del artículo 37 del Código, con base a dichos documentos. (…)</w:t>
      </w:r>
    </w:p>
    <w:p w14:paraId="61B8E86F" w14:textId="59D44BE9" w:rsidR="00554CAB" w:rsidRPr="00554CAB" w:rsidRDefault="00554CAB" w:rsidP="00BA5AFF">
      <w:pPr>
        <w:ind w:left="567"/>
        <w:jc w:val="both"/>
        <w:rPr>
          <w:rFonts w:cs="Arial"/>
          <w:i/>
          <w:iCs/>
        </w:rPr>
      </w:pPr>
      <w:r w:rsidRPr="00554CAB">
        <w:rPr>
          <w:rFonts w:cs="Arial"/>
          <w:i/>
          <w:iCs/>
        </w:rPr>
        <w:t>El artículo 37 del Código no puede dejar de leerse e interpretarse sin lo establecido en la Tercera Disposición Complementaria Final del referido Código. (…)</w:t>
      </w:r>
    </w:p>
    <w:p w14:paraId="407113D1" w14:textId="05838412" w:rsidR="00554CAB" w:rsidRPr="00554CAB" w:rsidRDefault="00554CAB" w:rsidP="00BA5AFF">
      <w:pPr>
        <w:ind w:left="567"/>
        <w:jc w:val="both"/>
        <w:rPr>
          <w:rFonts w:cs="Arial"/>
          <w:i/>
          <w:iCs/>
        </w:rPr>
      </w:pPr>
      <w:r w:rsidRPr="00554CAB">
        <w:rPr>
          <w:rFonts w:cs="Arial"/>
          <w:i/>
          <w:iCs/>
        </w:rPr>
        <w:t>El Gobierno peruano, pese a las dificultades que atraviesa, viene desplegando importantes esfuerzos para poder culminar con el trabajo multisectorial de reglamentación del artículo 37° del Código.”</w:t>
      </w:r>
      <w:r>
        <w:rPr>
          <w:rStyle w:val="Refdenotaalpie"/>
          <w:rFonts w:cs="Arial"/>
          <w:i/>
          <w:iCs/>
        </w:rPr>
        <w:footnoteReference w:id="68"/>
      </w:r>
    </w:p>
    <w:p w14:paraId="17DD11D8" w14:textId="5E7939F7" w:rsidR="00F05F74" w:rsidRPr="002D0ACE" w:rsidRDefault="00866668" w:rsidP="002D0ACE">
      <w:pPr>
        <w:pStyle w:val="Prrafodelista"/>
        <w:numPr>
          <w:ilvl w:val="0"/>
          <w:numId w:val="1"/>
        </w:numPr>
        <w:spacing w:line="240" w:lineRule="auto"/>
        <w:ind w:left="0" w:hanging="567"/>
        <w:jc w:val="both"/>
        <w:rPr>
          <w:rFonts w:cs="Arial"/>
          <w:b/>
          <w:bCs/>
          <w:u w:val="single"/>
        </w:rPr>
      </w:pPr>
      <w:r>
        <w:rPr>
          <w:rFonts w:cs="Arial"/>
        </w:rPr>
        <w:t>En su “petitorio” solicita el archivamiento inmediato y definitivo del reclamo</w:t>
      </w:r>
      <w:r>
        <w:rPr>
          <w:rStyle w:val="Refdenotaalpie"/>
          <w:rFonts w:cs="Arial"/>
        </w:rPr>
        <w:footnoteReference w:id="69"/>
      </w:r>
      <w:r>
        <w:rPr>
          <w:rFonts w:cs="Arial"/>
        </w:rPr>
        <w:t>.</w:t>
      </w:r>
    </w:p>
    <w:p w14:paraId="7752F623" w14:textId="77777777" w:rsidR="00670133" w:rsidRPr="002D0ACE" w:rsidRDefault="00670133" w:rsidP="002D0ACE">
      <w:pPr>
        <w:pStyle w:val="Prrafodelista"/>
        <w:spacing w:line="240" w:lineRule="auto"/>
        <w:ind w:left="0" w:hanging="567"/>
        <w:jc w:val="both"/>
        <w:rPr>
          <w:rFonts w:cs="Arial"/>
          <w:b/>
          <w:bCs/>
          <w:u w:val="single"/>
        </w:rPr>
      </w:pPr>
    </w:p>
    <w:p w14:paraId="047DA110" w14:textId="6A37742F" w:rsidR="00EC5728" w:rsidRDefault="00A338D8" w:rsidP="00EC5728">
      <w:pPr>
        <w:pStyle w:val="Prrafodelista"/>
        <w:numPr>
          <w:ilvl w:val="0"/>
          <w:numId w:val="1"/>
        </w:numPr>
        <w:spacing w:line="240" w:lineRule="auto"/>
        <w:ind w:left="0" w:hanging="567"/>
        <w:jc w:val="both"/>
        <w:rPr>
          <w:rFonts w:cs="Arial"/>
        </w:rPr>
      </w:pPr>
      <w:r>
        <w:rPr>
          <w:rFonts w:cs="Arial"/>
        </w:rPr>
        <w:t>S</w:t>
      </w:r>
      <w:r w:rsidR="00EC5728" w:rsidRPr="005058CE">
        <w:rPr>
          <w:rFonts w:cs="Arial"/>
        </w:rPr>
        <w:t xml:space="preserve">olicitaron </w:t>
      </w:r>
      <w:r w:rsidR="00EC5728">
        <w:rPr>
          <w:rFonts w:cs="Arial"/>
        </w:rPr>
        <w:t xml:space="preserve">en los puntos indicados precedentemente </w:t>
      </w:r>
      <w:r w:rsidR="00EC5728" w:rsidRPr="005058CE">
        <w:rPr>
          <w:rFonts w:cs="Arial"/>
        </w:rPr>
        <w:t xml:space="preserve">que se declare fundada la presente cuestión previa y, por consiguiente, </w:t>
      </w:r>
      <w:r w:rsidR="00EC5728">
        <w:rPr>
          <w:rFonts w:cs="Arial"/>
        </w:rPr>
        <w:t xml:space="preserve">se </w:t>
      </w:r>
      <w:r w:rsidR="00EC5728" w:rsidRPr="005058CE">
        <w:rPr>
          <w:rFonts w:cs="Arial"/>
        </w:rPr>
        <w:t xml:space="preserve">rechace por improcedente el reclamo presentado; ordenando </w:t>
      </w:r>
      <w:r w:rsidR="00EC5728">
        <w:rPr>
          <w:rFonts w:cs="Arial"/>
        </w:rPr>
        <w:t>su archivo.</w:t>
      </w:r>
    </w:p>
    <w:p w14:paraId="4915A26B" w14:textId="77777777" w:rsidR="00A338D8" w:rsidRPr="00A338D8" w:rsidRDefault="00A338D8" w:rsidP="00A338D8">
      <w:pPr>
        <w:pStyle w:val="Prrafodelista"/>
        <w:rPr>
          <w:rFonts w:cs="Arial"/>
        </w:rPr>
      </w:pPr>
    </w:p>
    <w:p w14:paraId="04082F92" w14:textId="76D4605B" w:rsidR="00A338D8" w:rsidRPr="005058CE" w:rsidRDefault="00A338D8" w:rsidP="00EC5728">
      <w:pPr>
        <w:pStyle w:val="Prrafodelista"/>
        <w:numPr>
          <w:ilvl w:val="0"/>
          <w:numId w:val="1"/>
        </w:numPr>
        <w:spacing w:line="240" w:lineRule="auto"/>
        <w:ind w:left="0" w:hanging="567"/>
        <w:jc w:val="both"/>
        <w:rPr>
          <w:rFonts w:cs="Arial"/>
        </w:rPr>
      </w:pPr>
      <w:r>
        <w:rPr>
          <w:rFonts w:cs="Arial"/>
        </w:rPr>
        <w:t xml:space="preserve">Con relación a </w:t>
      </w:r>
      <w:r w:rsidRPr="00A338D8">
        <w:rPr>
          <w:rFonts w:cs="Arial"/>
        </w:rPr>
        <w:t xml:space="preserve">la Resolución N° 1385-2022/PS3 de fecha 6 de octubre de 2022 emitida por INDECOPI, </w:t>
      </w:r>
      <w:r>
        <w:rPr>
          <w:rFonts w:cs="Arial"/>
        </w:rPr>
        <w:t xml:space="preserve">la reclamada </w:t>
      </w:r>
      <w:r w:rsidRPr="00A338D8">
        <w:rPr>
          <w:rFonts w:cs="Arial"/>
        </w:rPr>
        <w:t>solicit</w:t>
      </w:r>
      <w:r>
        <w:rPr>
          <w:rFonts w:cs="Arial"/>
        </w:rPr>
        <w:t>ó</w:t>
      </w:r>
      <w:r w:rsidRPr="00A338D8">
        <w:rPr>
          <w:rFonts w:cs="Arial"/>
        </w:rPr>
        <w:t xml:space="preserve"> no tom</w:t>
      </w:r>
      <w:r>
        <w:rPr>
          <w:rFonts w:cs="Arial"/>
        </w:rPr>
        <w:t>ar</w:t>
      </w:r>
      <w:r w:rsidRPr="00A338D8">
        <w:rPr>
          <w:rFonts w:cs="Arial"/>
        </w:rPr>
        <w:t xml:space="preserve"> en cuenta </w:t>
      </w:r>
      <w:r>
        <w:rPr>
          <w:rFonts w:cs="Arial"/>
        </w:rPr>
        <w:t>la</w:t>
      </w:r>
      <w:r w:rsidRPr="00A338D8">
        <w:rPr>
          <w:rFonts w:cs="Arial"/>
        </w:rPr>
        <w:t xml:space="preserve"> información</w:t>
      </w:r>
      <w:r>
        <w:rPr>
          <w:rFonts w:cs="Arial"/>
        </w:rPr>
        <w:t>, toda vez que las medidas cuestionadas ya fueron establecidas específicamente en el reclamo</w:t>
      </w:r>
      <w:r w:rsidR="002D1F99">
        <w:rPr>
          <w:rStyle w:val="Refdenotaalpie"/>
          <w:rFonts w:cs="Arial"/>
        </w:rPr>
        <w:footnoteReference w:id="70"/>
      </w:r>
      <w:r>
        <w:rPr>
          <w:rFonts w:cs="Arial"/>
        </w:rPr>
        <w:t>.</w:t>
      </w:r>
    </w:p>
    <w:p w14:paraId="79D0A37D" w14:textId="369FB395" w:rsidR="00A22943" w:rsidRPr="00B84A31" w:rsidRDefault="00A22943" w:rsidP="00E16951">
      <w:pPr>
        <w:spacing w:after="0" w:line="240" w:lineRule="auto"/>
        <w:jc w:val="both"/>
        <w:rPr>
          <w:rFonts w:cs="Arial"/>
          <w:b/>
          <w:color w:val="FF0000"/>
        </w:rPr>
      </w:pPr>
      <w:r w:rsidRPr="00B84A31">
        <w:rPr>
          <w:rFonts w:cs="Arial"/>
          <w:b/>
        </w:rPr>
        <w:t>V</w:t>
      </w:r>
      <w:r w:rsidR="00EB5041" w:rsidRPr="00B84A31">
        <w:rPr>
          <w:rFonts w:cs="Arial"/>
          <w:b/>
        </w:rPr>
        <w:t>I</w:t>
      </w:r>
      <w:r w:rsidRPr="00B84A31">
        <w:rPr>
          <w:rFonts w:cs="Arial"/>
          <w:b/>
        </w:rPr>
        <w:t>. EXPOSICIÓN DE LOS M</w:t>
      </w:r>
      <w:r w:rsidR="002C1EB9" w:rsidRPr="00B84A31">
        <w:rPr>
          <w:rFonts w:cs="Arial"/>
          <w:b/>
        </w:rPr>
        <w:t xml:space="preserve">OTIVOS DE LA SECRETARÍA GENERAL DE LA COMUNIDAD ANDINA </w:t>
      </w:r>
      <w:r w:rsidRPr="00B84A31">
        <w:rPr>
          <w:rFonts w:cs="Arial"/>
          <w:b/>
        </w:rPr>
        <w:t>SOBRE EL ESTADO DE CUMPLIMIENTO DE LAS OBLIGACIONES COMUNITARIAS.</w:t>
      </w:r>
      <w:r w:rsidR="002C1EB9" w:rsidRPr="00B84A31">
        <w:rPr>
          <w:rFonts w:cs="Arial"/>
          <w:b/>
        </w:rPr>
        <w:t xml:space="preserve"> </w:t>
      </w:r>
      <w:r w:rsidR="006D0EBC" w:rsidRPr="00B84A31">
        <w:rPr>
          <w:rFonts w:cs="Arial"/>
          <w:b/>
        </w:rPr>
        <w:t xml:space="preserve">– </w:t>
      </w:r>
    </w:p>
    <w:p w14:paraId="183CE424" w14:textId="77777777" w:rsidR="00717B40" w:rsidRPr="00B84A31" w:rsidRDefault="00717B40" w:rsidP="00E16951">
      <w:pPr>
        <w:spacing w:after="0" w:line="240" w:lineRule="auto"/>
        <w:jc w:val="both"/>
        <w:rPr>
          <w:rFonts w:cs="Arial"/>
          <w:b/>
        </w:rPr>
      </w:pPr>
    </w:p>
    <w:p w14:paraId="5A28EA94" w14:textId="07C7590B" w:rsidR="007440B1" w:rsidRPr="00B84A31" w:rsidRDefault="00EB5041" w:rsidP="00E16951">
      <w:pPr>
        <w:spacing w:after="0" w:line="240" w:lineRule="auto"/>
        <w:rPr>
          <w:rFonts w:cs="Arial"/>
          <w:b/>
        </w:rPr>
      </w:pPr>
      <w:r w:rsidRPr="00B84A31">
        <w:rPr>
          <w:rFonts w:cs="Arial"/>
          <w:b/>
        </w:rPr>
        <w:t>6</w:t>
      </w:r>
      <w:r w:rsidR="00A22943" w:rsidRPr="00B84A31">
        <w:rPr>
          <w:rFonts w:cs="Arial"/>
          <w:b/>
        </w:rPr>
        <w:t>.1. Respecto a las cuestiones de procedimiento</w:t>
      </w:r>
    </w:p>
    <w:p w14:paraId="3E08B9A5" w14:textId="77777777" w:rsidR="007440B1" w:rsidRPr="00B84A31" w:rsidRDefault="007440B1" w:rsidP="00E16951">
      <w:pPr>
        <w:spacing w:after="0" w:line="240" w:lineRule="auto"/>
        <w:rPr>
          <w:rFonts w:cs="Arial"/>
          <w:b/>
        </w:rPr>
      </w:pPr>
    </w:p>
    <w:p w14:paraId="3F479C80" w14:textId="23B4F99E" w:rsidR="007F678E" w:rsidRPr="002D0ACE" w:rsidRDefault="00EB5041" w:rsidP="00E16951">
      <w:pPr>
        <w:spacing w:after="0" w:line="240" w:lineRule="auto"/>
        <w:jc w:val="both"/>
        <w:rPr>
          <w:rFonts w:cs="Arial"/>
          <w:b/>
        </w:rPr>
      </w:pPr>
      <w:r w:rsidRPr="00B84A31">
        <w:rPr>
          <w:rFonts w:cs="Arial"/>
          <w:b/>
        </w:rPr>
        <w:t>6</w:t>
      </w:r>
      <w:r w:rsidR="007440B1" w:rsidRPr="00B84A31">
        <w:rPr>
          <w:rFonts w:cs="Arial"/>
          <w:b/>
        </w:rPr>
        <w:t>.1.1</w:t>
      </w:r>
      <w:r w:rsidR="007F678E" w:rsidRPr="00B84A31">
        <w:rPr>
          <w:rFonts w:cs="Arial"/>
          <w:b/>
        </w:rPr>
        <w:t xml:space="preserve"> Acerca de la naturaleza de la </w:t>
      </w:r>
      <w:r w:rsidR="00460523">
        <w:rPr>
          <w:rFonts w:cs="Arial"/>
          <w:b/>
        </w:rPr>
        <w:t>f</w:t>
      </w:r>
      <w:r w:rsidR="007F678E" w:rsidRPr="00B84A31">
        <w:rPr>
          <w:rFonts w:cs="Arial"/>
          <w:b/>
        </w:rPr>
        <w:t>ase prejudicial de la acción de incumplimiento</w:t>
      </w:r>
    </w:p>
    <w:p w14:paraId="712EAA28" w14:textId="394BA1C2" w:rsidR="007F678E" w:rsidRPr="002D0ACE" w:rsidRDefault="007F678E" w:rsidP="00E16951">
      <w:pPr>
        <w:spacing w:after="0" w:line="240" w:lineRule="auto"/>
        <w:rPr>
          <w:rFonts w:cs="Arial"/>
          <w:b/>
        </w:rPr>
      </w:pPr>
    </w:p>
    <w:p w14:paraId="4FB4FDB9" w14:textId="3FC69DC3" w:rsidR="007F678E" w:rsidRPr="002D0ACE" w:rsidRDefault="007F678E" w:rsidP="002D0ACE">
      <w:pPr>
        <w:pStyle w:val="Prrafodelista"/>
        <w:numPr>
          <w:ilvl w:val="0"/>
          <w:numId w:val="1"/>
        </w:numPr>
        <w:spacing w:line="240" w:lineRule="auto"/>
        <w:ind w:left="0" w:hanging="567"/>
        <w:jc w:val="both"/>
        <w:rPr>
          <w:rFonts w:cs="Arial"/>
        </w:rPr>
      </w:pPr>
      <w:r w:rsidRPr="002D0ACE">
        <w:rPr>
          <w:rFonts w:cs="Arial"/>
        </w:rPr>
        <w:t>De la revisión y análisis de los argumentos presentados por las partes, encuentra este órgano comunitario, la necesidad de precisar la naturaleza de la Fase Prejudicial de la Acción de Incumplimiento y las facultades que en dicho marco le son dadas a la SGCAN.</w:t>
      </w:r>
    </w:p>
    <w:p w14:paraId="419F09B2" w14:textId="77777777" w:rsidR="007F678E" w:rsidRPr="002D0ACE" w:rsidRDefault="007F678E" w:rsidP="002D0ACE">
      <w:pPr>
        <w:pStyle w:val="Prrafodelista"/>
        <w:tabs>
          <w:tab w:val="left" w:pos="142"/>
        </w:tabs>
        <w:spacing w:line="240" w:lineRule="auto"/>
        <w:ind w:left="0" w:hanging="567"/>
        <w:jc w:val="both"/>
        <w:rPr>
          <w:rFonts w:cs="Arial"/>
        </w:rPr>
      </w:pPr>
    </w:p>
    <w:p w14:paraId="22AA8918" w14:textId="7159DB63" w:rsidR="007F678E" w:rsidRPr="002D0ACE" w:rsidRDefault="007F678E" w:rsidP="002D0ACE">
      <w:pPr>
        <w:pStyle w:val="Prrafodelista"/>
        <w:numPr>
          <w:ilvl w:val="0"/>
          <w:numId w:val="1"/>
        </w:numPr>
        <w:spacing w:line="240" w:lineRule="auto"/>
        <w:ind w:left="0" w:hanging="567"/>
        <w:jc w:val="both"/>
        <w:rPr>
          <w:rFonts w:cs="Arial"/>
        </w:rPr>
      </w:pPr>
      <w:r w:rsidRPr="002D0ACE">
        <w:rPr>
          <w:rFonts w:cs="Arial"/>
        </w:rPr>
        <w:t>El Acuerdo de Cartagena le otorgó a la SGCAN la función de velar por la aplicación del Acuerdo y por el cumplimiento de las normas que conforman el ordenamiento jurídico de la Comunidad Andina</w:t>
      </w:r>
      <w:r w:rsidRPr="002D0ACE">
        <w:rPr>
          <w:rStyle w:val="Refdenotaalpie"/>
          <w:rFonts w:cs="Arial"/>
        </w:rPr>
        <w:footnoteReference w:id="71"/>
      </w:r>
      <w:r w:rsidRPr="002D0ACE">
        <w:rPr>
          <w:rFonts w:cs="Arial"/>
        </w:rPr>
        <w:t>.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procedibilidad, que se deberá agotar una etapa prejudicial ante dicha SGCAN antes de acudir ante el Alto Tribunal de la Comunidad Andina</w:t>
      </w:r>
      <w:r w:rsidRPr="002D0ACE">
        <w:rPr>
          <w:rStyle w:val="Refdenotaalpie"/>
          <w:rFonts w:cs="Arial"/>
        </w:rPr>
        <w:footnoteReference w:id="72"/>
      </w:r>
      <w:r w:rsidRPr="002D0ACE">
        <w:rPr>
          <w:rFonts w:cs="Arial"/>
        </w:rPr>
        <w:t>.</w:t>
      </w:r>
    </w:p>
    <w:p w14:paraId="1F4264B8" w14:textId="77777777" w:rsidR="007F678E" w:rsidRPr="002D0ACE" w:rsidRDefault="007F678E" w:rsidP="002D0ACE">
      <w:pPr>
        <w:pStyle w:val="Prrafodelista"/>
        <w:tabs>
          <w:tab w:val="left" w:pos="142"/>
        </w:tabs>
        <w:spacing w:line="240" w:lineRule="auto"/>
        <w:ind w:left="0" w:hanging="567"/>
        <w:jc w:val="both"/>
        <w:rPr>
          <w:rFonts w:cs="Arial"/>
        </w:rPr>
      </w:pPr>
    </w:p>
    <w:p w14:paraId="0193717D" w14:textId="77777777" w:rsidR="007F678E" w:rsidRPr="002D0ACE" w:rsidRDefault="007F678E" w:rsidP="002D0ACE">
      <w:pPr>
        <w:pStyle w:val="Prrafodelista"/>
        <w:numPr>
          <w:ilvl w:val="0"/>
          <w:numId w:val="1"/>
        </w:numPr>
        <w:spacing w:line="240" w:lineRule="auto"/>
        <w:ind w:left="0" w:hanging="567"/>
        <w:jc w:val="both"/>
        <w:rPr>
          <w:rFonts w:cs="Arial"/>
        </w:rPr>
      </w:pPr>
      <w:r w:rsidRPr="002D0ACE">
        <w:rPr>
          <w:rFonts w:cs="Arial"/>
        </w:rPr>
        <w:t xml:space="preserve">La acción de Incumplimiento tiene como función garantizar que los Países Miembros se conduzcan de conformidad con los compromisos que han adquirido en el ámbito </w:t>
      </w:r>
      <w:r w:rsidRPr="002D0ACE">
        <w:rPr>
          <w:rFonts w:cs="Arial"/>
        </w:rPr>
        <w:lastRenderedPageBreak/>
        <w:t>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10758272" w14:textId="77777777" w:rsidR="007F678E" w:rsidRPr="002D0ACE" w:rsidRDefault="007F678E" w:rsidP="0031570A">
      <w:pPr>
        <w:spacing w:line="240" w:lineRule="auto"/>
        <w:ind w:left="567"/>
        <w:jc w:val="both"/>
        <w:rPr>
          <w:rFonts w:cs="Arial"/>
          <w:i/>
        </w:rPr>
      </w:pPr>
      <w:r w:rsidRPr="002D0ACE">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2D0ACE">
        <w:rPr>
          <w:rFonts w:cs="Arial"/>
          <w:i/>
          <w:u w:val="single"/>
        </w:rPr>
        <w:t>ya que mediante su ejecución se controla la eficacia del Ordenamiento</w:t>
      </w:r>
      <w:r w:rsidRPr="002D0ACE">
        <w:rPr>
          <w:rFonts w:cs="Arial"/>
          <w:i/>
          <w:iCs/>
          <w:u w:val="single"/>
        </w:rPr>
        <w:t xml:space="preserve"> Jurídico Comunitario y, por lo tanto, se propende al logro cabal de las finalidades del Acuerdo de Cartagena</w:t>
      </w:r>
      <w:r w:rsidRPr="002D0ACE">
        <w:rPr>
          <w:rFonts w:cs="Arial"/>
          <w:i/>
          <w:iCs/>
        </w:rPr>
        <w:t>.”</w:t>
      </w:r>
      <w:r w:rsidRPr="002D0ACE">
        <w:rPr>
          <w:rStyle w:val="Refdenotaalpie"/>
          <w:rFonts w:cs="Arial"/>
          <w:i/>
          <w:iCs/>
        </w:rPr>
        <w:footnoteReference w:id="73"/>
      </w:r>
      <w:r w:rsidRPr="002D0ACE">
        <w:rPr>
          <w:rFonts w:cs="Arial"/>
          <w:i/>
          <w:iCs/>
        </w:rPr>
        <w:t xml:space="preserve"> (</w:t>
      </w:r>
      <w:r w:rsidRPr="002D0ACE">
        <w:rPr>
          <w:rFonts w:cs="Arial"/>
          <w:i/>
        </w:rPr>
        <w:t xml:space="preserve">Énfasis agregado) </w:t>
      </w:r>
    </w:p>
    <w:p w14:paraId="071A09D3" w14:textId="77777777" w:rsidR="007F678E" w:rsidRPr="002D0ACE" w:rsidRDefault="007F678E" w:rsidP="0031570A">
      <w:pPr>
        <w:spacing w:line="240" w:lineRule="auto"/>
        <w:ind w:left="567"/>
        <w:jc w:val="both"/>
        <w:rPr>
          <w:rFonts w:cs="Arial"/>
          <w:i/>
        </w:rPr>
      </w:pPr>
      <w:r w:rsidRPr="002D0ACE">
        <w:rPr>
          <w:rFonts w:cs="Arial"/>
          <w:i/>
          <w:iCs/>
        </w:rPr>
        <w:t xml:space="preserve">“No se trata, por tanto, de un mecanismo que faculte al TJCAN a identificar o perseguir conductas de incumplimiento de los Países Miembros para retribuirlas o sancionarlas, </w:t>
      </w:r>
      <w:r w:rsidRPr="002D0ACE">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2D0ACE">
        <w:rPr>
          <w:rFonts w:cs="Arial"/>
          <w:i/>
          <w:iCs/>
        </w:rPr>
        <w:t>”</w:t>
      </w:r>
      <w:r w:rsidRPr="002D0ACE">
        <w:rPr>
          <w:rStyle w:val="Refdenotaalpie"/>
          <w:rFonts w:cs="Arial"/>
          <w:i/>
          <w:iCs/>
        </w:rPr>
        <w:footnoteReference w:id="74"/>
      </w:r>
      <w:r w:rsidRPr="002D0ACE">
        <w:rPr>
          <w:rFonts w:cs="Arial"/>
          <w:i/>
          <w:iCs/>
        </w:rPr>
        <w:t>(Énfasis agregado)</w:t>
      </w:r>
    </w:p>
    <w:p w14:paraId="35182C27" w14:textId="38996CE4" w:rsidR="00975E44" w:rsidRPr="002D0ACE" w:rsidRDefault="00975E44" w:rsidP="002D0ACE">
      <w:pPr>
        <w:pStyle w:val="Prrafodelista"/>
        <w:numPr>
          <w:ilvl w:val="0"/>
          <w:numId w:val="1"/>
        </w:numPr>
        <w:spacing w:line="240" w:lineRule="auto"/>
        <w:ind w:left="0" w:hanging="567"/>
        <w:jc w:val="both"/>
        <w:rPr>
          <w:rFonts w:cs="Arial"/>
        </w:rPr>
      </w:pPr>
      <w:r w:rsidRPr="002D0ACE">
        <w:rPr>
          <w:rFonts w:cs="Arial"/>
        </w:rPr>
        <w:t>A respecto, el TJCAN contiene basta jurisprudencia que persigue garantizar la observancia de los objetivos del proceso de integración dentro de la Comunidad Andina, mediante la verificación del cumplimiento de los compromisos que han asumido los Países Miembros.</w:t>
      </w:r>
    </w:p>
    <w:p w14:paraId="70F34AEE" w14:textId="77777777" w:rsidR="00975E44" w:rsidRPr="002D0ACE" w:rsidRDefault="00975E44" w:rsidP="002D0ACE">
      <w:pPr>
        <w:pStyle w:val="Prrafodelista"/>
        <w:tabs>
          <w:tab w:val="left" w:pos="142"/>
        </w:tabs>
        <w:spacing w:line="240" w:lineRule="auto"/>
        <w:ind w:left="0" w:hanging="567"/>
        <w:jc w:val="both"/>
        <w:rPr>
          <w:rFonts w:cs="Arial"/>
        </w:rPr>
      </w:pPr>
    </w:p>
    <w:p w14:paraId="05EE62BC" w14:textId="77777777" w:rsidR="00975E44" w:rsidRPr="002D0ACE" w:rsidRDefault="00975E44" w:rsidP="002D0ACE">
      <w:pPr>
        <w:pStyle w:val="Prrafodelista"/>
        <w:numPr>
          <w:ilvl w:val="0"/>
          <w:numId w:val="1"/>
        </w:numPr>
        <w:spacing w:line="240" w:lineRule="auto"/>
        <w:ind w:left="0" w:hanging="567"/>
        <w:jc w:val="both"/>
        <w:rPr>
          <w:rFonts w:cs="Arial"/>
        </w:rPr>
      </w:pPr>
      <w:r w:rsidRPr="002D0ACE">
        <w:rPr>
          <w:rFonts w:cs="Arial"/>
        </w:rPr>
        <w:t>En este marco jurídico comunitario, esta finalidad se encuentra presente también en la fase prejudicial que administra la SGCAN, cuya naturaleza quedó develada por el TJCAN al indicar lo siguiente:</w:t>
      </w:r>
    </w:p>
    <w:p w14:paraId="254E77D4" w14:textId="5C06301A" w:rsidR="00975E44" w:rsidRPr="002D0ACE" w:rsidRDefault="00975E44" w:rsidP="0031570A">
      <w:pPr>
        <w:spacing w:line="240" w:lineRule="auto"/>
        <w:ind w:left="567"/>
        <w:jc w:val="both"/>
        <w:rPr>
          <w:rFonts w:cs="Arial"/>
          <w:i/>
        </w:rPr>
      </w:pPr>
      <w:r w:rsidRPr="002D0ACE">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2D0ACE">
        <w:rPr>
          <w:rFonts w:cs="Arial"/>
          <w:i/>
          <w:u w:val="single"/>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2D0ACE">
        <w:rPr>
          <w:rFonts w:cs="Arial"/>
          <w:i/>
        </w:rPr>
        <w:t xml:space="preserve"> (</w:t>
      </w:r>
      <w:r w:rsidR="009A6DE3" w:rsidRPr="002D0ACE">
        <w:rPr>
          <w:rFonts w:cs="Arial"/>
          <w:i/>
        </w:rPr>
        <w:t>..</w:t>
      </w:r>
      <w:r w:rsidRPr="002D0ACE">
        <w:rPr>
          <w:rFonts w:cs="Arial"/>
          <w:i/>
        </w:rPr>
        <w:t>.).”</w:t>
      </w:r>
      <w:r w:rsidRPr="002D0ACE">
        <w:rPr>
          <w:rStyle w:val="Refdenotaalpie"/>
          <w:rFonts w:cs="Arial"/>
          <w:i/>
        </w:rPr>
        <w:footnoteReference w:id="75"/>
      </w:r>
      <w:r w:rsidRPr="002D0ACE">
        <w:rPr>
          <w:rFonts w:cs="Arial"/>
          <w:i/>
        </w:rPr>
        <w:t xml:space="preserve"> (Énfasis agregado)</w:t>
      </w:r>
    </w:p>
    <w:p w14:paraId="35D43D3B" w14:textId="0859CCD2" w:rsidR="00975E44" w:rsidRPr="002D0ACE" w:rsidRDefault="00975E44" w:rsidP="002D0ACE">
      <w:pPr>
        <w:pStyle w:val="Prrafodelista"/>
        <w:numPr>
          <w:ilvl w:val="0"/>
          <w:numId w:val="1"/>
        </w:numPr>
        <w:spacing w:line="240" w:lineRule="auto"/>
        <w:ind w:left="0" w:hanging="567"/>
        <w:jc w:val="both"/>
        <w:rPr>
          <w:rFonts w:cs="Arial"/>
        </w:rPr>
      </w:pPr>
      <w:r w:rsidRPr="002D0ACE">
        <w:rPr>
          <w:rFonts w:cs="Arial"/>
        </w:rPr>
        <w:t xml:space="preserve">La fase prejudicial que adelanta la SGCAN tiene la naturaleza jurídica de un procedimiento administrativo de carácter pre contencioso que busca la adecuación del País Miembro cuestionado, al ordenamiento jurídico comunitario, regulado mediante la Decisión 623 </w:t>
      </w:r>
      <w:r w:rsidRPr="007656CD">
        <w:rPr>
          <w:rFonts w:cs="Arial"/>
          <w:i/>
          <w:iCs/>
        </w:rPr>
        <w:t>“Reglamento de la Fase Prejudicial de la Acción de Incumplimiento”</w:t>
      </w:r>
      <w:r w:rsidRPr="002D0ACE">
        <w:rPr>
          <w:rFonts w:cs="Arial"/>
        </w:rPr>
        <w:t xml:space="preserve"> y supletoriamente por algunas disposiciones de la Decisión 425 </w:t>
      </w:r>
      <w:r w:rsidRPr="007656CD">
        <w:rPr>
          <w:rFonts w:cs="Arial"/>
          <w:i/>
          <w:iCs/>
        </w:rPr>
        <w:t>“Reglamento de Procedimientos Administrativos de la Secretaría General de la Comunidad Andina”</w:t>
      </w:r>
      <w:r w:rsidRPr="002D0ACE">
        <w:rPr>
          <w:rFonts w:cs="Arial"/>
        </w:rPr>
        <w:t>.</w:t>
      </w:r>
    </w:p>
    <w:p w14:paraId="781337A7" w14:textId="77777777" w:rsidR="00975E44" w:rsidRPr="002D0ACE" w:rsidRDefault="00975E44" w:rsidP="002D0ACE">
      <w:pPr>
        <w:pStyle w:val="Prrafodelista"/>
        <w:tabs>
          <w:tab w:val="left" w:pos="142"/>
        </w:tabs>
        <w:spacing w:line="240" w:lineRule="auto"/>
        <w:ind w:left="0" w:hanging="567"/>
        <w:jc w:val="both"/>
        <w:rPr>
          <w:rFonts w:cs="Arial"/>
        </w:rPr>
      </w:pPr>
    </w:p>
    <w:p w14:paraId="6272ADB4" w14:textId="031205A3" w:rsidR="00975E44" w:rsidRPr="002D0ACE" w:rsidRDefault="00975E44" w:rsidP="002D0ACE">
      <w:pPr>
        <w:pStyle w:val="Prrafodelista"/>
        <w:numPr>
          <w:ilvl w:val="0"/>
          <w:numId w:val="1"/>
        </w:numPr>
        <w:spacing w:line="240" w:lineRule="auto"/>
        <w:ind w:left="0" w:hanging="567"/>
        <w:jc w:val="both"/>
        <w:rPr>
          <w:rFonts w:cs="Arial"/>
        </w:rPr>
      </w:pPr>
      <w:r w:rsidRPr="002D0ACE">
        <w:rPr>
          <w:rFonts w:cs="Arial"/>
        </w:rPr>
        <w:t>Conforme el marco legal señalado, se le ha otorgado facultades a la SGCAN para actuar de oficio o a solicitud de parte, para solicitar información, realizar reuniones informativas y facilitadoras, emitir un dictamen, aclararlo, entre otras, para garantizar la eficacia del ordenamiento jurídico comunitario a través de la verificación del cumplimiento de las obligaciones y compromisos asumidos por los Países Miembros</w:t>
      </w:r>
      <w:r w:rsidRPr="002D0ACE">
        <w:rPr>
          <w:rStyle w:val="Refdenotaalpie"/>
          <w:rFonts w:cs="Arial"/>
        </w:rPr>
        <w:footnoteReference w:id="76"/>
      </w:r>
      <w:r w:rsidRPr="002D0ACE">
        <w:rPr>
          <w:rFonts w:cs="Arial"/>
        </w:rPr>
        <w:t>.</w:t>
      </w:r>
    </w:p>
    <w:p w14:paraId="3834E469" w14:textId="540DB5BB" w:rsidR="00975E44" w:rsidRPr="002D0ACE" w:rsidRDefault="00EB5041" w:rsidP="00C77ACA">
      <w:pPr>
        <w:spacing w:after="0" w:line="240" w:lineRule="auto"/>
        <w:jc w:val="both"/>
        <w:rPr>
          <w:rFonts w:cs="Arial"/>
          <w:b/>
        </w:rPr>
      </w:pPr>
      <w:r w:rsidRPr="002D0ACE">
        <w:rPr>
          <w:rFonts w:cs="Arial"/>
          <w:b/>
        </w:rPr>
        <w:t>6</w:t>
      </w:r>
      <w:r w:rsidR="00975E44" w:rsidRPr="002D0ACE">
        <w:rPr>
          <w:rFonts w:cs="Arial"/>
          <w:b/>
        </w:rPr>
        <w:t>.1.</w:t>
      </w:r>
      <w:r w:rsidR="00672E01" w:rsidRPr="002D0ACE">
        <w:rPr>
          <w:rFonts w:cs="Arial"/>
          <w:b/>
        </w:rPr>
        <w:t>2</w:t>
      </w:r>
      <w:r w:rsidR="00975E44" w:rsidRPr="002D0ACE">
        <w:rPr>
          <w:rFonts w:cs="Arial"/>
          <w:b/>
        </w:rPr>
        <w:t xml:space="preserve"> </w:t>
      </w:r>
      <w:r w:rsidR="00975E44" w:rsidRPr="002D0ACE">
        <w:rPr>
          <w:rFonts w:cs="Arial"/>
          <w:b/>
          <w:iCs/>
          <w:color w:val="000000"/>
        </w:rPr>
        <w:t>C</w:t>
      </w:r>
      <w:r w:rsidR="000C0829" w:rsidRPr="002D0ACE">
        <w:rPr>
          <w:rFonts w:cs="Arial"/>
          <w:b/>
          <w:iCs/>
          <w:color w:val="000000"/>
        </w:rPr>
        <w:t>ompetencia de la Secretaría General de la Comunidad Andina para conocer del presente asunto</w:t>
      </w:r>
    </w:p>
    <w:p w14:paraId="773B478D" w14:textId="77EE0504" w:rsidR="00975E44" w:rsidRPr="002D0ACE" w:rsidRDefault="00975E44" w:rsidP="00E16951">
      <w:pPr>
        <w:pStyle w:val="Prrafodelista"/>
        <w:tabs>
          <w:tab w:val="left" w:pos="142"/>
        </w:tabs>
        <w:spacing w:line="240" w:lineRule="auto"/>
        <w:ind w:left="0"/>
        <w:jc w:val="both"/>
        <w:rPr>
          <w:rFonts w:cs="Arial"/>
          <w:highlight w:val="yellow"/>
        </w:rPr>
      </w:pPr>
    </w:p>
    <w:p w14:paraId="0FC1BEFD" w14:textId="0D2F9B99" w:rsidR="000C0829" w:rsidRPr="002D0ACE" w:rsidRDefault="000C0829" w:rsidP="002D0ACE">
      <w:pPr>
        <w:pStyle w:val="Prrafodelista"/>
        <w:numPr>
          <w:ilvl w:val="0"/>
          <w:numId w:val="1"/>
        </w:numPr>
        <w:spacing w:line="240" w:lineRule="auto"/>
        <w:ind w:left="0" w:hanging="567"/>
        <w:jc w:val="both"/>
        <w:rPr>
          <w:rFonts w:cs="Arial"/>
        </w:rPr>
      </w:pPr>
      <w:r w:rsidRPr="002D0ACE">
        <w:rPr>
          <w:rFonts w:cs="Arial"/>
        </w:rPr>
        <w:t xml:space="preserve">De conformidad con lo señalado en el artículo 25 del Tratado de Creación del Tribunal de Justicia de la Comunidad Andina y el artículo 13 de la Decisión 623, la SGCAN es competente para conocer las reclamaciones por incumplimiento de la normativa </w:t>
      </w:r>
      <w:r w:rsidRPr="002D0ACE">
        <w:rPr>
          <w:rFonts w:cs="Arial"/>
        </w:rPr>
        <w:lastRenderedPageBreak/>
        <w:t xml:space="preserve">comunitaria que le presenten las personas naturales o jurídicas que se sientan afectadas en sus derechos por un País Miembro y para resolver cuestiones reguladas en el ordenamiento jurídico andino. </w:t>
      </w:r>
    </w:p>
    <w:p w14:paraId="01435934" w14:textId="52EF3C7F" w:rsidR="000C0829" w:rsidRPr="002D0ACE" w:rsidRDefault="000C0829" w:rsidP="00E16951">
      <w:pPr>
        <w:pStyle w:val="Prrafodelista"/>
        <w:tabs>
          <w:tab w:val="left" w:pos="142"/>
        </w:tabs>
        <w:spacing w:line="240" w:lineRule="auto"/>
        <w:ind w:left="0"/>
        <w:jc w:val="both"/>
        <w:rPr>
          <w:rFonts w:cs="Arial"/>
          <w:highlight w:val="yellow"/>
        </w:rPr>
      </w:pPr>
    </w:p>
    <w:p w14:paraId="31692BD7" w14:textId="77777777" w:rsidR="000C0829" w:rsidRPr="002D0ACE" w:rsidRDefault="000C0829" w:rsidP="002D0ACE">
      <w:pPr>
        <w:pStyle w:val="Prrafodelista"/>
        <w:numPr>
          <w:ilvl w:val="0"/>
          <w:numId w:val="1"/>
        </w:numPr>
        <w:spacing w:line="240" w:lineRule="auto"/>
        <w:ind w:left="0" w:hanging="567"/>
        <w:jc w:val="both"/>
        <w:rPr>
          <w:rFonts w:cs="Arial"/>
        </w:rPr>
      </w:pPr>
      <w:r w:rsidRPr="002D0ACE">
        <w:rPr>
          <w:rFonts w:cs="Arial"/>
        </w:rPr>
        <w:t>El Tribunal de Justicia de la Comunidad Andina (TJCAN) también ha señalado lo siguiente:</w:t>
      </w:r>
    </w:p>
    <w:p w14:paraId="2AC3A0E9" w14:textId="77777777" w:rsidR="000C0829" w:rsidRPr="002D0ACE" w:rsidRDefault="000C0829" w:rsidP="00BC50F0">
      <w:pPr>
        <w:spacing w:line="240" w:lineRule="auto"/>
        <w:ind w:left="567"/>
        <w:jc w:val="both"/>
        <w:rPr>
          <w:rFonts w:cs="Arial"/>
          <w:i/>
        </w:rPr>
      </w:pPr>
      <w:r w:rsidRPr="002D0ACE">
        <w:rPr>
          <w:rFonts w:cs="Arial"/>
          <w:i/>
        </w:rPr>
        <w:t xml:space="preserve">“(…) el artículo 5 [actual artículo 4] del Tratado impone a los países que integran el Acuerdo de Cartagena dos obligaciones básicas: una de hacer, consistente en adoptar las medidas necesarias para asegurar el cumplimiento del ordenamiento jurídico comunitario (…); y la </w:t>
      </w:r>
      <w:r w:rsidRPr="002D0ACE">
        <w:rPr>
          <w:rFonts w:cs="Arial"/>
          <w:i/>
          <w:u w:val="single"/>
        </w:rPr>
        <w:t>obligación de no hacer, consistente en no adoptar ni emplear medida alguna contraria a dichas normas o que obstaculice su aplicación.</w:t>
      </w:r>
    </w:p>
    <w:p w14:paraId="2E00E143" w14:textId="77777777" w:rsidR="000C0829" w:rsidRPr="002D0ACE" w:rsidRDefault="000C0829" w:rsidP="00BC50F0">
      <w:pPr>
        <w:spacing w:line="240" w:lineRule="auto"/>
        <w:ind w:left="567"/>
        <w:jc w:val="both"/>
        <w:rPr>
          <w:rFonts w:cs="Arial"/>
          <w:i/>
        </w:rPr>
      </w:pPr>
      <w:r w:rsidRPr="002D0ACE">
        <w:rPr>
          <w:rFonts w:cs="Arial"/>
          <w:i/>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w:t>
      </w:r>
      <w:r w:rsidRPr="002D0ACE">
        <w:rPr>
          <w:rFonts w:cs="Arial"/>
          <w:i/>
          <w:u w:val="single"/>
        </w:rPr>
        <w:t>las mismas autoridades deben abstenerse de adoptar toda medida de la misma índole que pueda contrariar u obstaculizar dicho ordenamiento.</w:t>
      </w:r>
    </w:p>
    <w:p w14:paraId="72CEA047" w14:textId="77777777" w:rsidR="000C0829" w:rsidRPr="002D0ACE" w:rsidRDefault="000C0829" w:rsidP="00BC50F0">
      <w:pPr>
        <w:spacing w:after="0" w:line="240" w:lineRule="auto"/>
        <w:ind w:left="567"/>
        <w:jc w:val="both"/>
        <w:rPr>
          <w:rFonts w:cs="Arial"/>
          <w:i/>
        </w:rPr>
      </w:pPr>
      <w:r w:rsidRPr="002D0ACE">
        <w:rPr>
          <w:rFonts w:cs="Arial"/>
          <w:i/>
        </w:rPr>
        <w:t xml:space="preserve">Las obligaciones previstas en el artículo 5 [actual artículo 4] del Tratado de Creación del Tribunal, señaladas atrás, hacen referencia al cumplimiento de la totalidad del ordenamiento jurídico comunitario expresamente contenido en el artículo 1 del mismo, trátese de derecho primario o derivado que, por igual, </w:t>
      </w:r>
      <w:r w:rsidRPr="002D0ACE">
        <w:rPr>
          <w:rFonts w:cs="Arial"/>
          <w:i/>
          <w:u w:val="single"/>
        </w:rPr>
        <w:t>debe ser respetado y acatado por todos los organismos y funcionarios que ejercen atribuciones según el mismo ordenamiento y naturalmente por los Países Miembros y por las autoridades que en el ámbito interno están llamadas a aplicarlo.</w:t>
      </w:r>
      <w:r w:rsidRPr="002D0ACE">
        <w:rPr>
          <w:rFonts w:cs="Arial"/>
          <w:i/>
        </w:rPr>
        <w:t>”</w:t>
      </w:r>
      <w:r w:rsidRPr="002D0ACE">
        <w:rPr>
          <w:rFonts w:cs="Arial"/>
          <w:i/>
          <w:vertAlign w:val="superscript"/>
        </w:rPr>
        <w:footnoteReference w:id="77"/>
      </w:r>
      <w:r w:rsidRPr="002D0ACE">
        <w:rPr>
          <w:rFonts w:cs="Arial"/>
          <w:i/>
        </w:rPr>
        <w:t xml:space="preserve"> (Énfasis agregado)</w:t>
      </w:r>
    </w:p>
    <w:p w14:paraId="7BE7B4EE" w14:textId="77777777" w:rsidR="000C0829" w:rsidRPr="002D0ACE" w:rsidRDefault="000C0829" w:rsidP="00E16951">
      <w:pPr>
        <w:pStyle w:val="Prrafodelista"/>
        <w:tabs>
          <w:tab w:val="left" w:pos="142"/>
        </w:tabs>
        <w:spacing w:after="0" w:line="240" w:lineRule="auto"/>
        <w:ind w:left="0"/>
        <w:jc w:val="both"/>
        <w:rPr>
          <w:rFonts w:cs="Arial"/>
        </w:rPr>
      </w:pPr>
    </w:p>
    <w:p w14:paraId="03151975" w14:textId="77777777" w:rsidR="000C0829" w:rsidRPr="002D0ACE" w:rsidRDefault="000C0829" w:rsidP="002D0ACE">
      <w:pPr>
        <w:pStyle w:val="Prrafodelista"/>
        <w:numPr>
          <w:ilvl w:val="0"/>
          <w:numId w:val="1"/>
        </w:numPr>
        <w:spacing w:line="240" w:lineRule="auto"/>
        <w:ind w:left="0" w:hanging="567"/>
        <w:jc w:val="both"/>
        <w:rPr>
          <w:rFonts w:cs="Arial"/>
        </w:rPr>
      </w:pPr>
      <w:r w:rsidRPr="002D0ACE">
        <w:rPr>
          <w:rFonts w:cs="Arial"/>
        </w:rPr>
        <w:t>La Secretaría General de la Comunidad Andina entiende que, si bien un País Miembro tiene soberanía legislativa y regulatoria, las medidas que adopte tienen que estar en armonía con los compromisos asumidos en el marco de la Comunidad Andina, no pudiendo contraponerse a éstos</w:t>
      </w:r>
      <w:r w:rsidRPr="002D0ACE">
        <w:rPr>
          <w:rFonts w:cs="Arial"/>
          <w:vertAlign w:val="superscript"/>
        </w:rPr>
        <w:footnoteReference w:id="78"/>
      </w:r>
      <w:r w:rsidRPr="002D0ACE">
        <w:rPr>
          <w:rFonts w:cs="Arial"/>
        </w:rPr>
        <w:t>.</w:t>
      </w:r>
    </w:p>
    <w:p w14:paraId="5B7E4EE1" w14:textId="77777777" w:rsidR="000C0829" w:rsidRPr="002D0ACE" w:rsidRDefault="000C0829" w:rsidP="002D0ACE">
      <w:pPr>
        <w:pStyle w:val="Prrafodelista"/>
        <w:tabs>
          <w:tab w:val="left" w:pos="142"/>
        </w:tabs>
        <w:spacing w:line="240" w:lineRule="auto"/>
        <w:ind w:left="0" w:hanging="567"/>
        <w:jc w:val="both"/>
        <w:rPr>
          <w:rFonts w:cs="Arial"/>
        </w:rPr>
      </w:pPr>
    </w:p>
    <w:p w14:paraId="17A5027B" w14:textId="77777777" w:rsidR="000C0829" w:rsidRPr="002D0ACE" w:rsidRDefault="000C0829" w:rsidP="002D0ACE">
      <w:pPr>
        <w:pStyle w:val="Prrafodelista"/>
        <w:numPr>
          <w:ilvl w:val="0"/>
          <w:numId w:val="1"/>
        </w:numPr>
        <w:spacing w:line="240" w:lineRule="auto"/>
        <w:ind w:left="0" w:hanging="567"/>
        <w:jc w:val="both"/>
        <w:rPr>
          <w:rFonts w:cs="Arial"/>
        </w:rPr>
      </w:pPr>
      <w:r w:rsidRPr="002D0ACE">
        <w:rPr>
          <w:rFonts w:cs="Arial"/>
        </w:rPr>
        <w:t xml:space="preserve">Asimismo, sobre las conductas que pueden ser objeto de cuestionamiento por parte de un País Miembro, el mismo Tribunal ha indicado: </w:t>
      </w:r>
    </w:p>
    <w:p w14:paraId="305CF304" w14:textId="77777777" w:rsidR="000C0829" w:rsidRPr="002D0ACE" w:rsidRDefault="000C0829" w:rsidP="00BC50F0">
      <w:pPr>
        <w:spacing w:line="240" w:lineRule="auto"/>
        <w:ind w:left="567"/>
        <w:jc w:val="both"/>
        <w:rPr>
          <w:rFonts w:cs="Arial"/>
          <w:i/>
          <w:iCs/>
        </w:rPr>
      </w:pPr>
      <w:r w:rsidRPr="002D0ACE">
        <w:rPr>
          <w:rFonts w:cs="Arial"/>
          <w:i/>
          <w:iCs/>
        </w:rPr>
        <w:t xml:space="preserve">“El recurso de incumplimiento es una pieza clave en la construcción, desarrollo y vigencia del orden jurídico comunitario y mediante el cual se ejerce el control del 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2D0ACE">
        <w:rPr>
          <w:rFonts w:cs="Arial"/>
          <w:b/>
          <w:bCs/>
          <w:i/>
          <w:iCs/>
        </w:rPr>
        <w:t xml:space="preserve">de hacer </w:t>
      </w:r>
      <w:r w:rsidRPr="002D0ACE">
        <w:rPr>
          <w:rFonts w:cs="Arial"/>
          <w:i/>
          <w:iCs/>
        </w:rPr>
        <w:t xml:space="preserve">o sea adoptar las medidas necesarias para asegurar el cumplimiento de las normas que conforman el ordenamiento jurídico del Acuerdo de Cartagena y las de </w:t>
      </w:r>
      <w:r w:rsidRPr="002D0ACE">
        <w:rPr>
          <w:rFonts w:cs="Arial"/>
          <w:b/>
          <w:bCs/>
          <w:i/>
          <w:iCs/>
        </w:rPr>
        <w:t xml:space="preserve">no hacer, </w:t>
      </w:r>
      <w:r w:rsidRPr="002D0ACE">
        <w:rPr>
          <w:rFonts w:cs="Arial"/>
          <w:i/>
          <w:iCs/>
        </w:rPr>
        <w:t>o sea el no adoptar ni emplear medidas contrarias a su aplicación o que de algún modo las obstaculicen(…).”</w:t>
      </w:r>
      <w:r w:rsidRPr="002D0ACE">
        <w:rPr>
          <w:rStyle w:val="Refdenotaalpie"/>
          <w:rFonts w:cs="Arial"/>
          <w:i/>
          <w:iCs/>
        </w:rPr>
        <w:footnoteReference w:id="79"/>
      </w:r>
    </w:p>
    <w:p w14:paraId="78E39B1E" w14:textId="77777777" w:rsidR="000C0829" w:rsidRPr="002D0ACE" w:rsidRDefault="000C0829" w:rsidP="002D0ACE">
      <w:pPr>
        <w:pStyle w:val="Prrafodelista"/>
        <w:numPr>
          <w:ilvl w:val="0"/>
          <w:numId w:val="1"/>
        </w:numPr>
        <w:spacing w:line="240" w:lineRule="auto"/>
        <w:ind w:left="0" w:hanging="567"/>
        <w:jc w:val="both"/>
        <w:rPr>
          <w:rFonts w:cs="Arial"/>
        </w:rPr>
      </w:pPr>
      <w:r w:rsidRPr="002D0ACE">
        <w:rPr>
          <w:rFonts w:cs="Arial"/>
        </w:rPr>
        <w:t xml:space="preserve">Siendo ello así, la SGCAN a la hora de verificar el cumplimiento del ordenamiento comunitario en la fase prejudicial, podrá examinar si el País Miembro cuestionado ha configurado una inconducta producto de: </w:t>
      </w:r>
    </w:p>
    <w:p w14:paraId="4EC2D6B8" w14:textId="77777777" w:rsidR="000C0829" w:rsidRPr="002D0ACE" w:rsidRDefault="000C0829" w:rsidP="00BC50F0">
      <w:pPr>
        <w:spacing w:after="0" w:line="240" w:lineRule="auto"/>
        <w:ind w:left="567"/>
        <w:jc w:val="both"/>
        <w:rPr>
          <w:rFonts w:cs="Arial"/>
        </w:rPr>
      </w:pPr>
      <w:r w:rsidRPr="002D0ACE">
        <w:rPr>
          <w:rFonts w:cs="Arial"/>
        </w:rPr>
        <w:t xml:space="preserve">i. La </w:t>
      </w:r>
      <w:r w:rsidRPr="002D0ACE">
        <w:rPr>
          <w:rFonts w:cs="Arial"/>
          <w:bCs/>
        </w:rPr>
        <w:t xml:space="preserve">expedición de normas internas contrarias </w:t>
      </w:r>
      <w:r w:rsidRPr="002D0ACE">
        <w:rPr>
          <w:rFonts w:cs="Arial"/>
        </w:rPr>
        <w:t xml:space="preserve">al ordenamiento jurídico andino. </w:t>
      </w:r>
    </w:p>
    <w:p w14:paraId="23B41E66" w14:textId="77777777" w:rsidR="000C0829" w:rsidRPr="002D0ACE" w:rsidRDefault="000C0829" w:rsidP="00BC50F0">
      <w:pPr>
        <w:spacing w:after="0" w:line="240" w:lineRule="auto"/>
        <w:ind w:left="567"/>
        <w:jc w:val="both"/>
        <w:rPr>
          <w:rFonts w:cs="Arial"/>
        </w:rPr>
      </w:pPr>
      <w:r w:rsidRPr="002D0ACE">
        <w:rPr>
          <w:rFonts w:cs="Arial"/>
        </w:rPr>
        <w:t xml:space="preserve">ii. La </w:t>
      </w:r>
      <w:r w:rsidRPr="002D0ACE">
        <w:rPr>
          <w:rFonts w:cs="Arial"/>
          <w:bCs/>
        </w:rPr>
        <w:t xml:space="preserve">no expedición de normas </w:t>
      </w:r>
      <w:r w:rsidRPr="002D0ACE">
        <w:rPr>
          <w:rFonts w:cs="Arial"/>
        </w:rPr>
        <w:t xml:space="preserve">que le den cumplimiento a dicho ordenamiento. </w:t>
      </w:r>
    </w:p>
    <w:p w14:paraId="4FFEE274" w14:textId="77777777" w:rsidR="000C0829" w:rsidRPr="002D0ACE" w:rsidRDefault="000C0829" w:rsidP="00BC50F0">
      <w:pPr>
        <w:spacing w:after="0" w:line="240" w:lineRule="auto"/>
        <w:ind w:left="567"/>
        <w:jc w:val="both"/>
        <w:rPr>
          <w:rFonts w:cs="Arial"/>
        </w:rPr>
      </w:pPr>
      <w:r w:rsidRPr="002D0ACE">
        <w:rPr>
          <w:rFonts w:cs="Arial"/>
        </w:rPr>
        <w:lastRenderedPageBreak/>
        <w:t xml:space="preserve">iii. La realización de </w:t>
      </w:r>
      <w:r w:rsidRPr="002D0ACE">
        <w:rPr>
          <w:rFonts w:cs="Arial"/>
          <w:bCs/>
        </w:rPr>
        <w:t xml:space="preserve">cualesquier acto u omisión opuestos </w:t>
      </w:r>
      <w:r w:rsidRPr="002D0ACE">
        <w:rPr>
          <w:rFonts w:cs="Arial"/>
        </w:rPr>
        <w:t xml:space="preserve">al ordenamiento jurídico andino que de alguna manera dificulten u obstaculicen su aplicación. </w:t>
      </w:r>
    </w:p>
    <w:p w14:paraId="3EF0A7FB" w14:textId="77777777" w:rsidR="000C0829" w:rsidRPr="002D0ACE" w:rsidRDefault="000C0829" w:rsidP="00E16951">
      <w:pPr>
        <w:pStyle w:val="Prrafodelista"/>
        <w:tabs>
          <w:tab w:val="left" w:pos="142"/>
        </w:tabs>
        <w:spacing w:line="240" w:lineRule="auto"/>
        <w:ind w:left="0"/>
        <w:jc w:val="both"/>
        <w:rPr>
          <w:rFonts w:cs="Arial"/>
          <w:highlight w:val="yellow"/>
        </w:rPr>
      </w:pPr>
    </w:p>
    <w:p w14:paraId="5DF56E06" w14:textId="5B5CB2D7" w:rsidR="0088228C" w:rsidRPr="002D0ACE" w:rsidRDefault="0088228C" w:rsidP="002D0ACE">
      <w:pPr>
        <w:pStyle w:val="Prrafodelista"/>
        <w:numPr>
          <w:ilvl w:val="0"/>
          <w:numId w:val="1"/>
        </w:numPr>
        <w:spacing w:line="240" w:lineRule="auto"/>
        <w:ind w:left="0" w:hanging="567"/>
        <w:jc w:val="both"/>
        <w:rPr>
          <w:rFonts w:cs="Arial"/>
        </w:rPr>
      </w:pPr>
      <w:r w:rsidRPr="002D0ACE">
        <w:rPr>
          <w:rFonts w:cs="Arial"/>
        </w:rPr>
        <w:t xml:space="preserve">En el presente caso, </w:t>
      </w:r>
      <w:r w:rsidR="004177A5" w:rsidRPr="004177A5">
        <w:rPr>
          <w:rFonts w:cs="Arial"/>
        </w:rPr>
        <w:t xml:space="preserve">la Sociedad Nacional de Industrias y la señora Susana Esperanza Ruiz Chang contra la República del Perú </w:t>
      </w:r>
      <w:r w:rsidR="00BD57EF">
        <w:rPr>
          <w:rFonts w:cs="Arial"/>
        </w:rPr>
        <w:t xml:space="preserve">presentó reclamo </w:t>
      </w:r>
      <w:r w:rsidR="004177A5" w:rsidRPr="004177A5">
        <w:rPr>
          <w:rFonts w:cs="Arial"/>
        </w:rPr>
        <w:t>por presunto incumplimiento de los artículos 1 al 10 y 12 al 15 de la Decisión 827 – Lineamientos para la elaboración, adopción y aplicación de reglamentos técnicos y procedimientos de evaluación de la conformidad en los PPMM de la CAN a nivel comunitario; los artículos 7, 10, 11, 25, 28 y 37 de la Decisión 850 – Sistema Andino de la Calidad; y el artículo 4 del Tratado de Creación del Tribunal de Justicia de la Comunidad Andina.</w:t>
      </w:r>
    </w:p>
    <w:p w14:paraId="27BD5368" w14:textId="127B1DD1" w:rsidR="00BD57EF" w:rsidRDefault="00BD57EF" w:rsidP="00BD57EF">
      <w:pPr>
        <w:spacing w:after="0" w:line="240" w:lineRule="auto"/>
        <w:rPr>
          <w:rFonts w:cs="Arial"/>
          <w:b/>
        </w:rPr>
      </w:pPr>
      <w:r w:rsidRPr="00B84A31">
        <w:rPr>
          <w:rFonts w:cs="Arial"/>
          <w:b/>
        </w:rPr>
        <w:t>6.</w:t>
      </w:r>
      <w:r>
        <w:rPr>
          <w:rFonts w:cs="Arial"/>
          <w:b/>
        </w:rPr>
        <w:t>2</w:t>
      </w:r>
      <w:r w:rsidRPr="00B84A31">
        <w:rPr>
          <w:rFonts w:cs="Arial"/>
          <w:b/>
        </w:rPr>
        <w:t xml:space="preserve">. </w:t>
      </w:r>
      <w:r>
        <w:rPr>
          <w:rFonts w:cs="Arial"/>
          <w:b/>
        </w:rPr>
        <w:t>Informe Técnico de la Secretaría General de la Comunidad Andina</w:t>
      </w:r>
    </w:p>
    <w:p w14:paraId="42AADA01" w14:textId="2F7A234B" w:rsidR="00BD57EF" w:rsidRDefault="00BD57EF" w:rsidP="00BD57EF">
      <w:pPr>
        <w:spacing w:after="0" w:line="240" w:lineRule="auto"/>
        <w:rPr>
          <w:rFonts w:cs="Arial"/>
          <w:b/>
        </w:rPr>
      </w:pPr>
    </w:p>
    <w:p w14:paraId="7BA8C04C" w14:textId="1050EF60" w:rsidR="00BD57EF" w:rsidRPr="00BD57EF" w:rsidRDefault="00BD57EF" w:rsidP="001A21A8">
      <w:pPr>
        <w:spacing w:after="0" w:line="240" w:lineRule="auto"/>
        <w:jc w:val="both"/>
        <w:rPr>
          <w:rFonts w:cs="Arial"/>
          <w:bCs/>
        </w:rPr>
      </w:pPr>
      <w:r w:rsidRPr="00BD57EF">
        <w:rPr>
          <w:rFonts w:cs="Arial"/>
          <w:bCs/>
        </w:rPr>
        <w:t>La Secretaría General como órgano e instancia técnica, emitió un informe técnico</w:t>
      </w:r>
      <w:r w:rsidR="001A21A8">
        <w:rPr>
          <w:rStyle w:val="Refdenotaalpie"/>
          <w:rFonts w:cs="Arial"/>
          <w:bCs/>
        </w:rPr>
        <w:footnoteReference w:id="80"/>
      </w:r>
      <w:r w:rsidRPr="00BD57EF">
        <w:rPr>
          <w:rFonts w:cs="Arial"/>
          <w:bCs/>
        </w:rPr>
        <w:t xml:space="preserve"> sobre el reclamo que </w:t>
      </w:r>
      <w:r w:rsidR="001A21A8">
        <w:rPr>
          <w:rFonts w:cs="Arial"/>
          <w:bCs/>
        </w:rPr>
        <w:t xml:space="preserve">en su parte conclusiva </w:t>
      </w:r>
      <w:r w:rsidRPr="00BD57EF">
        <w:rPr>
          <w:rFonts w:cs="Arial"/>
          <w:bCs/>
        </w:rPr>
        <w:t>menciona los siguientes aspectos:</w:t>
      </w:r>
    </w:p>
    <w:p w14:paraId="4943E0A0" w14:textId="77777777" w:rsidR="001A21A8" w:rsidRPr="001A21A8" w:rsidRDefault="001A21A8" w:rsidP="001A21A8">
      <w:pPr>
        <w:pStyle w:val="Prrafodelista"/>
        <w:jc w:val="both"/>
        <w:rPr>
          <w:rFonts w:cs="Arial"/>
          <w:b/>
        </w:rPr>
      </w:pPr>
    </w:p>
    <w:p w14:paraId="4C0D39E2" w14:textId="4CCAD704" w:rsidR="001A21A8" w:rsidRPr="001A21A8" w:rsidRDefault="001A21A8" w:rsidP="001A21A8">
      <w:pPr>
        <w:pStyle w:val="Prrafodelista"/>
        <w:numPr>
          <w:ilvl w:val="0"/>
          <w:numId w:val="45"/>
        </w:numPr>
        <w:ind w:left="567"/>
        <w:jc w:val="both"/>
        <w:rPr>
          <w:rFonts w:cs="Arial"/>
          <w:bCs/>
        </w:rPr>
      </w:pPr>
      <w:r w:rsidRPr="001A21A8">
        <w:rPr>
          <w:rFonts w:cs="Arial"/>
          <w:bCs/>
        </w:rPr>
        <w:t xml:space="preserve">El Artículo 37 del Código, la Carta, las Resoluciones, el Informe 118, el Oficio y Oficio múltiple, como documentos independientes o de manera conjunta, listados </w:t>
      </w:r>
      <w:r>
        <w:rPr>
          <w:rFonts w:cs="Arial"/>
          <w:bCs/>
        </w:rPr>
        <w:t>por la reclamante</w:t>
      </w:r>
      <w:r w:rsidRPr="001A21A8">
        <w:rPr>
          <w:rFonts w:cs="Arial"/>
          <w:bCs/>
        </w:rPr>
        <w:t xml:space="preserve"> no corresponden ser clasificados como Reglamentos Técnicos según lo definido en la Decisión 850 y establecido por la Decisión 827, en tal sentido, al no cumplir con dicha calificación están fuera del alcance de las Decisiones señaladas, por ende, no son Reglamentos Técnicos. </w:t>
      </w:r>
    </w:p>
    <w:p w14:paraId="32727230" w14:textId="77777777" w:rsidR="001A21A8" w:rsidRPr="001A21A8" w:rsidRDefault="001A21A8" w:rsidP="001A21A8">
      <w:pPr>
        <w:pStyle w:val="Prrafodelista"/>
        <w:ind w:left="567"/>
        <w:jc w:val="both"/>
        <w:rPr>
          <w:rFonts w:cs="Arial"/>
          <w:bCs/>
        </w:rPr>
      </w:pPr>
    </w:p>
    <w:p w14:paraId="6B93622B" w14:textId="7811AF48" w:rsidR="001A21A8" w:rsidRDefault="001A21A8" w:rsidP="001A21A8">
      <w:pPr>
        <w:pStyle w:val="Prrafodelista"/>
        <w:numPr>
          <w:ilvl w:val="0"/>
          <w:numId w:val="45"/>
        </w:numPr>
        <w:ind w:left="567"/>
        <w:jc w:val="both"/>
        <w:rPr>
          <w:rFonts w:cs="Arial"/>
          <w:bCs/>
        </w:rPr>
      </w:pPr>
      <w:r w:rsidRPr="001A21A8">
        <w:rPr>
          <w:rFonts w:cs="Arial"/>
          <w:bCs/>
        </w:rPr>
        <w:t>El Código</w:t>
      </w:r>
      <w:r>
        <w:rPr>
          <w:rFonts w:cs="Arial"/>
          <w:bCs/>
        </w:rPr>
        <w:t xml:space="preserve"> </w:t>
      </w:r>
      <w:r w:rsidRPr="001A21A8">
        <w:rPr>
          <w:rFonts w:cs="Arial"/>
          <w:bCs/>
        </w:rPr>
        <w:t xml:space="preserve">en su </w:t>
      </w:r>
      <w:r w:rsidR="00D30890">
        <w:rPr>
          <w:rFonts w:cs="Arial"/>
          <w:bCs/>
        </w:rPr>
        <w:t xml:space="preserve">Tercera </w:t>
      </w:r>
      <w:r w:rsidRPr="001A21A8">
        <w:rPr>
          <w:rFonts w:cs="Arial"/>
          <w:bCs/>
        </w:rPr>
        <w:t xml:space="preserve">Disposición Complementaria Final, </w:t>
      </w:r>
      <w:r w:rsidR="00D30890">
        <w:rPr>
          <w:rFonts w:cs="Arial"/>
          <w:bCs/>
        </w:rPr>
        <w:t xml:space="preserve">otorga </w:t>
      </w:r>
      <w:r w:rsidRPr="001A21A8">
        <w:rPr>
          <w:rFonts w:cs="Arial"/>
          <w:bCs/>
        </w:rPr>
        <w:t xml:space="preserve">el mandato para reglamentar el artículo 37, con lo cual se reitera que el artículo 37 debe ser reglamentado y no </w:t>
      </w:r>
      <w:r w:rsidR="00D30890">
        <w:rPr>
          <w:rFonts w:cs="Arial"/>
          <w:bCs/>
        </w:rPr>
        <w:t xml:space="preserve">sería </w:t>
      </w:r>
      <w:r w:rsidRPr="001A21A8">
        <w:rPr>
          <w:rFonts w:cs="Arial"/>
          <w:bCs/>
        </w:rPr>
        <w:t xml:space="preserve">reglamento técnico </w:t>
      </w:r>
      <w:r w:rsidR="002E711A" w:rsidRPr="001A21A8">
        <w:rPr>
          <w:rFonts w:cs="Arial"/>
          <w:bCs/>
        </w:rPr>
        <w:t>y,</w:t>
      </w:r>
      <w:r w:rsidRPr="001A21A8">
        <w:rPr>
          <w:rFonts w:cs="Arial"/>
          <w:bCs/>
        </w:rPr>
        <w:t xml:space="preserve"> por ende, está fuera del alcance de la Decisión 827.</w:t>
      </w:r>
    </w:p>
    <w:p w14:paraId="62D775A0" w14:textId="77777777" w:rsidR="002672AB" w:rsidRPr="002672AB" w:rsidRDefault="002672AB" w:rsidP="002672AB">
      <w:pPr>
        <w:pStyle w:val="Prrafodelista"/>
        <w:rPr>
          <w:rFonts w:cs="Arial"/>
          <w:bCs/>
        </w:rPr>
      </w:pPr>
    </w:p>
    <w:p w14:paraId="2676452B" w14:textId="68F4BF08" w:rsidR="002672AB" w:rsidRPr="002672AB" w:rsidRDefault="002672AB" w:rsidP="002672AB">
      <w:pPr>
        <w:pStyle w:val="Prrafodelista"/>
        <w:numPr>
          <w:ilvl w:val="0"/>
          <w:numId w:val="45"/>
        </w:numPr>
        <w:ind w:left="567"/>
        <w:jc w:val="both"/>
        <w:rPr>
          <w:rFonts w:cs="Arial"/>
          <w:bCs/>
        </w:rPr>
      </w:pPr>
      <w:r>
        <w:rPr>
          <w:rFonts w:cs="Arial"/>
          <w:bCs/>
        </w:rPr>
        <w:t>L</w:t>
      </w:r>
      <w:r w:rsidRPr="002672AB">
        <w:rPr>
          <w:rFonts w:cs="Arial"/>
          <w:bCs/>
        </w:rPr>
        <w:t>a República de Perú, notificó en el SIRT el “Proyecto de Decreto Supremo que aprueba el Reglamento sobre Etiquetado de Alimentos Genéticamente Modificados”.</w:t>
      </w:r>
      <w:r w:rsidRPr="002672AB">
        <w:rPr>
          <w:rFonts w:cs="Arial"/>
          <w:bCs/>
          <w:i/>
          <w:iCs/>
        </w:rPr>
        <w:t xml:space="preserve"> </w:t>
      </w:r>
    </w:p>
    <w:p w14:paraId="75190115" w14:textId="77777777" w:rsidR="002672AB" w:rsidRDefault="002672AB" w:rsidP="002672AB">
      <w:pPr>
        <w:pStyle w:val="Prrafodelista"/>
        <w:ind w:left="567"/>
        <w:jc w:val="both"/>
        <w:rPr>
          <w:rFonts w:cs="Arial"/>
          <w:bCs/>
        </w:rPr>
      </w:pPr>
    </w:p>
    <w:p w14:paraId="4D44C8C8" w14:textId="7B48B2BA" w:rsidR="002672AB" w:rsidRPr="001A21A8" w:rsidRDefault="002672AB" w:rsidP="001A21A8">
      <w:pPr>
        <w:pStyle w:val="Prrafodelista"/>
        <w:numPr>
          <w:ilvl w:val="0"/>
          <w:numId w:val="45"/>
        </w:numPr>
        <w:ind w:left="567"/>
        <w:jc w:val="both"/>
        <w:rPr>
          <w:rFonts w:cs="Arial"/>
          <w:bCs/>
        </w:rPr>
      </w:pPr>
      <w:r>
        <w:rPr>
          <w:rFonts w:cs="Arial"/>
          <w:bCs/>
        </w:rPr>
        <w:t>N</w:t>
      </w:r>
      <w:r w:rsidRPr="002672AB">
        <w:rPr>
          <w:rFonts w:cs="Arial"/>
          <w:bCs/>
        </w:rPr>
        <w:t>o corresponde exigir el cumplimiento de lo establecido en la Decisión 827 y 850 a documentos que no son Reglamentos Técnicos.</w:t>
      </w:r>
    </w:p>
    <w:p w14:paraId="39BA7D06" w14:textId="77777777" w:rsidR="00BD57EF" w:rsidRDefault="00BD57EF" w:rsidP="00E16951">
      <w:pPr>
        <w:pStyle w:val="Prrafodelista"/>
        <w:spacing w:line="240" w:lineRule="auto"/>
        <w:ind w:left="0"/>
        <w:jc w:val="both"/>
        <w:rPr>
          <w:rFonts w:cs="Arial"/>
        </w:rPr>
      </w:pPr>
    </w:p>
    <w:p w14:paraId="6BFE1013" w14:textId="4513D39B" w:rsidR="007B5EBE" w:rsidRPr="007B5EBE" w:rsidRDefault="007B5EBE" w:rsidP="00E16951">
      <w:pPr>
        <w:pStyle w:val="Prrafodelista"/>
        <w:spacing w:line="240" w:lineRule="auto"/>
        <w:ind w:left="0"/>
        <w:jc w:val="both"/>
        <w:rPr>
          <w:rFonts w:cs="Arial"/>
          <w:b/>
          <w:bCs/>
        </w:rPr>
      </w:pPr>
      <w:r>
        <w:rPr>
          <w:rFonts w:cs="Arial"/>
          <w:b/>
          <w:bCs/>
        </w:rPr>
        <w:t xml:space="preserve">VII. </w:t>
      </w:r>
      <w:r w:rsidRPr="007B5EBE">
        <w:rPr>
          <w:rFonts w:cs="Arial"/>
          <w:b/>
          <w:bCs/>
        </w:rPr>
        <w:t xml:space="preserve">ANÁLISIS </w:t>
      </w:r>
      <w:r w:rsidR="00346756">
        <w:rPr>
          <w:rFonts w:cs="Arial"/>
          <w:b/>
          <w:bCs/>
        </w:rPr>
        <w:t xml:space="preserve">DE LA SGCAN </w:t>
      </w:r>
      <w:r w:rsidRPr="007B5EBE">
        <w:rPr>
          <w:rFonts w:cs="Arial"/>
          <w:b/>
          <w:bCs/>
        </w:rPr>
        <w:t>SOBRE LAS CUESTIONES PREVIAS</w:t>
      </w:r>
    </w:p>
    <w:p w14:paraId="22356007" w14:textId="77777777" w:rsidR="007B5EBE" w:rsidRPr="002D0ACE" w:rsidRDefault="007B5EBE" w:rsidP="00E16951">
      <w:pPr>
        <w:pStyle w:val="Prrafodelista"/>
        <w:spacing w:line="240" w:lineRule="auto"/>
        <w:ind w:left="0"/>
        <w:jc w:val="both"/>
        <w:rPr>
          <w:rFonts w:cs="Arial"/>
        </w:rPr>
      </w:pPr>
    </w:p>
    <w:p w14:paraId="13AA6E9B" w14:textId="55B0B14B" w:rsidR="000C7D65" w:rsidRDefault="003E0CD0" w:rsidP="004625F4">
      <w:pPr>
        <w:pStyle w:val="Prrafodelista"/>
        <w:numPr>
          <w:ilvl w:val="0"/>
          <w:numId w:val="1"/>
        </w:numPr>
        <w:spacing w:line="240" w:lineRule="auto"/>
        <w:ind w:left="0" w:hanging="567"/>
        <w:jc w:val="both"/>
        <w:rPr>
          <w:rFonts w:cs="Arial"/>
        </w:rPr>
      </w:pPr>
      <w:r>
        <w:rPr>
          <w:rFonts w:cs="Arial"/>
        </w:rPr>
        <w:t>La reclamada planteó las siguientes cuestiones previas</w:t>
      </w:r>
      <w:r w:rsidR="00AE097E">
        <w:rPr>
          <w:rFonts w:cs="Arial"/>
        </w:rPr>
        <w:t xml:space="preserve"> en su escrito de contestación</w:t>
      </w:r>
      <w:r>
        <w:rPr>
          <w:rFonts w:cs="Arial"/>
        </w:rPr>
        <w:t>:</w:t>
      </w:r>
    </w:p>
    <w:p w14:paraId="6461383B" w14:textId="77777777" w:rsidR="003E0CD0" w:rsidRDefault="003E0CD0" w:rsidP="003E0CD0">
      <w:pPr>
        <w:pStyle w:val="Prrafodelista"/>
        <w:spacing w:line="240" w:lineRule="auto"/>
        <w:jc w:val="both"/>
        <w:rPr>
          <w:rFonts w:cs="Arial"/>
        </w:rPr>
      </w:pPr>
    </w:p>
    <w:p w14:paraId="155621FD" w14:textId="0AE57D58" w:rsidR="003E0CD0" w:rsidRDefault="003E0CD0" w:rsidP="00AE097E">
      <w:pPr>
        <w:pStyle w:val="Prrafodelista"/>
        <w:numPr>
          <w:ilvl w:val="0"/>
          <w:numId w:val="35"/>
        </w:numPr>
        <w:spacing w:line="240" w:lineRule="auto"/>
        <w:ind w:left="709" w:hanging="218"/>
        <w:jc w:val="both"/>
        <w:rPr>
          <w:rFonts w:cs="Arial"/>
        </w:rPr>
      </w:pPr>
      <w:r>
        <w:rPr>
          <w:rFonts w:cs="Arial"/>
        </w:rPr>
        <w:t>F</w:t>
      </w:r>
      <w:r w:rsidRPr="003E0CD0">
        <w:rPr>
          <w:rFonts w:cs="Arial"/>
        </w:rPr>
        <w:t>alta de legitimidad activa de las reclamantes</w:t>
      </w:r>
    </w:p>
    <w:p w14:paraId="397B6B05" w14:textId="6720025A" w:rsidR="003E0CD0" w:rsidRDefault="003E0CD0" w:rsidP="00AE097E">
      <w:pPr>
        <w:pStyle w:val="Prrafodelista"/>
        <w:numPr>
          <w:ilvl w:val="0"/>
          <w:numId w:val="35"/>
        </w:numPr>
        <w:spacing w:line="240" w:lineRule="auto"/>
        <w:ind w:left="709" w:hanging="218"/>
        <w:jc w:val="both"/>
        <w:rPr>
          <w:rFonts w:cs="Arial"/>
        </w:rPr>
      </w:pPr>
      <w:r>
        <w:rPr>
          <w:rFonts w:cs="Arial"/>
        </w:rPr>
        <w:t>F</w:t>
      </w:r>
      <w:r w:rsidRPr="003E0CD0">
        <w:rPr>
          <w:rFonts w:cs="Arial"/>
        </w:rPr>
        <w:t>alta de interés para obrar por la existencia de procesos pendientes entre las mismas partes y la misma causa (mismo asunto)</w:t>
      </w:r>
    </w:p>
    <w:p w14:paraId="06FC38DB" w14:textId="77777777" w:rsidR="00BC50F0" w:rsidRDefault="003E0CD0" w:rsidP="00AE097E">
      <w:pPr>
        <w:pStyle w:val="Prrafodelista"/>
        <w:numPr>
          <w:ilvl w:val="0"/>
          <w:numId w:val="35"/>
        </w:numPr>
        <w:spacing w:line="240" w:lineRule="auto"/>
        <w:ind w:left="709" w:hanging="218"/>
        <w:jc w:val="both"/>
        <w:rPr>
          <w:rFonts w:cs="Arial"/>
        </w:rPr>
      </w:pPr>
      <w:r>
        <w:rPr>
          <w:rFonts w:cs="Arial"/>
        </w:rPr>
        <w:t>F</w:t>
      </w:r>
      <w:r w:rsidRPr="003E0CD0">
        <w:rPr>
          <w:rFonts w:cs="Arial"/>
        </w:rPr>
        <w:t xml:space="preserve">alta de competencia de la SGCAN y </w:t>
      </w:r>
    </w:p>
    <w:p w14:paraId="2F06DA17" w14:textId="255FFD55" w:rsidR="003E0CD0" w:rsidRDefault="00BC50F0" w:rsidP="00AE097E">
      <w:pPr>
        <w:pStyle w:val="Prrafodelista"/>
        <w:numPr>
          <w:ilvl w:val="0"/>
          <w:numId w:val="35"/>
        </w:numPr>
        <w:spacing w:line="240" w:lineRule="auto"/>
        <w:ind w:left="709" w:hanging="218"/>
        <w:jc w:val="both"/>
        <w:rPr>
          <w:rFonts w:cs="Arial"/>
        </w:rPr>
      </w:pPr>
      <w:r>
        <w:rPr>
          <w:rFonts w:cs="Arial"/>
        </w:rPr>
        <w:t>I</w:t>
      </w:r>
      <w:r w:rsidR="003E0CD0" w:rsidRPr="003E0CD0">
        <w:rPr>
          <w:rFonts w:cs="Arial"/>
        </w:rPr>
        <w:t>ndebida naturaleza de la acción.</w:t>
      </w:r>
      <w:r w:rsidR="003E0CD0" w:rsidRPr="003E0CD0">
        <w:rPr>
          <w:rFonts w:cs="Arial"/>
          <w:vertAlign w:val="superscript"/>
        </w:rPr>
        <w:footnoteReference w:id="81"/>
      </w:r>
    </w:p>
    <w:p w14:paraId="0F7FF593" w14:textId="77777777" w:rsidR="003E0CD0" w:rsidRDefault="003E0CD0" w:rsidP="003E0CD0">
      <w:pPr>
        <w:pStyle w:val="Prrafodelista"/>
        <w:spacing w:line="240" w:lineRule="auto"/>
        <w:ind w:left="0"/>
        <w:jc w:val="both"/>
        <w:rPr>
          <w:rFonts w:cs="Arial"/>
        </w:rPr>
      </w:pPr>
    </w:p>
    <w:p w14:paraId="7DBE73E0" w14:textId="77777777" w:rsidR="00E75281" w:rsidRDefault="00514A07" w:rsidP="00E75281">
      <w:pPr>
        <w:pStyle w:val="Prrafodelista"/>
        <w:numPr>
          <w:ilvl w:val="0"/>
          <w:numId w:val="1"/>
        </w:numPr>
        <w:spacing w:line="240" w:lineRule="auto"/>
        <w:ind w:left="0" w:hanging="567"/>
        <w:jc w:val="both"/>
        <w:rPr>
          <w:rFonts w:cs="Arial"/>
        </w:rPr>
      </w:pPr>
      <w:r>
        <w:rPr>
          <w:rFonts w:cs="Arial"/>
        </w:rPr>
        <w:t>Planteadas las cuestiones previas por la reclamada, se considera que las mismas deben ser analizadas previamente y ser resueltas.</w:t>
      </w:r>
    </w:p>
    <w:p w14:paraId="062B6124" w14:textId="77777777" w:rsidR="00E75281" w:rsidRDefault="00E75281" w:rsidP="00E75281">
      <w:pPr>
        <w:pStyle w:val="Prrafodelista"/>
        <w:spacing w:line="240" w:lineRule="auto"/>
        <w:ind w:left="0"/>
        <w:jc w:val="both"/>
        <w:rPr>
          <w:rFonts w:cs="Arial"/>
        </w:rPr>
      </w:pPr>
    </w:p>
    <w:p w14:paraId="6A8823D4" w14:textId="621AD969" w:rsidR="00E75281" w:rsidRPr="00E75281" w:rsidRDefault="008A643D" w:rsidP="00B80570">
      <w:pPr>
        <w:pStyle w:val="Prrafodelista"/>
        <w:numPr>
          <w:ilvl w:val="0"/>
          <w:numId w:val="1"/>
        </w:numPr>
        <w:spacing w:line="240" w:lineRule="auto"/>
        <w:ind w:left="0" w:hanging="567"/>
        <w:jc w:val="both"/>
        <w:rPr>
          <w:rFonts w:cs="Arial"/>
        </w:rPr>
      </w:pPr>
      <w:r>
        <w:rPr>
          <w:rFonts w:cs="Arial"/>
        </w:rPr>
        <w:t>R</w:t>
      </w:r>
      <w:r w:rsidR="00E75281" w:rsidRPr="00E75281">
        <w:rPr>
          <w:rFonts w:cs="Arial"/>
        </w:rPr>
        <w:t>evisado el criterio de admisión, la Secretaría General encuentra que la reclamante si bien inicialmente alegó una afectación de sus derechos subjetivos, en prima facie se estimó una posible afectación; realizada la investigación y evaluada la información aportada</w:t>
      </w:r>
      <w:r>
        <w:rPr>
          <w:rFonts w:cs="Arial"/>
        </w:rPr>
        <w:t xml:space="preserve">, como </w:t>
      </w:r>
      <w:r>
        <w:rPr>
          <w:rFonts w:cs="Arial"/>
        </w:rPr>
        <w:lastRenderedPageBreak/>
        <w:t xml:space="preserve">también la </w:t>
      </w:r>
      <w:r w:rsidR="00E75281">
        <w:rPr>
          <w:rFonts w:cs="Arial"/>
        </w:rPr>
        <w:t xml:space="preserve">recibida en </w:t>
      </w:r>
      <w:r w:rsidR="00E75281" w:rsidRPr="00E75281">
        <w:rPr>
          <w:rFonts w:cs="Arial"/>
        </w:rPr>
        <w:t xml:space="preserve">la </w:t>
      </w:r>
      <w:r w:rsidR="00971430">
        <w:rPr>
          <w:rFonts w:cs="Arial"/>
        </w:rPr>
        <w:t>R</w:t>
      </w:r>
      <w:r w:rsidR="00E75281" w:rsidRPr="00E75281">
        <w:rPr>
          <w:rFonts w:cs="Arial"/>
        </w:rPr>
        <w:t xml:space="preserve">eunión </w:t>
      </w:r>
      <w:r w:rsidR="00971430">
        <w:rPr>
          <w:rFonts w:cs="Arial"/>
        </w:rPr>
        <w:t>I</w:t>
      </w:r>
      <w:r w:rsidR="00E75281" w:rsidRPr="00E75281">
        <w:rPr>
          <w:rFonts w:cs="Arial"/>
        </w:rPr>
        <w:t>nformativa</w:t>
      </w:r>
      <w:r>
        <w:rPr>
          <w:rFonts w:cs="Arial"/>
        </w:rPr>
        <w:t>,</w:t>
      </w:r>
      <w:r w:rsidR="00E75281">
        <w:rPr>
          <w:rFonts w:cs="Arial"/>
        </w:rPr>
        <w:t xml:space="preserve"> es necesario realizar el análisis correspondiente</w:t>
      </w:r>
      <w:r>
        <w:rPr>
          <w:rFonts w:cs="Arial"/>
        </w:rPr>
        <w:t xml:space="preserve"> de la misma</w:t>
      </w:r>
      <w:r w:rsidR="00E75281">
        <w:rPr>
          <w:rFonts w:cs="Arial"/>
        </w:rPr>
        <w:t>.</w:t>
      </w:r>
    </w:p>
    <w:p w14:paraId="31988470" w14:textId="41BCC43E" w:rsidR="00514A07" w:rsidRDefault="00514A07" w:rsidP="00514A07">
      <w:pPr>
        <w:pStyle w:val="Prrafodelista"/>
        <w:spacing w:line="240" w:lineRule="auto"/>
        <w:ind w:left="0"/>
        <w:jc w:val="both"/>
        <w:rPr>
          <w:rFonts w:cs="Arial"/>
        </w:rPr>
      </w:pPr>
    </w:p>
    <w:p w14:paraId="46A02C98" w14:textId="275F3F2E" w:rsidR="00514A07" w:rsidRDefault="008F3231" w:rsidP="004625F4">
      <w:pPr>
        <w:pStyle w:val="Prrafodelista"/>
        <w:numPr>
          <w:ilvl w:val="0"/>
          <w:numId w:val="1"/>
        </w:numPr>
        <w:spacing w:line="240" w:lineRule="auto"/>
        <w:ind w:left="0" w:hanging="567"/>
        <w:jc w:val="both"/>
        <w:rPr>
          <w:rFonts w:cs="Arial"/>
        </w:rPr>
      </w:pPr>
      <w:r>
        <w:rPr>
          <w:rFonts w:cs="Arial"/>
        </w:rPr>
        <w:t xml:space="preserve">La Decisión 623 en su artículo 13 establece que de conformidad </w:t>
      </w:r>
      <w:r w:rsidRPr="008F3231">
        <w:rPr>
          <w:rFonts w:cs="Arial"/>
          <w:i/>
          <w:iCs/>
        </w:rPr>
        <w:t xml:space="preserve">“… </w:t>
      </w:r>
      <w:r w:rsidRPr="008F3231">
        <w:rPr>
          <w:rFonts w:cs="Arial"/>
          <w:bCs/>
          <w:i/>
          <w:iCs/>
          <w:lang w:val="es-ES_tradnl"/>
        </w:rPr>
        <w:t>con lo previsto en los artículos 24 y 25 del Tratado del Tribunal de Justicia de la Comunidad Andina, c</w:t>
      </w:r>
      <w:r w:rsidRPr="008F3231">
        <w:rPr>
          <w:rFonts w:cs="Arial"/>
          <w:i/>
          <w:iCs/>
          <w:lang w:val="es-ES_tradnl"/>
        </w:rPr>
        <w:t>uando un País Miembro o una persona natural o jurídica afectada en sus derechos considere que un País Miembro ha incurrido en incumplimiento de sus obligaciones emanadas del ordenamiento jurídico de la Comunidad Andina, formulará por escrito su reclamo.”</w:t>
      </w:r>
    </w:p>
    <w:p w14:paraId="7B1C6016" w14:textId="073DD99F" w:rsidR="00514A07" w:rsidRDefault="00514A07" w:rsidP="00514A07">
      <w:pPr>
        <w:pStyle w:val="Prrafodelista"/>
        <w:spacing w:line="240" w:lineRule="auto"/>
        <w:ind w:left="0"/>
        <w:jc w:val="both"/>
        <w:rPr>
          <w:rFonts w:cs="Arial"/>
        </w:rPr>
      </w:pPr>
    </w:p>
    <w:p w14:paraId="33F09EE8" w14:textId="699A6626" w:rsidR="00D66125" w:rsidRDefault="00D66125" w:rsidP="004625F4">
      <w:pPr>
        <w:pStyle w:val="Prrafodelista"/>
        <w:numPr>
          <w:ilvl w:val="0"/>
          <w:numId w:val="1"/>
        </w:numPr>
        <w:spacing w:line="240" w:lineRule="auto"/>
        <w:ind w:left="0" w:hanging="567"/>
        <w:jc w:val="both"/>
        <w:rPr>
          <w:rFonts w:cs="Arial"/>
        </w:rPr>
      </w:pPr>
      <w:r>
        <w:rPr>
          <w:rFonts w:cs="Arial"/>
        </w:rPr>
        <w:t xml:space="preserve">En concordancia a lo expuesto, el Tribunal andino señaló que el </w:t>
      </w:r>
      <w:r w:rsidRPr="00D66125">
        <w:rPr>
          <w:rFonts w:cs="Arial"/>
          <w:i/>
          <w:iCs/>
        </w:rPr>
        <w:t>“… literal b) del Artículo 49 del Estatuto del TJCA establece como requisito de la demanda en Acción de Incumplimiento, cuando esta es presentada por una persona natural o jurídica, la presentación de las pruebas que demuestren aquello que ha sido impugnado afecta sus derechos subjetivos o intereses legítimos…”</w:t>
      </w:r>
      <w:r>
        <w:rPr>
          <w:rStyle w:val="Refdenotaalpie"/>
          <w:rFonts w:cs="Arial"/>
          <w:i/>
          <w:iCs/>
        </w:rPr>
        <w:footnoteReference w:id="82"/>
      </w:r>
      <w:r w:rsidR="003E0549">
        <w:rPr>
          <w:rFonts w:cs="Arial"/>
        </w:rPr>
        <w:t xml:space="preserve"> Y </w:t>
      </w:r>
      <w:r w:rsidR="006F26E2">
        <w:rPr>
          <w:rFonts w:cs="Arial"/>
        </w:rPr>
        <w:t>continúa</w:t>
      </w:r>
      <w:r w:rsidR="003E0549">
        <w:rPr>
          <w:rFonts w:cs="Arial"/>
        </w:rPr>
        <w:t xml:space="preserve"> indicando </w:t>
      </w:r>
      <w:r w:rsidR="00AC22ED">
        <w:rPr>
          <w:rFonts w:cs="Arial"/>
        </w:rPr>
        <w:t>que,</w:t>
      </w:r>
      <w:r w:rsidR="003E0549">
        <w:rPr>
          <w:rFonts w:cs="Arial"/>
        </w:rPr>
        <w:t xml:space="preserve"> si este requisito no se cumple, la demanda debe ser rechazada por improcedente</w:t>
      </w:r>
      <w:r w:rsidR="003E0549">
        <w:rPr>
          <w:rStyle w:val="Refdenotaalpie"/>
          <w:rFonts w:cs="Arial"/>
        </w:rPr>
        <w:footnoteReference w:id="83"/>
      </w:r>
      <w:r w:rsidR="003E0549">
        <w:rPr>
          <w:rFonts w:cs="Arial"/>
        </w:rPr>
        <w:t>.</w:t>
      </w:r>
    </w:p>
    <w:p w14:paraId="310CEAB9" w14:textId="77777777" w:rsidR="00D66125" w:rsidRPr="00D66125" w:rsidRDefault="00D66125" w:rsidP="00D66125">
      <w:pPr>
        <w:pStyle w:val="Prrafodelista"/>
        <w:rPr>
          <w:rFonts w:cs="Arial"/>
        </w:rPr>
      </w:pPr>
    </w:p>
    <w:p w14:paraId="79EAB51E" w14:textId="125DCF91" w:rsidR="00514A07" w:rsidRDefault="008F3231" w:rsidP="004625F4">
      <w:pPr>
        <w:pStyle w:val="Prrafodelista"/>
        <w:numPr>
          <w:ilvl w:val="0"/>
          <w:numId w:val="1"/>
        </w:numPr>
        <w:spacing w:line="240" w:lineRule="auto"/>
        <w:ind w:left="0" w:hanging="567"/>
        <w:jc w:val="both"/>
        <w:rPr>
          <w:rFonts w:cs="Arial"/>
        </w:rPr>
      </w:pPr>
      <w:r>
        <w:rPr>
          <w:rFonts w:cs="Arial"/>
        </w:rPr>
        <w:t>En relación con ello, el Tribunal de Justicia andino señalo:</w:t>
      </w:r>
    </w:p>
    <w:p w14:paraId="36ABFA92" w14:textId="77777777" w:rsidR="008F3231" w:rsidRDefault="008F3231" w:rsidP="008F3231">
      <w:pPr>
        <w:pStyle w:val="Prrafodelista"/>
        <w:rPr>
          <w:rFonts w:cs="Arial"/>
        </w:rPr>
      </w:pPr>
    </w:p>
    <w:p w14:paraId="0AC9BA22" w14:textId="42E56F5A" w:rsidR="008F3231" w:rsidRDefault="008F3231" w:rsidP="008F3231">
      <w:pPr>
        <w:pStyle w:val="Prrafodelista"/>
        <w:ind w:left="567"/>
        <w:jc w:val="both"/>
        <w:rPr>
          <w:rFonts w:cs="Arial"/>
          <w:i/>
          <w:iCs/>
        </w:rPr>
      </w:pPr>
      <w:r w:rsidRPr="008F3231">
        <w:rPr>
          <w:rFonts w:cs="Arial"/>
          <w:i/>
          <w:iCs/>
        </w:rPr>
        <w:t>“Que, de conformidad con la disposición prevista en el artículo 25 del Tratado de Creación del Tribunal, la posibilidad de ejercer la acción de incumplimiento corresponde a las personas naturales o jurídicas afectadas en sus derechos por el incumplimiento del País Miembro demandado. Ello significa que la legitimación para ejercer la acción de incumplimiento exige la existencia de una relación de identidad entre el titular del derecho subjetivo y el de la acción, de modo que ésta sólo puede ser ejercida por quien se afirme titular de aquél…”</w:t>
      </w:r>
      <w:r>
        <w:rPr>
          <w:rStyle w:val="Refdenotaalpie"/>
          <w:rFonts w:cs="Arial"/>
          <w:i/>
          <w:iCs/>
        </w:rPr>
        <w:footnoteReference w:id="84"/>
      </w:r>
    </w:p>
    <w:p w14:paraId="76EDA7F5" w14:textId="43A4E1FC" w:rsidR="008F3231" w:rsidRDefault="008F3231" w:rsidP="008F3231">
      <w:pPr>
        <w:pStyle w:val="Prrafodelista"/>
        <w:ind w:left="567"/>
        <w:jc w:val="both"/>
        <w:rPr>
          <w:rFonts w:cs="Arial"/>
          <w:i/>
          <w:iCs/>
        </w:rPr>
      </w:pPr>
      <w:r>
        <w:rPr>
          <w:rFonts w:cs="Arial"/>
          <w:i/>
          <w:iCs/>
        </w:rPr>
        <w:t>(…)</w:t>
      </w:r>
    </w:p>
    <w:p w14:paraId="277E5B83" w14:textId="71824B79" w:rsidR="008F3231" w:rsidRPr="008F3231" w:rsidRDefault="008F3231" w:rsidP="008F3231">
      <w:pPr>
        <w:pStyle w:val="Prrafodelista"/>
        <w:ind w:left="567"/>
        <w:jc w:val="both"/>
        <w:rPr>
          <w:rFonts w:cs="Arial"/>
          <w:bCs/>
          <w:i/>
          <w:iCs/>
        </w:rPr>
      </w:pPr>
      <w:r w:rsidRPr="008F3231">
        <w:rPr>
          <w:rFonts w:cs="Arial"/>
          <w:bCs/>
          <w:i/>
          <w:iCs/>
          <w:lang w:val="es-ES"/>
        </w:rPr>
        <w:t>En este contexto, el hecho constitutivo de la inejecución de la prestación debida, por parte del País Miembro obligado, configura una situación de hecho que, al tiempo de infringir el orden normativo, lesiona el derecho subjetivo de su titular y, en consecuencia, lo legitima para formular, en sede judicial, una pretensión dirigida a declarar cierto el incumplimiento demandado, a ordenar el restablecimiento del orden normativo infringido”</w:t>
      </w:r>
      <w:r>
        <w:rPr>
          <w:rStyle w:val="Refdenotaalpie"/>
          <w:rFonts w:cs="Arial"/>
          <w:bCs/>
          <w:i/>
          <w:iCs/>
          <w:lang w:val="es-ES"/>
        </w:rPr>
        <w:footnoteReference w:id="85"/>
      </w:r>
    </w:p>
    <w:p w14:paraId="33FDE232" w14:textId="77777777" w:rsidR="008F3231" w:rsidRPr="008F3231" w:rsidRDefault="008F3231" w:rsidP="008F3231">
      <w:pPr>
        <w:pStyle w:val="Prrafodelista"/>
        <w:rPr>
          <w:rFonts w:cs="Arial"/>
        </w:rPr>
      </w:pPr>
    </w:p>
    <w:p w14:paraId="12921F5C" w14:textId="27B922D9" w:rsidR="008F3231" w:rsidRDefault="002F1992" w:rsidP="004625F4">
      <w:pPr>
        <w:pStyle w:val="Prrafodelista"/>
        <w:numPr>
          <w:ilvl w:val="0"/>
          <w:numId w:val="1"/>
        </w:numPr>
        <w:spacing w:line="240" w:lineRule="auto"/>
        <w:ind w:left="0" w:hanging="567"/>
        <w:jc w:val="both"/>
        <w:rPr>
          <w:rFonts w:cs="Arial"/>
        </w:rPr>
      </w:pPr>
      <w:r>
        <w:rPr>
          <w:rFonts w:cs="Arial"/>
        </w:rPr>
        <w:t xml:space="preserve">Asimismo, el TJCAN se ha pronunciado indicando que </w:t>
      </w:r>
      <w:r w:rsidRPr="002F1992">
        <w:rPr>
          <w:rFonts w:cs="Arial"/>
          <w:i/>
          <w:iCs/>
        </w:rPr>
        <w:t xml:space="preserve">“… el demandante debe demostrar la afectación de un </w:t>
      </w:r>
      <w:r w:rsidRPr="002F1992">
        <w:rPr>
          <w:rFonts w:cs="Arial"/>
          <w:i/>
          <w:iCs/>
          <w:u w:val="single"/>
        </w:rPr>
        <w:t>derecho actual, inmediato y directo</w:t>
      </w:r>
      <w:r w:rsidRPr="002F1992">
        <w:rPr>
          <w:rFonts w:cs="Arial"/>
          <w:i/>
          <w:iCs/>
        </w:rPr>
        <w:t xml:space="preserve">. Adicionalmente, este Tribunal en el Auto del 3 de octubre de 2017 mencionó que la afectación debe ser </w:t>
      </w:r>
      <w:r w:rsidRPr="002F1992">
        <w:rPr>
          <w:rFonts w:cs="Arial"/>
          <w:i/>
          <w:iCs/>
          <w:u w:val="single"/>
        </w:rPr>
        <w:t>concreta, real y directa.</w:t>
      </w:r>
      <w:r w:rsidRPr="000C48C5">
        <w:rPr>
          <w:rFonts w:cs="Arial"/>
          <w:i/>
          <w:iCs/>
        </w:rPr>
        <w:t>”</w:t>
      </w:r>
      <w:r w:rsidRPr="000C48C5">
        <w:rPr>
          <w:rStyle w:val="Refdenotaalpie"/>
          <w:rFonts w:cs="Arial"/>
          <w:i/>
          <w:iCs/>
        </w:rPr>
        <w:footnoteReference w:id="86"/>
      </w:r>
      <w:r w:rsidR="000C48C5">
        <w:rPr>
          <w:rFonts w:cs="Arial"/>
          <w:i/>
          <w:iCs/>
        </w:rPr>
        <w:t xml:space="preserve"> </w:t>
      </w:r>
      <w:r w:rsidR="000C48C5" w:rsidRPr="000C48C5">
        <w:rPr>
          <w:rFonts w:cs="Arial"/>
        </w:rPr>
        <w:t>Y</w:t>
      </w:r>
      <w:r w:rsidR="000C48C5">
        <w:rPr>
          <w:rFonts w:cs="Arial"/>
        </w:rPr>
        <w:t xml:space="preserve"> entiende el Tribunal, sobre tales consideraciones, la respuesta del afectado debe ser oportuna</w:t>
      </w:r>
      <w:r w:rsidR="000C48C5">
        <w:rPr>
          <w:rStyle w:val="Refdenotaalpie"/>
          <w:rFonts w:cs="Arial"/>
        </w:rPr>
        <w:footnoteReference w:id="87"/>
      </w:r>
      <w:r w:rsidR="000C48C5">
        <w:rPr>
          <w:rFonts w:cs="Arial"/>
        </w:rPr>
        <w:t>.</w:t>
      </w:r>
    </w:p>
    <w:p w14:paraId="1343E3FF" w14:textId="77777777" w:rsidR="00F97030" w:rsidRDefault="00F97030" w:rsidP="00F97030">
      <w:pPr>
        <w:pStyle w:val="Prrafodelista"/>
        <w:spacing w:line="240" w:lineRule="auto"/>
        <w:ind w:left="0"/>
        <w:jc w:val="both"/>
        <w:rPr>
          <w:rFonts w:cs="Arial"/>
        </w:rPr>
      </w:pPr>
    </w:p>
    <w:p w14:paraId="047AAFFC" w14:textId="24D45CC7" w:rsidR="00F97030" w:rsidRDefault="00A82EB7" w:rsidP="004625F4">
      <w:pPr>
        <w:pStyle w:val="Prrafodelista"/>
        <w:numPr>
          <w:ilvl w:val="0"/>
          <w:numId w:val="1"/>
        </w:numPr>
        <w:spacing w:line="240" w:lineRule="auto"/>
        <w:ind w:left="0" w:hanging="567"/>
        <w:jc w:val="both"/>
        <w:rPr>
          <w:rFonts w:cs="Arial"/>
        </w:rPr>
      </w:pPr>
      <w:r>
        <w:rPr>
          <w:rFonts w:cs="Arial"/>
        </w:rPr>
        <w:t xml:space="preserve">El Tribunal andino también expresa que la </w:t>
      </w:r>
      <w:r w:rsidRPr="00A82EB7">
        <w:rPr>
          <w:rFonts w:cs="Arial"/>
          <w:i/>
          <w:iCs/>
        </w:rPr>
        <w:t>“… ausencia de una afectación actual e inmediata no corresponde al pronunciamiento de fondo…”</w:t>
      </w:r>
      <w:r>
        <w:rPr>
          <w:rStyle w:val="Refdenotaalpie"/>
          <w:rFonts w:cs="Arial"/>
          <w:i/>
          <w:iCs/>
        </w:rPr>
        <w:footnoteReference w:id="88"/>
      </w:r>
      <w:r>
        <w:rPr>
          <w:rFonts w:cs="Arial"/>
        </w:rPr>
        <w:t xml:space="preserve"> </w:t>
      </w:r>
    </w:p>
    <w:p w14:paraId="67CAE4A0" w14:textId="77777777" w:rsidR="00B12708" w:rsidRPr="00B12708" w:rsidRDefault="00B12708" w:rsidP="00B12708">
      <w:pPr>
        <w:pStyle w:val="Prrafodelista"/>
        <w:rPr>
          <w:rFonts w:cs="Arial"/>
        </w:rPr>
      </w:pPr>
    </w:p>
    <w:p w14:paraId="01F81583" w14:textId="77777777" w:rsidR="00B12708" w:rsidRPr="00B12708" w:rsidRDefault="00B12708" w:rsidP="00B12708">
      <w:pPr>
        <w:spacing w:line="240" w:lineRule="auto"/>
        <w:jc w:val="both"/>
        <w:rPr>
          <w:rFonts w:cs="Arial"/>
        </w:rPr>
      </w:pPr>
    </w:p>
    <w:p w14:paraId="1408DF84" w14:textId="23261DC3" w:rsidR="00F97030" w:rsidRDefault="00F97030" w:rsidP="00F97030">
      <w:pPr>
        <w:pStyle w:val="Prrafodelista"/>
        <w:spacing w:line="240" w:lineRule="auto"/>
        <w:ind w:left="0"/>
        <w:jc w:val="both"/>
        <w:rPr>
          <w:rFonts w:cs="Arial"/>
        </w:rPr>
      </w:pPr>
    </w:p>
    <w:p w14:paraId="1129EAB3" w14:textId="57DB3E90" w:rsidR="00F97030" w:rsidRPr="00B5434E" w:rsidRDefault="00F565AF" w:rsidP="004625F4">
      <w:pPr>
        <w:pStyle w:val="Prrafodelista"/>
        <w:numPr>
          <w:ilvl w:val="0"/>
          <w:numId w:val="1"/>
        </w:numPr>
        <w:spacing w:line="240" w:lineRule="auto"/>
        <w:ind w:left="0" w:hanging="567"/>
        <w:jc w:val="both"/>
        <w:rPr>
          <w:rFonts w:cs="Arial"/>
        </w:rPr>
      </w:pPr>
      <w:r w:rsidRPr="00B5434E">
        <w:rPr>
          <w:rFonts w:cs="Arial"/>
        </w:rPr>
        <w:t xml:space="preserve">En todo caso, </w:t>
      </w:r>
      <w:r w:rsidR="00095180">
        <w:rPr>
          <w:rFonts w:cs="Arial"/>
        </w:rPr>
        <w:t xml:space="preserve">específicamente </w:t>
      </w:r>
      <w:r w:rsidRPr="00B5434E">
        <w:rPr>
          <w:rFonts w:cs="Arial"/>
        </w:rPr>
        <w:t xml:space="preserve">la reclamante sostiene que los derechos subjetivos afectados se dan como consecuencia de </w:t>
      </w:r>
      <w:r w:rsidRPr="00B5434E">
        <w:rPr>
          <w:rFonts w:cs="Arial"/>
          <w:u w:val="single"/>
        </w:rPr>
        <w:t>la falta de reglamentación del artículo 37 del Código</w:t>
      </w:r>
      <w:r w:rsidRPr="00B5434E">
        <w:rPr>
          <w:rFonts w:cs="Arial"/>
        </w:rPr>
        <w:t xml:space="preserve"> y que la misma incumple con las Decisiones 827 y 850</w:t>
      </w:r>
      <w:r w:rsidR="00470583" w:rsidRPr="00B5434E">
        <w:rPr>
          <w:rStyle w:val="Refdenotaalpie"/>
          <w:rFonts w:cs="Arial"/>
        </w:rPr>
        <w:footnoteReference w:id="89"/>
      </w:r>
      <w:r w:rsidRPr="00B5434E">
        <w:rPr>
          <w:rFonts w:cs="Arial"/>
        </w:rPr>
        <w:t>.</w:t>
      </w:r>
      <w:r w:rsidR="007D43EE" w:rsidRPr="00B5434E">
        <w:rPr>
          <w:rFonts w:cs="Arial"/>
        </w:rPr>
        <w:t xml:space="preserve"> Con relación a la señora Ruiz Chang entiende que su derecho afectado se da porque </w:t>
      </w:r>
      <w:r w:rsidR="007D43EE" w:rsidRPr="00B5434E">
        <w:rPr>
          <w:rFonts w:cs="Arial"/>
          <w:u w:val="single"/>
        </w:rPr>
        <w:t>ya no podrá continuar con la venta de productos ya que por la medida denunciada podrían dejar de ser fabricados o importados</w:t>
      </w:r>
      <w:r w:rsidR="007D43EE" w:rsidRPr="00B5434E">
        <w:rPr>
          <w:rFonts w:cs="Arial"/>
        </w:rPr>
        <w:t>.</w:t>
      </w:r>
    </w:p>
    <w:p w14:paraId="0B29AAD7" w14:textId="77777777" w:rsidR="00F565AF" w:rsidRPr="00F565AF" w:rsidRDefault="00F565AF" w:rsidP="00F565AF">
      <w:pPr>
        <w:pStyle w:val="Prrafodelista"/>
        <w:rPr>
          <w:rFonts w:cs="Arial"/>
        </w:rPr>
      </w:pPr>
    </w:p>
    <w:p w14:paraId="2D6657C5" w14:textId="4182415E" w:rsidR="00095180" w:rsidRPr="00095180" w:rsidRDefault="00095180" w:rsidP="00095180">
      <w:pPr>
        <w:pStyle w:val="Prrafodelista"/>
        <w:numPr>
          <w:ilvl w:val="0"/>
          <w:numId w:val="1"/>
        </w:numPr>
        <w:spacing w:line="240" w:lineRule="auto"/>
        <w:ind w:left="0" w:hanging="567"/>
        <w:jc w:val="both"/>
        <w:rPr>
          <w:rFonts w:cs="Arial"/>
        </w:rPr>
      </w:pPr>
      <w:r>
        <w:rPr>
          <w:rFonts w:cs="Arial"/>
        </w:rPr>
        <w:t xml:space="preserve">Sobre el particular, la reclamada en la </w:t>
      </w:r>
      <w:r w:rsidR="00817C17">
        <w:rPr>
          <w:rFonts w:cs="Arial"/>
        </w:rPr>
        <w:t>R</w:t>
      </w:r>
      <w:r>
        <w:rPr>
          <w:rFonts w:cs="Arial"/>
        </w:rPr>
        <w:t xml:space="preserve">eunión </w:t>
      </w:r>
      <w:r w:rsidR="00817C17">
        <w:rPr>
          <w:rFonts w:cs="Arial"/>
        </w:rPr>
        <w:t>I</w:t>
      </w:r>
      <w:r>
        <w:rPr>
          <w:rFonts w:cs="Arial"/>
        </w:rPr>
        <w:t xml:space="preserve">nformativa llevada a cabo el 26 de enero de 2023, expresó que </w:t>
      </w:r>
      <w:r w:rsidRPr="001515FC">
        <w:rPr>
          <w:rFonts w:cs="Arial"/>
          <w:u w:val="single"/>
        </w:rPr>
        <w:t>el artículo 37 del Código no puede ser leído de manera aislada, se debe tener presente la tercera disposición complementaria del mismo código</w:t>
      </w:r>
      <w:r w:rsidRPr="00095180">
        <w:rPr>
          <w:rFonts w:cs="Arial"/>
        </w:rPr>
        <w:t>, que contempla la obligación de expedir reglamentación al artículo 37</w:t>
      </w:r>
      <w:r w:rsidR="00817C17">
        <w:rPr>
          <w:rFonts w:cs="Arial"/>
        </w:rPr>
        <w:t xml:space="preserve">. Al respecto, </w:t>
      </w:r>
      <w:r w:rsidR="00817C17" w:rsidRPr="00817C17">
        <w:rPr>
          <w:rFonts w:cs="Arial"/>
          <w:u w:val="single"/>
        </w:rPr>
        <w:t>G</w:t>
      </w:r>
      <w:r w:rsidRPr="001515FC">
        <w:rPr>
          <w:rFonts w:cs="Arial"/>
          <w:u w:val="single"/>
        </w:rPr>
        <w:t xml:space="preserve">obierno peruano </w:t>
      </w:r>
      <w:r w:rsidR="00817C17">
        <w:rPr>
          <w:rFonts w:cs="Arial"/>
          <w:u w:val="single"/>
        </w:rPr>
        <w:t xml:space="preserve">manifestó que </w:t>
      </w:r>
      <w:r w:rsidRPr="001515FC">
        <w:rPr>
          <w:rFonts w:cs="Arial"/>
          <w:u w:val="single"/>
        </w:rPr>
        <w:t>viene desarrollando los mayores esfuerzos para su reglamentación.</w:t>
      </w:r>
    </w:p>
    <w:p w14:paraId="5ED0FDD0" w14:textId="1169DA6F" w:rsidR="00095180" w:rsidRDefault="00095180" w:rsidP="00095180">
      <w:pPr>
        <w:pStyle w:val="Prrafodelista"/>
        <w:spacing w:line="240" w:lineRule="auto"/>
        <w:ind w:left="0"/>
        <w:jc w:val="both"/>
        <w:rPr>
          <w:rFonts w:cs="Arial"/>
        </w:rPr>
      </w:pPr>
    </w:p>
    <w:p w14:paraId="52A2FDAD" w14:textId="774C1040" w:rsidR="00873260" w:rsidRDefault="00805FF2" w:rsidP="004625F4">
      <w:pPr>
        <w:pStyle w:val="Prrafodelista"/>
        <w:numPr>
          <w:ilvl w:val="0"/>
          <w:numId w:val="1"/>
        </w:numPr>
        <w:spacing w:line="240" w:lineRule="auto"/>
        <w:ind w:left="0" w:hanging="567"/>
        <w:jc w:val="both"/>
        <w:rPr>
          <w:rFonts w:cs="Arial"/>
        </w:rPr>
      </w:pPr>
      <w:r>
        <w:rPr>
          <w:rFonts w:cs="Arial"/>
        </w:rPr>
        <w:t>Así los hechos, la</w:t>
      </w:r>
      <w:r w:rsidR="00873260">
        <w:rPr>
          <w:rFonts w:cs="Arial"/>
        </w:rPr>
        <w:t xml:space="preserve"> reclamante manifiesta que la medida denunciada </w:t>
      </w:r>
      <w:r w:rsidR="00873260" w:rsidRPr="00873260">
        <w:rPr>
          <w:rFonts w:cs="Arial"/>
          <w:i/>
          <w:iCs/>
        </w:rPr>
        <w:t>“… es un Reglamento Técnico, por lo cual es válido analizar bajo los parámetros de la regulación establecida en la Decisión 827 y Decisiones vinculadas.”</w:t>
      </w:r>
      <w:r w:rsidR="00873260">
        <w:rPr>
          <w:rStyle w:val="Refdenotaalpie"/>
          <w:rFonts w:cs="Arial"/>
          <w:i/>
          <w:iCs/>
        </w:rPr>
        <w:footnoteReference w:id="90"/>
      </w:r>
      <w:r w:rsidR="003C568D">
        <w:rPr>
          <w:rFonts w:cs="Arial"/>
        </w:rPr>
        <w:t xml:space="preserve"> Sin embargo, también indican que </w:t>
      </w:r>
      <w:r w:rsidR="003C568D" w:rsidRPr="003C568D">
        <w:rPr>
          <w:rFonts w:cs="Arial"/>
          <w:i/>
          <w:iCs/>
        </w:rPr>
        <w:t>“… las autoridades peruanas conocían la necesidad apremiante de reglamentar el artículo 37 del Código, tan es así que pusieron a disposición de los órganos competentes de la OMC y de la CAN, dos proyectos de reglamento que precisaban el alcance de las obligaciones contenidas en el referido artículo.”</w:t>
      </w:r>
      <w:r w:rsidR="003C568D">
        <w:rPr>
          <w:rStyle w:val="Refdenotaalpie"/>
          <w:rFonts w:cs="Arial"/>
          <w:i/>
          <w:iCs/>
        </w:rPr>
        <w:footnoteReference w:id="91"/>
      </w:r>
    </w:p>
    <w:p w14:paraId="51EABDB3" w14:textId="77777777" w:rsidR="00873260" w:rsidRPr="00873260" w:rsidRDefault="00873260" w:rsidP="00873260">
      <w:pPr>
        <w:pStyle w:val="Prrafodelista"/>
        <w:rPr>
          <w:rFonts w:cs="Arial"/>
        </w:rPr>
      </w:pPr>
    </w:p>
    <w:p w14:paraId="01BD3298" w14:textId="0DAE7EA0" w:rsidR="008879D4" w:rsidRPr="005F5814" w:rsidRDefault="009A6395" w:rsidP="005F5814">
      <w:pPr>
        <w:pStyle w:val="Prrafodelista"/>
        <w:numPr>
          <w:ilvl w:val="0"/>
          <w:numId w:val="1"/>
        </w:numPr>
        <w:spacing w:line="240" w:lineRule="auto"/>
        <w:ind w:left="0" w:hanging="567"/>
        <w:jc w:val="both"/>
        <w:rPr>
          <w:rFonts w:cs="Arial"/>
        </w:rPr>
      </w:pPr>
      <w:r w:rsidRPr="005F5814">
        <w:rPr>
          <w:rFonts w:cs="Arial"/>
        </w:rPr>
        <w:t xml:space="preserve">Ahora bien, </w:t>
      </w:r>
      <w:r w:rsidR="005F5814" w:rsidRPr="005F5814">
        <w:rPr>
          <w:rFonts w:cs="Arial"/>
        </w:rPr>
        <w:t xml:space="preserve">este órgano comunitario, </w:t>
      </w:r>
      <w:r w:rsidR="008879D4" w:rsidRPr="005F5814">
        <w:rPr>
          <w:rFonts w:cs="Arial"/>
        </w:rPr>
        <w:t xml:space="preserve">entiende la apreciación </w:t>
      </w:r>
      <w:r w:rsidR="005F5814" w:rsidRPr="005F5814">
        <w:rPr>
          <w:rFonts w:cs="Arial"/>
        </w:rPr>
        <w:t xml:space="preserve">de la reclamante </w:t>
      </w:r>
      <w:r w:rsidR="008879D4" w:rsidRPr="005F5814">
        <w:rPr>
          <w:rFonts w:cs="Arial"/>
        </w:rPr>
        <w:t xml:space="preserve">es subjetiva, toda vez que </w:t>
      </w:r>
      <w:r w:rsidRPr="005F5814">
        <w:rPr>
          <w:rFonts w:cs="Arial"/>
        </w:rPr>
        <w:t xml:space="preserve">se </w:t>
      </w:r>
      <w:r w:rsidR="008879D4" w:rsidRPr="005F5814">
        <w:rPr>
          <w:rFonts w:cs="Arial"/>
        </w:rPr>
        <w:t xml:space="preserve">refiere a una falta de reglamentación y en el caso particular de la Sra. Ruiz Chang </w:t>
      </w:r>
      <w:r w:rsidR="005F5814" w:rsidRPr="005F5814">
        <w:rPr>
          <w:rFonts w:cs="Arial"/>
        </w:rPr>
        <w:t xml:space="preserve">se advierte que, </w:t>
      </w:r>
      <w:r w:rsidR="008879D4" w:rsidRPr="005F5814">
        <w:rPr>
          <w:rFonts w:cs="Arial"/>
        </w:rPr>
        <w:t>transcurrido</w:t>
      </w:r>
      <w:r w:rsidR="005F5814" w:rsidRPr="005F5814">
        <w:rPr>
          <w:rFonts w:cs="Arial"/>
        </w:rPr>
        <w:t>s</w:t>
      </w:r>
      <w:r w:rsidR="008879D4" w:rsidRPr="005F5814">
        <w:rPr>
          <w:rFonts w:cs="Arial"/>
        </w:rPr>
        <w:t xml:space="preserve"> casi 10 años</w:t>
      </w:r>
      <w:r w:rsidR="005F5814" w:rsidRPr="005F5814">
        <w:rPr>
          <w:rFonts w:cs="Arial"/>
        </w:rPr>
        <w:t xml:space="preserve"> desde la publicación del Código</w:t>
      </w:r>
      <w:r w:rsidR="005F5814">
        <w:rPr>
          <w:rFonts w:cs="Arial"/>
        </w:rPr>
        <w:t xml:space="preserve"> en el diario “El Peruano” el 2 de septiembre de 2010</w:t>
      </w:r>
      <w:r w:rsidR="008879D4" w:rsidRPr="005F5814">
        <w:rPr>
          <w:rFonts w:cs="Arial"/>
        </w:rPr>
        <w:t>, no se vio afectada</w:t>
      </w:r>
      <w:r w:rsidR="005F5814" w:rsidRPr="005F5814">
        <w:rPr>
          <w:rFonts w:cs="Arial"/>
        </w:rPr>
        <w:t>.</w:t>
      </w:r>
    </w:p>
    <w:p w14:paraId="197A2F0E" w14:textId="77777777" w:rsidR="005F5814" w:rsidRPr="005F5814" w:rsidRDefault="005F5814" w:rsidP="005F5814">
      <w:pPr>
        <w:pStyle w:val="Prrafodelista"/>
        <w:rPr>
          <w:rFonts w:cs="Arial"/>
        </w:rPr>
      </w:pPr>
    </w:p>
    <w:p w14:paraId="6056EC89" w14:textId="16C2219D" w:rsidR="008879D4" w:rsidRDefault="005B24E6" w:rsidP="004625F4">
      <w:pPr>
        <w:pStyle w:val="Prrafodelista"/>
        <w:numPr>
          <w:ilvl w:val="0"/>
          <w:numId w:val="1"/>
        </w:numPr>
        <w:spacing w:line="240" w:lineRule="auto"/>
        <w:ind w:left="0" w:hanging="567"/>
        <w:jc w:val="both"/>
        <w:rPr>
          <w:rFonts w:cs="Arial"/>
        </w:rPr>
      </w:pPr>
      <w:r>
        <w:rPr>
          <w:rFonts w:cs="Arial"/>
        </w:rPr>
        <w:t xml:space="preserve">Asimismo, </w:t>
      </w:r>
      <w:r w:rsidR="009A6395">
        <w:rPr>
          <w:rFonts w:cs="Arial"/>
        </w:rPr>
        <w:t xml:space="preserve">con relación a la </w:t>
      </w:r>
      <w:r w:rsidR="00715E26">
        <w:rPr>
          <w:rFonts w:cs="Arial"/>
        </w:rPr>
        <w:t>SNI</w:t>
      </w:r>
      <w:r>
        <w:rPr>
          <w:rFonts w:cs="Arial"/>
        </w:rPr>
        <w:t xml:space="preserve"> como gremio que agrupa varias empresas</w:t>
      </w:r>
      <w:r w:rsidR="006F0A2C">
        <w:rPr>
          <w:rFonts w:cs="Arial"/>
        </w:rPr>
        <w:t xml:space="preserve"> y rubros</w:t>
      </w:r>
      <w:r>
        <w:rPr>
          <w:rFonts w:cs="Arial"/>
        </w:rPr>
        <w:t>, se evidencia un interés difuso, general y abstracto, no siendo claro y específico en cuanto a la afectación de un derecho subjetivo</w:t>
      </w:r>
      <w:r w:rsidR="00866F36">
        <w:rPr>
          <w:rFonts w:cs="Arial"/>
        </w:rPr>
        <w:t>. Este aspecto, ya fue objeto de pronunciamiento por el TJCAN como sigue:</w:t>
      </w:r>
    </w:p>
    <w:p w14:paraId="7C9DC41A" w14:textId="77777777" w:rsidR="00866F36" w:rsidRPr="00866F36" w:rsidRDefault="00866F36" w:rsidP="00866F36">
      <w:pPr>
        <w:pStyle w:val="Prrafodelista"/>
        <w:rPr>
          <w:rFonts w:cs="Arial"/>
        </w:rPr>
      </w:pPr>
    </w:p>
    <w:p w14:paraId="42089C75" w14:textId="77777777" w:rsidR="00866F36" w:rsidRPr="00866F36" w:rsidRDefault="00866F36" w:rsidP="00866F36">
      <w:pPr>
        <w:pStyle w:val="Prrafodelista"/>
        <w:ind w:left="567"/>
        <w:jc w:val="both"/>
        <w:rPr>
          <w:rFonts w:cs="Arial"/>
          <w:i/>
          <w:iCs/>
        </w:rPr>
      </w:pPr>
      <w:r w:rsidRPr="00866F36">
        <w:rPr>
          <w:rFonts w:cs="Arial"/>
          <w:i/>
          <w:iCs/>
        </w:rPr>
        <w:t xml:space="preserve">“3.1.16. Es fácil apreciar que Flores Maravilla, más que venir por una afectación directa a su esfera jurídica de derechos subjetivos o intereses legítimos, viene, como lo afirmó ante la SGCA y luego ante este Tribunal, </w:t>
      </w:r>
      <w:r w:rsidRPr="00866F36">
        <w:rPr>
          <w:rFonts w:cs="Arial"/>
          <w:b/>
          <w:bCs/>
          <w:i/>
          <w:iCs/>
        </w:rPr>
        <w:t>en representación de todos los floricultores colombianos</w:t>
      </w:r>
      <w:r w:rsidRPr="00866F36">
        <w:rPr>
          <w:rFonts w:cs="Arial"/>
          <w:i/>
          <w:iCs/>
        </w:rPr>
        <w:t xml:space="preserve">; esto es, en representación </w:t>
      </w:r>
      <w:r w:rsidRPr="00866F36">
        <w:rPr>
          <w:rFonts w:cs="Arial"/>
          <w:b/>
          <w:bCs/>
          <w:i/>
          <w:iCs/>
        </w:rPr>
        <w:t>de un interés difuso, general o abstracto</w:t>
      </w:r>
      <w:r w:rsidRPr="00866F36">
        <w:rPr>
          <w:rFonts w:cs="Arial"/>
          <w:i/>
          <w:iCs/>
        </w:rPr>
        <w:t>.</w:t>
      </w:r>
    </w:p>
    <w:p w14:paraId="066094D6" w14:textId="77777777" w:rsidR="00866F36" w:rsidRPr="00866F36" w:rsidRDefault="00866F36" w:rsidP="00866F36">
      <w:pPr>
        <w:pStyle w:val="Prrafodelista"/>
        <w:ind w:left="567"/>
        <w:jc w:val="both"/>
        <w:rPr>
          <w:rFonts w:cs="Arial"/>
          <w:i/>
          <w:iCs/>
        </w:rPr>
      </w:pPr>
      <w:r w:rsidRPr="00866F36">
        <w:rPr>
          <w:rFonts w:cs="Arial"/>
          <w:i/>
          <w:iCs/>
        </w:rPr>
        <w:t xml:space="preserve">3.1.17. Es por ello que mediante Dictamen Nº 03-2016 del 28 de abril de 2016, la SGCA señaló que Flores Maravilla no venía por una afectación a sus derechos sino en atención a un </w:t>
      </w:r>
      <w:r w:rsidRPr="00866F36">
        <w:rPr>
          <w:rFonts w:cs="Arial"/>
          <w:b/>
          <w:bCs/>
          <w:i/>
          <w:iCs/>
        </w:rPr>
        <w:t>interés abstracto y general</w:t>
      </w:r>
      <w:r w:rsidRPr="00866F36">
        <w:rPr>
          <w:rFonts w:cs="Arial"/>
          <w:i/>
          <w:iCs/>
        </w:rPr>
        <w:t>.</w:t>
      </w:r>
    </w:p>
    <w:p w14:paraId="0E0A306D" w14:textId="2253C2B7" w:rsidR="00866F36" w:rsidRPr="00866F36" w:rsidRDefault="00866F36" w:rsidP="00866F36">
      <w:pPr>
        <w:pStyle w:val="Prrafodelista"/>
        <w:ind w:left="567"/>
        <w:jc w:val="both"/>
        <w:rPr>
          <w:rFonts w:cs="Arial"/>
          <w:i/>
          <w:iCs/>
        </w:rPr>
      </w:pPr>
      <w:r w:rsidRPr="00866F36">
        <w:rPr>
          <w:rFonts w:cs="Arial"/>
          <w:i/>
          <w:iCs/>
        </w:rPr>
        <w:t>3.1.18. Este Tribunal coincide con la SGCA en que Flores Maravilla carece de legitimidad para demandar. Un comportamiento oportunista no puede ser amparado bajo la supuesta afectación de un derecho subjetivo o interés legítimo. Además, ha quedado demostrado que Flores Maravilla se apersona al proceso en representación de un interés difuso, general o abstracto</w:t>
      </w:r>
      <w:r>
        <w:rPr>
          <w:rFonts w:cs="Arial"/>
          <w:i/>
          <w:iCs/>
        </w:rPr>
        <w:t>.</w:t>
      </w:r>
      <w:r w:rsidRPr="00866F36">
        <w:rPr>
          <w:rFonts w:cs="Arial"/>
          <w:i/>
          <w:iCs/>
        </w:rPr>
        <w:t>”</w:t>
      </w:r>
      <w:r>
        <w:rPr>
          <w:rStyle w:val="Refdenotaalpie"/>
          <w:rFonts w:cs="Arial"/>
          <w:i/>
          <w:iCs/>
        </w:rPr>
        <w:footnoteReference w:id="92"/>
      </w:r>
      <w:r>
        <w:rPr>
          <w:rFonts w:cs="Arial"/>
          <w:i/>
          <w:iCs/>
        </w:rPr>
        <w:t xml:space="preserve"> </w:t>
      </w:r>
      <w:r w:rsidRPr="00866F36">
        <w:rPr>
          <w:rFonts w:cs="Arial"/>
        </w:rPr>
        <w:t xml:space="preserve">(Énfasis </w:t>
      </w:r>
      <w:r w:rsidR="00DB5551">
        <w:rPr>
          <w:rFonts w:cs="Arial"/>
        </w:rPr>
        <w:t>fuera de texto)</w:t>
      </w:r>
    </w:p>
    <w:p w14:paraId="45B6B9FE" w14:textId="7BD8EAF8" w:rsidR="00866F36" w:rsidRDefault="00866F36" w:rsidP="009B75DE">
      <w:pPr>
        <w:pStyle w:val="Prrafodelista"/>
        <w:spacing w:line="240" w:lineRule="auto"/>
        <w:ind w:left="0"/>
        <w:jc w:val="both"/>
        <w:rPr>
          <w:rFonts w:cs="Arial"/>
        </w:rPr>
      </w:pPr>
    </w:p>
    <w:p w14:paraId="14746A5B" w14:textId="44CF698B" w:rsidR="009B75DE" w:rsidRDefault="009B75DE" w:rsidP="004625F4">
      <w:pPr>
        <w:pStyle w:val="Prrafodelista"/>
        <w:numPr>
          <w:ilvl w:val="0"/>
          <w:numId w:val="1"/>
        </w:numPr>
        <w:spacing w:line="240" w:lineRule="auto"/>
        <w:ind w:left="0" w:hanging="567"/>
        <w:jc w:val="both"/>
        <w:rPr>
          <w:rFonts w:cs="Arial"/>
        </w:rPr>
      </w:pPr>
      <w:r>
        <w:rPr>
          <w:rFonts w:cs="Arial"/>
        </w:rPr>
        <w:lastRenderedPageBreak/>
        <w:t xml:space="preserve">De lo expuesto se puede entender que la afectación </w:t>
      </w:r>
      <w:r w:rsidR="00361BAB">
        <w:rPr>
          <w:rFonts w:cs="Arial"/>
        </w:rPr>
        <w:t xml:space="preserve">expresada por las reclamantes </w:t>
      </w:r>
      <w:r>
        <w:rPr>
          <w:rFonts w:cs="Arial"/>
        </w:rPr>
        <w:t>no es clara</w:t>
      </w:r>
      <w:r w:rsidR="00F3164D">
        <w:rPr>
          <w:rFonts w:cs="Arial"/>
        </w:rPr>
        <w:t>, real</w:t>
      </w:r>
      <w:r w:rsidR="00361BAB">
        <w:rPr>
          <w:rFonts w:cs="Arial"/>
        </w:rPr>
        <w:t>,</w:t>
      </w:r>
      <w:r>
        <w:rPr>
          <w:rFonts w:cs="Arial"/>
        </w:rPr>
        <w:t xml:space="preserve"> concreta</w:t>
      </w:r>
      <w:r w:rsidR="00361BAB">
        <w:rPr>
          <w:rFonts w:cs="Arial"/>
        </w:rPr>
        <w:t xml:space="preserve"> y oportuna</w:t>
      </w:r>
      <w:r w:rsidR="00F3164D">
        <w:rPr>
          <w:rFonts w:cs="Arial"/>
        </w:rPr>
        <w:t>, considerando además que el proyecto de reglamentación se encuentra en curso</w:t>
      </w:r>
      <w:r w:rsidR="00AA0AB6">
        <w:rPr>
          <w:rFonts w:cs="Arial"/>
        </w:rPr>
        <w:t xml:space="preserve"> de aprobación</w:t>
      </w:r>
      <w:r w:rsidR="0035138A">
        <w:rPr>
          <w:rFonts w:cs="Arial"/>
        </w:rPr>
        <w:t xml:space="preserve">, </w:t>
      </w:r>
      <w:r w:rsidR="006F0A2C">
        <w:rPr>
          <w:rFonts w:cs="Arial"/>
        </w:rPr>
        <w:t xml:space="preserve">bajo la </w:t>
      </w:r>
      <w:r w:rsidR="0035138A">
        <w:rPr>
          <w:rFonts w:cs="Arial"/>
        </w:rPr>
        <w:t xml:space="preserve">responsabilidad del </w:t>
      </w:r>
      <w:r w:rsidR="006F0A2C">
        <w:rPr>
          <w:rFonts w:cs="Arial"/>
        </w:rPr>
        <w:t>G</w:t>
      </w:r>
      <w:r w:rsidR="0035138A">
        <w:rPr>
          <w:rFonts w:cs="Arial"/>
        </w:rPr>
        <w:t>obierno peruano.</w:t>
      </w:r>
    </w:p>
    <w:p w14:paraId="61FEAAEF" w14:textId="77777777" w:rsidR="006F26E2" w:rsidRPr="006F26E2" w:rsidRDefault="006F26E2" w:rsidP="006F26E2">
      <w:pPr>
        <w:pStyle w:val="Prrafodelista"/>
        <w:rPr>
          <w:rFonts w:cs="Arial"/>
        </w:rPr>
      </w:pPr>
    </w:p>
    <w:p w14:paraId="73C18455" w14:textId="178FB03D" w:rsidR="006F26E2" w:rsidRPr="00617497" w:rsidRDefault="00617497" w:rsidP="004625F4">
      <w:pPr>
        <w:pStyle w:val="Prrafodelista"/>
        <w:numPr>
          <w:ilvl w:val="0"/>
          <w:numId w:val="1"/>
        </w:numPr>
        <w:spacing w:line="240" w:lineRule="auto"/>
        <w:ind w:left="0" w:hanging="567"/>
        <w:jc w:val="both"/>
        <w:rPr>
          <w:rFonts w:cs="Arial"/>
          <w:i/>
          <w:iCs/>
        </w:rPr>
      </w:pPr>
      <w:r>
        <w:rPr>
          <w:rFonts w:cs="Arial"/>
        </w:rPr>
        <w:t xml:space="preserve">También es importante resaltar que la reclamante señala que </w:t>
      </w:r>
      <w:r w:rsidRPr="00617497">
        <w:rPr>
          <w:rFonts w:cs="Arial"/>
          <w:i/>
          <w:iCs/>
        </w:rPr>
        <w:t>“… la Secretaría General debe tener en cuenta que la presente denuncia de incumplimiento no pretende, ni por el fondo ni por la forma, entrar en la discusión de aspectos de salud pública… (…) tiene que ver con la correcta elaboración, adopción e implementación de reglamentos Técnicos…”</w:t>
      </w:r>
      <w:r>
        <w:rPr>
          <w:rStyle w:val="Refdenotaalpie"/>
          <w:rFonts w:cs="Arial"/>
          <w:i/>
          <w:iCs/>
        </w:rPr>
        <w:footnoteReference w:id="93"/>
      </w:r>
      <w:r>
        <w:rPr>
          <w:rFonts w:cs="Arial"/>
        </w:rPr>
        <w:t xml:space="preserve"> conforme las normas comunitarias. Asimismo, indica que </w:t>
      </w:r>
      <w:r w:rsidRPr="00617497">
        <w:rPr>
          <w:rFonts w:cs="Arial"/>
          <w:i/>
          <w:iCs/>
        </w:rPr>
        <w:t>“… como se ha podido apreciar del proceso de aprobación del artículo 37 del Código, la necesidad de que los consumidores se informen sobre el contenido de transgénicos, nunca ha sido un aspecto que sido cuestionado</w:t>
      </w:r>
      <w:r>
        <w:rPr>
          <w:rFonts w:cs="Arial"/>
          <w:i/>
          <w:iCs/>
        </w:rPr>
        <w:t>.</w:t>
      </w:r>
      <w:r w:rsidRPr="00617497">
        <w:rPr>
          <w:rFonts w:cs="Arial"/>
          <w:i/>
          <w:iCs/>
        </w:rPr>
        <w:t>”</w:t>
      </w:r>
      <w:r>
        <w:rPr>
          <w:rStyle w:val="Refdenotaalpie"/>
          <w:rFonts w:cs="Arial"/>
          <w:i/>
          <w:iCs/>
        </w:rPr>
        <w:footnoteReference w:id="94"/>
      </w:r>
    </w:p>
    <w:p w14:paraId="313C639C" w14:textId="77777777" w:rsidR="006F26E2" w:rsidRPr="006F26E2" w:rsidRDefault="006F26E2" w:rsidP="006F26E2">
      <w:pPr>
        <w:pStyle w:val="Prrafodelista"/>
        <w:rPr>
          <w:rFonts w:cs="Arial"/>
        </w:rPr>
      </w:pPr>
    </w:p>
    <w:p w14:paraId="5AB7911A" w14:textId="0ACE2234" w:rsidR="00CB5F0A" w:rsidRDefault="00691752" w:rsidP="00C61F76">
      <w:pPr>
        <w:pStyle w:val="Prrafodelista"/>
        <w:numPr>
          <w:ilvl w:val="0"/>
          <w:numId w:val="1"/>
        </w:numPr>
        <w:spacing w:line="240" w:lineRule="auto"/>
        <w:ind w:left="0" w:hanging="567"/>
        <w:jc w:val="both"/>
        <w:rPr>
          <w:rFonts w:cs="Arial"/>
        </w:rPr>
      </w:pPr>
      <w:r>
        <w:rPr>
          <w:rFonts w:cs="Arial"/>
        </w:rPr>
        <w:t>En este marco descrito, en</w:t>
      </w:r>
      <w:r w:rsidR="00AC22ED" w:rsidRPr="00AC22ED">
        <w:rPr>
          <w:rFonts w:cs="Arial"/>
        </w:rPr>
        <w:t xml:space="preserve"> la medida que la </w:t>
      </w:r>
      <w:r>
        <w:rPr>
          <w:rFonts w:cs="Arial"/>
        </w:rPr>
        <w:t>cuestión</w:t>
      </w:r>
      <w:r w:rsidR="00AC22ED" w:rsidRPr="00AC22ED">
        <w:rPr>
          <w:rFonts w:cs="Arial"/>
        </w:rPr>
        <w:t xml:space="preserve"> previa </w:t>
      </w:r>
      <w:r>
        <w:rPr>
          <w:rFonts w:cs="Arial"/>
        </w:rPr>
        <w:t>de</w:t>
      </w:r>
      <w:r w:rsidR="00AC22ED" w:rsidRPr="00AC22ED">
        <w:rPr>
          <w:rFonts w:cs="Arial"/>
        </w:rPr>
        <w:t xml:space="preserve"> falta de </w:t>
      </w:r>
      <w:r>
        <w:rPr>
          <w:rFonts w:cs="Arial"/>
        </w:rPr>
        <w:t>legitimación activa de la reclamante</w:t>
      </w:r>
      <w:r w:rsidR="00331D86">
        <w:rPr>
          <w:rFonts w:cs="Arial"/>
        </w:rPr>
        <w:t xml:space="preserve"> carezca de afectación real y concreta, como oportuna, se refuerza la decisión de declarar la cuestión previa fundada</w:t>
      </w:r>
      <w:r>
        <w:rPr>
          <w:rFonts w:cs="Arial"/>
        </w:rPr>
        <w:t>,</w:t>
      </w:r>
      <w:r w:rsidR="00AC22ED" w:rsidRPr="00AC22ED">
        <w:rPr>
          <w:rFonts w:cs="Arial"/>
        </w:rPr>
        <w:t xml:space="preserve"> en cuanto al extremo relativo al requisito de que la afectación tiene que ser </w:t>
      </w:r>
      <w:r w:rsidR="00AC22ED" w:rsidRPr="00026512">
        <w:rPr>
          <w:rFonts w:cs="Arial"/>
          <w:u w:val="single"/>
        </w:rPr>
        <w:t>actual, inmediata, real y concreta</w:t>
      </w:r>
      <w:r w:rsidR="00AC22ED" w:rsidRPr="00AC22ED">
        <w:rPr>
          <w:rFonts w:cs="Arial"/>
        </w:rPr>
        <w:t xml:space="preserve">, </w:t>
      </w:r>
      <w:r w:rsidR="00331D86">
        <w:rPr>
          <w:rFonts w:cs="Arial"/>
        </w:rPr>
        <w:t xml:space="preserve">por lo que </w:t>
      </w:r>
      <w:r w:rsidR="00AC22ED" w:rsidRPr="00AC22ED">
        <w:rPr>
          <w:rFonts w:cs="Arial"/>
        </w:rPr>
        <w:t xml:space="preserve">referirse a las demás </w:t>
      </w:r>
      <w:r>
        <w:rPr>
          <w:rFonts w:cs="Arial"/>
        </w:rPr>
        <w:t>cuestiones</w:t>
      </w:r>
      <w:r w:rsidR="00AC22ED" w:rsidRPr="00AC22ED">
        <w:rPr>
          <w:rFonts w:cs="Arial"/>
        </w:rPr>
        <w:t xml:space="preserve"> previas invocadas por la </w:t>
      </w:r>
      <w:r>
        <w:rPr>
          <w:rFonts w:cs="Arial"/>
        </w:rPr>
        <w:t>reclamada</w:t>
      </w:r>
      <w:r w:rsidR="00331D86">
        <w:rPr>
          <w:rFonts w:cs="Arial"/>
        </w:rPr>
        <w:t xml:space="preserve"> carece de sentido</w:t>
      </w:r>
      <w:r>
        <w:rPr>
          <w:rFonts w:cs="Arial"/>
        </w:rPr>
        <w:t>.</w:t>
      </w:r>
    </w:p>
    <w:p w14:paraId="42823920" w14:textId="77777777" w:rsidR="00F415AB" w:rsidRDefault="00F415AB" w:rsidP="00F415AB">
      <w:pPr>
        <w:pStyle w:val="Prrafodelista"/>
        <w:spacing w:line="240" w:lineRule="auto"/>
        <w:ind w:left="0"/>
        <w:jc w:val="both"/>
        <w:rPr>
          <w:rFonts w:cs="Arial"/>
        </w:rPr>
      </w:pPr>
    </w:p>
    <w:p w14:paraId="24B4AC39" w14:textId="7E5DF1AD" w:rsidR="00CD6370" w:rsidRPr="002D0ACE" w:rsidRDefault="00CD6370" w:rsidP="002D0ACE">
      <w:pPr>
        <w:pStyle w:val="Prrafodelista"/>
        <w:numPr>
          <w:ilvl w:val="0"/>
          <w:numId w:val="1"/>
        </w:numPr>
        <w:spacing w:line="240" w:lineRule="auto"/>
        <w:ind w:left="0" w:hanging="567"/>
        <w:jc w:val="both"/>
        <w:rPr>
          <w:rFonts w:cs="Arial"/>
          <w:bCs/>
          <w:color w:val="000000"/>
        </w:rPr>
      </w:pPr>
      <w:r w:rsidRPr="002D0ACE">
        <w:rPr>
          <w:rFonts w:cs="Arial"/>
          <w:bCs/>
          <w:color w:val="000000"/>
        </w:rPr>
        <w:t xml:space="preserve">Es importante recalcar que los Países Miembros están obligados a adoptar las medidas necesarias para asegurar el cumplimiento de las normas comunitarias además de tener el compromiso de no adoptar medidas que sean contrarias al ordenamiento jurídico andino o que obstaculice su aplicación. Aunque </w:t>
      </w:r>
      <w:r w:rsidR="005E40D9" w:rsidRPr="002D0ACE">
        <w:rPr>
          <w:rFonts w:cs="Arial"/>
          <w:bCs/>
          <w:color w:val="000000"/>
        </w:rPr>
        <w:t xml:space="preserve">las personas naturales o jurídicas que se consideren afectadas en sus derechos por el incumplimiento de un País Miembro pueden acudir ante la Secretaría General de la Comunidad Andina para que ésta realice las gestiones conducentes a subsanar el incumplimiento; y, también </w:t>
      </w:r>
      <w:r w:rsidR="00D55CC1" w:rsidRPr="002D0ACE">
        <w:rPr>
          <w:rFonts w:cs="Arial"/>
          <w:bCs/>
          <w:color w:val="000000"/>
        </w:rPr>
        <w:t>se encuentren facultadas para acudir ante los tribunales nacionales competentes, estas alternativas son excluyentes una de la otra, es decir que no pueden coexistir ambas vías respecto a una misma cuestión.</w:t>
      </w:r>
      <w:r w:rsidR="00FE5477" w:rsidRPr="002D0ACE">
        <w:rPr>
          <w:rFonts w:cs="Arial"/>
          <w:bCs/>
          <w:color w:val="000000"/>
        </w:rPr>
        <w:t xml:space="preserve"> </w:t>
      </w:r>
    </w:p>
    <w:p w14:paraId="4E0FFB81" w14:textId="77777777" w:rsidR="00CF2441" w:rsidRPr="002D0ACE" w:rsidRDefault="00CF2441" w:rsidP="002D0ACE">
      <w:pPr>
        <w:pStyle w:val="Prrafodelista"/>
        <w:spacing w:line="240" w:lineRule="auto"/>
        <w:ind w:hanging="567"/>
        <w:rPr>
          <w:rFonts w:cs="Arial"/>
          <w:bCs/>
          <w:color w:val="000000"/>
        </w:rPr>
      </w:pPr>
    </w:p>
    <w:p w14:paraId="6D50299D" w14:textId="333A612E" w:rsidR="00016845" w:rsidRPr="002D0ACE" w:rsidRDefault="00026512" w:rsidP="002D0ACE">
      <w:pPr>
        <w:pStyle w:val="Prrafodelista"/>
        <w:numPr>
          <w:ilvl w:val="0"/>
          <w:numId w:val="1"/>
        </w:numPr>
        <w:spacing w:line="240" w:lineRule="auto"/>
        <w:ind w:left="0" w:hanging="567"/>
        <w:jc w:val="both"/>
        <w:rPr>
          <w:rFonts w:cs="Arial"/>
          <w:bCs/>
          <w:color w:val="000000"/>
        </w:rPr>
      </w:pPr>
      <w:r>
        <w:rPr>
          <w:rFonts w:cs="Arial"/>
          <w:bCs/>
          <w:color w:val="000000"/>
        </w:rPr>
        <w:t xml:space="preserve">Asimismo, </w:t>
      </w:r>
      <w:r w:rsidR="00016845" w:rsidRPr="002D0ACE">
        <w:rPr>
          <w:rFonts w:cs="Arial"/>
          <w:bCs/>
          <w:color w:val="000000"/>
        </w:rPr>
        <w:t>no le corresponde a la SGCAN dictaminar que se deje</w:t>
      </w:r>
      <w:r w:rsidR="00CD6370" w:rsidRPr="002D0ACE">
        <w:rPr>
          <w:rFonts w:cs="Arial"/>
          <w:bCs/>
          <w:color w:val="000000"/>
        </w:rPr>
        <w:t>n</w:t>
      </w:r>
      <w:r w:rsidR="00016845" w:rsidRPr="002D0ACE">
        <w:rPr>
          <w:rFonts w:cs="Arial"/>
          <w:bCs/>
          <w:color w:val="000000"/>
        </w:rPr>
        <w:t xml:space="preserve"> sin efecto acto</w:t>
      </w:r>
      <w:r w:rsidR="00CD6370" w:rsidRPr="002D0ACE">
        <w:rPr>
          <w:rFonts w:cs="Arial"/>
          <w:bCs/>
          <w:color w:val="000000"/>
        </w:rPr>
        <w:t>s</w:t>
      </w:r>
      <w:r w:rsidR="00D07CC7" w:rsidRPr="002D0ACE">
        <w:rPr>
          <w:rFonts w:cs="Arial"/>
          <w:bCs/>
          <w:color w:val="000000"/>
        </w:rPr>
        <w:t xml:space="preserve"> administrativo</w:t>
      </w:r>
      <w:r w:rsidR="00CD6370" w:rsidRPr="002D0ACE">
        <w:rPr>
          <w:rFonts w:cs="Arial"/>
          <w:bCs/>
          <w:color w:val="000000"/>
        </w:rPr>
        <w:t>s</w:t>
      </w:r>
      <w:r w:rsidR="00D07CC7" w:rsidRPr="002D0ACE">
        <w:rPr>
          <w:rFonts w:cs="Arial"/>
          <w:bCs/>
          <w:color w:val="000000"/>
        </w:rPr>
        <w:t xml:space="preserve"> emanado</w:t>
      </w:r>
      <w:r w:rsidR="00CD6370" w:rsidRPr="002D0ACE">
        <w:rPr>
          <w:rFonts w:cs="Arial"/>
          <w:bCs/>
          <w:color w:val="000000"/>
        </w:rPr>
        <w:t>s</w:t>
      </w:r>
      <w:r w:rsidR="00D07CC7" w:rsidRPr="002D0ACE">
        <w:rPr>
          <w:rFonts w:cs="Arial"/>
          <w:bCs/>
          <w:color w:val="000000"/>
        </w:rPr>
        <w:t xml:space="preserve"> de proceso</w:t>
      </w:r>
      <w:r w:rsidR="00CD6370" w:rsidRPr="002D0ACE">
        <w:rPr>
          <w:rFonts w:cs="Arial"/>
          <w:bCs/>
          <w:color w:val="000000"/>
        </w:rPr>
        <w:t>s</w:t>
      </w:r>
      <w:r w:rsidR="00D07CC7" w:rsidRPr="002D0ACE">
        <w:rPr>
          <w:rFonts w:cs="Arial"/>
          <w:bCs/>
          <w:color w:val="000000"/>
        </w:rPr>
        <w:t xml:space="preserve"> contencioso administrativo de plena jurisdicción</w:t>
      </w:r>
      <w:r w:rsidR="00404C20" w:rsidRPr="002D0ACE">
        <w:rPr>
          <w:rFonts w:cs="Arial"/>
          <w:bCs/>
          <w:color w:val="000000"/>
        </w:rPr>
        <w:t xml:space="preserve">, </w:t>
      </w:r>
      <w:r w:rsidR="00CD6370" w:rsidRPr="002D0ACE">
        <w:rPr>
          <w:rFonts w:cs="Arial"/>
          <w:bCs/>
          <w:color w:val="000000"/>
        </w:rPr>
        <w:t xml:space="preserve">y que no han sido concluidos </w:t>
      </w:r>
      <w:r w:rsidR="00C1032A" w:rsidRPr="002D0ACE">
        <w:rPr>
          <w:rFonts w:cs="Arial"/>
          <w:bCs/>
          <w:color w:val="000000"/>
        </w:rPr>
        <w:t xml:space="preserve">ante los </w:t>
      </w:r>
      <w:r w:rsidR="00843D2A">
        <w:rPr>
          <w:rFonts w:cs="Arial"/>
          <w:bCs/>
          <w:color w:val="000000"/>
        </w:rPr>
        <w:t>t</w:t>
      </w:r>
      <w:r w:rsidR="00C1032A" w:rsidRPr="002D0ACE">
        <w:rPr>
          <w:rFonts w:cs="Arial"/>
          <w:bCs/>
          <w:color w:val="000000"/>
        </w:rPr>
        <w:t>ribunales nacionales</w:t>
      </w:r>
      <w:r>
        <w:rPr>
          <w:rFonts w:cs="Arial"/>
          <w:bCs/>
          <w:color w:val="000000"/>
        </w:rPr>
        <w:t>.</w:t>
      </w:r>
    </w:p>
    <w:p w14:paraId="57C5D2F2" w14:textId="77777777" w:rsidR="009B19CB" w:rsidRPr="002D0ACE" w:rsidRDefault="009B19CB" w:rsidP="002D0ACE">
      <w:pPr>
        <w:pStyle w:val="Prrafodelista"/>
        <w:spacing w:after="0" w:line="240" w:lineRule="auto"/>
        <w:ind w:left="0" w:hanging="567"/>
        <w:jc w:val="both"/>
        <w:rPr>
          <w:rFonts w:cs="Arial"/>
          <w:bCs/>
          <w:color w:val="000000"/>
          <w:highlight w:val="yellow"/>
        </w:rPr>
      </w:pPr>
    </w:p>
    <w:p w14:paraId="073AA81D" w14:textId="4A5857BB" w:rsidR="00404C20" w:rsidRPr="00B12708" w:rsidRDefault="00536E53" w:rsidP="002D0ACE">
      <w:pPr>
        <w:pStyle w:val="Prrafodelista"/>
        <w:numPr>
          <w:ilvl w:val="0"/>
          <w:numId w:val="1"/>
        </w:numPr>
        <w:spacing w:line="240" w:lineRule="auto"/>
        <w:ind w:left="0" w:hanging="567"/>
        <w:jc w:val="both"/>
        <w:rPr>
          <w:rFonts w:cs="Arial"/>
          <w:bCs/>
          <w:color w:val="000000"/>
        </w:rPr>
      </w:pPr>
      <w:r w:rsidRPr="002D0ACE">
        <w:rPr>
          <w:rFonts w:cs="Arial"/>
          <w:bCs/>
        </w:rPr>
        <w:t>De conformidad con lo señalado, corresponde declarar fundad</w:t>
      </w:r>
      <w:r w:rsidR="00D07CC7" w:rsidRPr="002D0ACE">
        <w:rPr>
          <w:rFonts w:cs="Arial"/>
          <w:bCs/>
        </w:rPr>
        <w:t>a</w:t>
      </w:r>
      <w:r w:rsidRPr="002D0ACE">
        <w:rPr>
          <w:rFonts w:cs="Arial"/>
          <w:bCs/>
        </w:rPr>
        <w:t xml:space="preserve"> </w:t>
      </w:r>
      <w:r w:rsidRPr="00B17D6F">
        <w:rPr>
          <w:rFonts w:cs="Arial"/>
          <w:bCs/>
        </w:rPr>
        <w:t xml:space="preserve">la </w:t>
      </w:r>
      <w:r w:rsidR="00B17D6F" w:rsidRPr="00B17D6F">
        <w:rPr>
          <w:rFonts w:cs="Arial"/>
          <w:bCs/>
        </w:rPr>
        <w:t>cuestión</w:t>
      </w:r>
      <w:r w:rsidRPr="00B17D6F">
        <w:rPr>
          <w:rFonts w:cs="Arial"/>
          <w:bCs/>
        </w:rPr>
        <w:t xml:space="preserve"> previa</w:t>
      </w:r>
      <w:r w:rsidRPr="002D0ACE">
        <w:rPr>
          <w:rFonts w:cs="Arial"/>
          <w:bCs/>
        </w:rPr>
        <w:t xml:space="preserve"> de falta de </w:t>
      </w:r>
      <w:r w:rsidR="00026512">
        <w:rPr>
          <w:rFonts w:cs="Arial"/>
          <w:bCs/>
        </w:rPr>
        <w:t xml:space="preserve">legitimación activa de la </w:t>
      </w:r>
      <w:r w:rsidR="00D07CC7" w:rsidRPr="002D0ACE">
        <w:rPr>
          <w:rFonts w:cs="Arial"/>
          <w:bCs/>
        </w:rPr>
        <w:t>reclamante</w:t>
      </w:r>
      <w:r w:rsidR="00F65D6D">
        <w:rPr>
          <w:rFonts w:cs="Arial"/>
          <w:bCs/>
        </w:rPr>
        <w:t xml:space="preserve">; asimismo, corresponde advertir litispendencia por parte de las reclamantes, teniendo presente que las empresas </w:t>
      </w:r>
      <w:proofErr w:type="spellStart"/>
      <w:r w:rsidR="00F65D6D">
        <w:rPr>
          <w:rFonts w:cs="Arial"/>
          <w:bCs/>
        </w:rPr>
        <w:t>Molitalia</w:t>
      </w:r>
      <w:proofErr w:type="spellEnd"/>
      <w:r w:rsidR="00BA0875">
        <w:rPr>
          <w:rFonts w:cs="Arial"/>
          <w:bCs/>
        </w:rPr>
        <w:t xml:space="preserve"> S.A.</w:t>
      </w:r>
      <w:r w:rsidR="00F65D6D">
        <w:rPr>
          <w:rFonts w:cs="Arial"/>
          <w:bCs/>
        </w:rPr>
        <w:t xml:space="preserve"> y </w:t>
      </w:r>
      <w:proofErr w:type="spellStart"/>
      <w:r w:rsidR="00F65D6D">
        <w:rPr>
          <w:rFonts w:cs="Arial"/>
          <w:bCs/>
        </w:rPr>
        <w:t>Mo</w:t>
      </w:r>
      <w:r w:rsidR="004825A5">
        <w:rPr>
          <w:rFonts w:cs="Arial"/>
          <w:bCs/>
        </w:rPr>
        <w:t>n</w:t>
      </w:r>
      <w:r w:rsidR="00C6527D">
        <w:rPr>
          <w:rFonts w:cs="Arial"/>
          <w:bCs/>
        </w:rPr>
        <w:t>delez</w:t>
      </w:r>
      <w:proofErr w:type="spellEnd"/>
      <w:r w:rsidR="00C6527D">
        <w:rPr>
          <w:rFonts w:cs="Arial"/>
          <w:bCs/>
        </w:rPr>
        <w:t xml:space="preserve"> Perú S.A.</w:t>
      </w:r>
      <w:r w:rsidR="00F65D6D">
        <w:rPr>
          <w:rFonts w:cs="Arial"/>
          <w:bCs/>
        </w:rPr>
        <w:t xml:space="preserve"> se encuentran representadas por la SNI,</w:t>
      </w:r>
      <w:r w:rsidR="00BB1B97" w:rsidRPr="002D0ACE">
        <w:rPr>
          <w:rFonts w:cs="Arial"/>
          <w:bCs/>
        </w:rPr>
        <w:t xml:space="preserve"> en consecuencia, se </w:t>
      </w:r>
      <w:r w:rsidR="00404C20" w:rsidRPr="002D0ACE">
        <w:rPr>
          <w:rFonts w:cs="Arial"/>
          <w:bCs/>
        </w:rPr>
        <w:t xml:space="preserve">debe concluir que no hay incumplimiento por parte de la República del Perú; </w:t>
      </w:r>
      <w:r w:rsidR="00BB1B97" w:rsidRPr="002D0ACE">
        <w:rPr>
          <w:rFonts w:cs="Arial"/>
          <w:bCs/>
        </w:rPr>
        <w:t xml:space="preserve">en tal virtud la Secretaría General de la Comunidad Andina no se pronunciará sobre los puntos </w:t>
      </w:r>
      <w:r w:rsidR="00F65D6D">
        <w:rPr>
          <w:rFonts w:cs="Arial"/>
          <w:bCs/>
        </w:rPr>
        <w:t xml:space="preserve">restantes </w:t>
      </w:r>
      <w:r w:rsidR="00E051D3">
        <w:rPr>
          <w:rFonts w:cs="Arial"/>
          <w:bCs/>
        </w:rPr>
        <w:t>expuestos como cuestiones previas y tampoco sobre el</w:t>
      </w:r>
      <w:r w:rsidR="00BB1B97" w:rsidRPr="002D0ACE">
        <w:rPr>
          <w:rFonts w:cs="Arial"/>
          <w:bCs/>
        </w:rPr>
        <w:t xml:space="preserve"> reclamo.</w:t>
      </w:r>
    </w:p>
    <w:p w14:paraId="0986FD2F" w14:textId="77777777" w:rsidR="00B12708" w:rsidRPr="00B12708" w:rsidRDefault="00B12708" w:rsidP="00B12708">
      <w:pPr>
        <w:pStyle w:val="Prrafodelista"/>
        <w:rPr>
          <w:rFonts w:cs="Arial"/>
          <w:bCs/>
          <w:color w:val="000000"/>
        </w:rPr>
      </w:pPr>
    </w:p>
    <w:p w14:paraId="3A2A72E8" w14:textId="04E953E2" w:rsidR="00B12708" w:rsidRDefault="00B12708" w:rsidP="00B12708">
      <w:pPr>
        <w:spacing w:line="240" w:lineRule="auto"/>
        <w:jc w:val="both"/>
        <w:rPr>
          <w:rFonts w:cs="Arial"/>
          <w:bCs/>
          <w:color w:val="000000"/>
        </w:rPr>
      </w:pPr>
    </w:p>
    <w:p w14:paraId="0643B91B" w14:textId="6F20F688" w:rsidR="00B12708" w:rsidRDefault="00B12708" w:rsidP="00B12708">
      <w:pPr>
        <w:spacing w:line="240" w:lineRule="auto"/>
        <w:jc w:val="both"/>
        <w:rPr>
          <w:rFonts w:cs="Arial"/>
          <w:bCs/>
          <w:color w:val="000000"/>
        </w:rPr>
      </w:pPr>
    </w:p>
    <w:p w14:paraId="5E9EA24F" w14:textId="06C5A7EA" w:rsidR="00B12708" w:rsidRDefault="00B12708" w:rsidP="00B12708">
      <w:pPr>
        <w:spacing w:line="240" w:lineRule="auto"/>
        <w:jc w:val="both"/>
        <w:rPr>
          <w:rFonts w:cs="Arial"/>
          <w:bCs/>
          <w:color w:val="000000"/>
        </w:rPr>
      </w:pPr>
    </w:p>
    <w:p w14:paraId="67C76F1B" w14:textId="68FE5A5D" w:rsidR="00B12708" w:rsidRDefault="00B12708" w:rsidP="00B12708">
      <w:pPr>
        <w:spacing w:line="240" w:lineRule="auto"/>
        <w:jc w:val="both"/>
        <w:rPr>
          <w:rFonts w:cs="Arial"/>
          <w:bCs/>
          <w:color w:val="000000"/>
        </w:rPr>
      </w:pPr>
    </w:p>
    <w:p w14:paraId="00DD8FC9" w14:textId="77777777" w:rsidR="00B12708" w:rsidRPr="00B12708" w:rsidRDefault="00B12708" w:rsidP="00B12708">
      <w:pPr>
        <w:spacing w:line="240" w:lineRule="auto"/>
        <w:jc w:val="both"/>
        <w:rPr>
          <w:rFonts w:cs="Arial"/>
          <w:bCs/>
          <w:color w:val="000000"/>
        </w:rPr>
      </w:pPr>
    </w:p>
    <w:p w14:paraId="5451F213" w14:textId="77777777" w:rsidR="009537D8" w:rsidRPr="002D0ACE" w:rsidRDefault="009537D8" w:rsidP="00E16951">
      <w:pPr>
        <w:pStyle w:val="Prrafodelista"/>
        <w:spacing w:after="0" w:line="240" w:lineRule="auto"/>
        <w:ind w:left="0"/>
        <w:jc w:val="both"/>
        <w:rPr>
          <w:rFonts w:cs="Arial"/>
          <w:bCs/>
          <w:color w:val="000000"/>
        </w:rPr>
      </w:pPr>
    </w:p>
    <w:p w14:paraId="66C1EE87" w14:textId="2D01BC7F" w:rsidR="00A22943" w:rsidRPr="002D0ACE" w:rsidRDefault="00A22943" w:rsidP="00E16951">
      <w:pPr>
        <w:pStyle w:val="Prrafodelista"/>
        <w:tabs>
          <w:tab w:val="left" w:pos="142"/>
        </w:tabs>
        <w:spacing w:line="240" w:lineRule="auto"/>
        <w:ind w:left="0"/>
        <w:jc w:val="both"/>
        <w:rPr>
          <w:rFonts w:cs="Arial"/>
          <w:b/>
        </w:rPr>
      </w:pPr>
      <w:r w:rsidRPr="002D0ACE">
        <w:rPr>
          <w:rFonts w:cs="Arial"/>
          <w:b/>
        </w:rPr>
        <w:lastRenderedPageBreak/>
        <w:t>VI</w:t>
      </w:r>
      <w:r w:rsidR="00EB5041" w:rsidRPr="002D0ACE">
        <w:rPr>
          <w:rFonts w:cs="Arial"/>
          <w:b/>
        </w:rPr>
        <w:t>I</w:t>
      </w:r>
      <w:r w:rsidRPr="002D0ACE">
        <w:rPr>
          <w:rFonts w:cs="Arial"/>
          <w:b/>
        </w:rPr>
        <w:t>. CONCLUSIONES SOBRE EL ESTADO DE CUMPLIMIENTO D</w:t>
      </w:r>
      <w:r w:rsidR="00BE7683" w:rsidRPr="002D0ACE">
        <w:rPr>
          <w:rFonts w:cs="Arial"/>
          <w:b/>
        </w:rPr>
        <w:t>E LAS OBLIGACIONES COMUNITARIAS.</w:t>
      </w:r>
      <w:r w:rsidR="009179F2" w:rsidRPr="002D0ACE">
        <w:rPr>
          <w:rFonts w:cs="Arial"/>
          <w:b/>
        </w:rPr>
        <w:t xml:space="preserve"> </w:t>
      </w:r>
      <w:r w:rsidRPr="002D0ACE">
        <w:rPr>
          <w:rFonts w:cs="Arial"/>
          <w:b/>
        </w:rPr>
        <w:t>-</w:t>
      </w:r>
    </w:p>
    <w:p w14:paraId="7144F6E2" w14:textId="77777777" w:rsidR="00BE7683" w:rsidRPr="002D0ACE" w:rsidRDefault="00BE7683" w:rsidP="00E16951">
      <w:pPr>
        <w:pStyle w:val="Prrafodelista"/>
        <w:tabs>
          <w:tab w:val="left" w:pos="142"/>
        </w:tabs>
        <w:spacing w:line="240" w:lineRule="auto"/>
        <w:ind w:left="0"/>
        <w:jc w:val="both"/>
        <w:rPr>
          <w:rFonts w:cs="Arial"/>
        </w:rPr>
      </w:pPr>
    </w:p>
    <w:p w14:paraId="66182334" w14:textId="619FD1FB" w:rsidR="00496D13" w:rsidRPr="002D0ACE" w:rsidRDefault="00A22943" w:rsidP="002D0ACE">
      <w:pPr>
        <w:pStyle w:val="Prrafodelista"/>
        <w:numPr>
          <w:ilvl w:val="0"/>
          <w:numId w:val="1"/>
        </w:numPr>
        <w:spacing w:line="240" w:lineRule="auto"/>
        <w:ind w:left="0" w:hanging="567"/>
        <w:jc w:val="both"/>
        <w:rPr>
          <w:rFonts w:cs="Arial"/>
          <w:color w:val="000000"/>
        </w:rPr>
      </w:pPr>
      <w:r w:rsidRPr="002D0ACE">
        <w:rPr>
          <w:rFonts w:cs="Arial"/>
          <w:color w:val="000000"/>
        </w:rPr>
        <w:t>Con base en las consideraciones expresadas</w:t>
      </w:r>
      <w:r w:rsidR="00E27C92" w:rsidRPr="002D0ACE">
        <w:rPr>
          <w:rFonts w:cs="Arial"/>
          <w:color w:val="000000"/>
        </w:rPr>
        <w:t xml:space="preserve"> en el punto </w:t>
      </w:r>
      <w:r w:rsidR="009537D8" w:rsidRPr="002D0ACE">
        <w:rPr>
          <w:rFonts w:cs="Arial"/>
          <w:color w:val="000000"/>
        </w:rPr>
        <w:t>V</w:t>
      </w:r>
      <w:r w:rsidR="00BC356F" w:rsidRPr="002D0ACE">
        <w:rPr>
          <w:rFonts w:cs="Arial"/>
          <w:color w:val="000000"/>
        </w:rPr>
        <w:t>I</w:t>
      </w:r>
      <w:r w:rsidR="00E27C92" w:rsidRPr="002D0ACE">
        <w:rPr>
          <w:rFonts w:cs="Arial"/>
          <w:color w:val="000000"/>
        </w:rPr>
        <w:t xml:space="preserve"> del presente Dictamen,</w:t>
      </w:r>
      <w:r w:rsidR="004A72CC" w:rsidRPr="002D0ACE">
        <w:rPr>
          <w:rFonts w:cs="Arial"/>
          <w:color w:val="000000"/>
        </w:rPr>
        <w:t xml:space="preserve"> no corresponde el análisis de fondo en el presente caso.</w:t>
      </w:r>
    </w:p>
    <w:p w14:paraId="1F333467" w14:textId="77777777" w:rsidR="00E91971" w:rsidRPr="002D0ACE" w:rsidRDefault="00E91971" w:rsidP="002D0ACE">
      <w:pPr>
        <w:pStyle w:val="Prrafodelista"/>
        <w:spacing w:after="0" w:line="240" w:lineRule="auto"/>
        <w:ind w:left="0" w:hanging="567"/>
        <w:jc w:val="both"/>
        <w:rPr>
          <w:rFonts w:cs="Arial"/>
          <w:color w:val="000000"/>
        </w:rPr>
      </w:pPr>
    </w:p>
    <w:p w14:paraId="681494C9" w14:textId="6E381F4E" w:rsidR="007E4B0E" w:rsidRPr="00D456D4" w:rsidRDefault="00496D13" w:rsidP="002D0ACE">
      <w:pPr>
        <w:pStyle w:val="Prrafodelista"/>
        <w:numPr>
          <w:ilvl w:val="0"/>
          <w:numId w:val="1"/>
        </w:numPr>
        <w:spacing w:line="240" w:lineRule="auto"/>
        <w:ind w:left="0" w:hanging="567"/>
        <w:jc w:val="both"/>
        <w:rPr>
          <w:rFonts w:cs="Arial"/>
          <w:color w:val="000000"/>
        </w:rPr>
      </w:pPr>
      <w:r w:rsidRPr="002D0ACE">
        <w:rPr>
          <w:rFonts w:cs="Arial"/>
          <w:color w:val="000000"/>
        </w:rPr>
        <w:t xml:space="preserve">Se declara improcedente el reclamo </w:t>
      </w:r>
      <w:r w:rsidR="004B5C34" w:rsidRPr="004B5C34">
        <w:rPr>
          <w:rFonts w:cs="Arial"/>
          <w:color w:val="000000"/>
        </w:rPr>
        <w:t>interpuesto por la Sociedad Nacional de Industrias y la señora Susana Esperanza Ruiz Chang contra la República del Perú</w:t>
      </w:r>
      <w:r w:rsidR="004B5C34">
        <w:rPr>
          <w:rFonts w:cs="Arial"/>
          <w:color w:val="000000"/>
        </w:rPr>
        <w:t xml:space="preserve">, por falta de legitimación activa de la reclamante, teniendo presente también que se entiende, </w:t>
      </w:r>
      <w:r w:rsidR="00C6527D">
        <w:rPr>
          <w:rFonts w:cs="Arial"/>
          <w:color w:val="000000"/>
        </w:rPr>
        <w:t xml:space="preserve">que </w:t>
      </w:r>
      <w:r w:rsidR="004B5C34">
        <w:rPr>
          <w:rFonts w:cs="Arial"/>
          <w:color w:val="000000"/>
        </w:rPr>
        <w:t xml:space="preserve">dos de sus empresas asociadas a la reclamante se encuentran en procedimiento del derecho interno y </w:t>
      </w:r>
      <w:r w:rsidR="00950D2A">
        <w:rPr>
          <w:rFonts w:cs="Arial"/>
          <w:color w:val="000000"/>
        </w:rPr>
        <w:t>advirtiendo</w:t>
      </w:r>
      <w:r w:rsidR="004B5C34">
        <w:rPr>
          <w:rFonts w:cs="Arial"/>
          <w:color w:val="000000"/>
        </w:rPr>
        <w:t xml:space="preserve"> que el </w:t>
      </w:r>
      <w:r w:rsidR="00BF3602">
        <w:rPr>
          <w:rFonts w:cs="Arial"/>
          <w:color w:val="000000"/>
        </w:rPr>
        <w:t>G</w:t>
      </w:r>
      <w:r w:rsidR="004B5C34">
        <w:rPr>
          <w:rFonts w:cs="Arial"/>
          <w:color w:val="000000"/>
        </w:rPr>
        <w:t xml:space="preserve">obierno del Perú </w:t>
      </w:r>
      <w:r w:rsidR="00950D2A" w:rsidRPr="00950D2A">
        <w:rPr>
          <w:rFonts w:cs="Arial"/>
          <w:color w:val="000000"/>
        </w:rPr>
        <w:t>notific</w:t>
      </w:r>
      <w:r w:rsidR="00950D2A">
        <w:rPr>
          <w:rFonts w:cs="Arial"/>
          <w:color w:val="000000"/>
        </w:rPr>
        <w:t>ó</w:t>
      </w:r>
      <w:r w:rsidR="00950D2A" w:rsidRPr="00950D2A">
        <w:rPr>
          <w:rFonts w:cs="Arial"/>
          <w:color w:val="000000"/>
        </w:rPr>
        <w:t xml:space="preserve"> en el Sistema de Información de Notificación y Reglamentación Técnica de la Comunidad Andina </w:t>
      </w:r>
      <w:r w:rsidR="00950D2A">
        <w:rPr>
          <w:rFonts w:cs="Arial"/>
          <w:color w:val="000000"/>
        </w:rPr>
        <w:t>el proyecto de R</w:t>
      </w:r>
      <w:r w:rsidR="007837CF" w:rsidRPr="007837CF">
        <w:rPr>
          <w:rFonts w:cs="Arial"/>
          <w:color w:val="000000"/>
        </w:rPr>
        <w:t>eglament</w:t>
      </w:r>
      <w:r w:rsidR="00950D2A">
        <w:rPr>
          <w:rFonts w:cs="Arial"/>
          <w:color w:val="000000"/>
        </w:rPr>
        <w:t>o Técnico del</w:t>
      </w:r>
      <w:r w:rsidR="007837CF">
        <w:rPr>
          <w:rFonts w:cs="Arial"/>
          <w:color w:val="000000"/>
        </w:rPr>
        <w:t xml:space="preserve"> artículo 37 del Código</w:t>
      </w:r>
      <w:r w:rsidR="00EB42C5">
        <w:rPr>
          <w:rFonts w:cs="Arial"/>
          <w:color w:val="000000"/>
        </w:rPr>
        <w:t xml:space="preserve"> de Protección y Defensa del Consumidor</w:t>
      </w:r>
      <w:r w:rsidR="007837CF" w:rsidRPr="007837CF">
        <w:rPr>
          <w:rFonts w:cs="Arial"/>
          <w:color w:val="000000"/>
        </w:rPr>
        <w:t>.</w:t>
      </w:r>
    </w:p>
    <w:p w14:paraId="2E9DB6CC" w14:textId="1ABB1B03" w:rsidR="00B12708" w:rsidRDefault="00B12708" w:rsidP="00E16951">
      <w:pPr>
        <w:spacing w:after="0" w:line="240" w:lineRule="auto"/>
        <w:jc w:val="center"/>
        <w:rPr>
          <w:rFonts w:cs="Arial"/>
          <w:i/>
          <w:iCs/>
        </w:rPr>
      </w:pPr>
      <w:bookmarkStart w:id="6" w:name="_GoBack"/>
      <w:bookmarkEnd w:id="6"/>
    </w:p>
    <w:p w14:paraId="3D6FF371" w14:textId="361F5A16" w:rsidR="00B12708" w:rsidRDefault="00B12708" w:rsidP="00E16951">
      <w:pPr>
        <w:spacing w:after="0" w:line="240" w:lineRule="auto"/>
        <w:jc w:val="center"/>
        <w:rPr>
          <w:rFonts w:cs="Arial"/>
          <w:i/>
          <w:iCs/>
        </w:rPr>
      </w:pPr>
    </w:p>
    <w:p w14:paraId="1302D839" w14:textId="77777777" w:rsidR="00B12708" w:rsidRDefault="00B12708" w:rsidP="00E16951">
      <w:pPr>
        <w:spacing w:after="0" w:line="240" w:lineRule="auto"/>
        <w:jc w:val="center"/>
        <w:rPr>
          <w:rFonts w:cs="Arial"/>
          <w:i/>
          <w:iCs/>
        </w:rPr>
      </w:pPr>
    </w:p>
    <w:p w14:paraId="4B730F8D" w14:textId="77777777" w:rsidR="00B12708" w:rsidRDefault="00B12708" w:rsidP="00E16951">
      <w:pPr>
        <w:spacing w:after="0" w:line="240" w:lineRule="auto"/>
        <w:jc w:val="center"/>
        <w:rPr>
          <w:rFonts w:cs="Arial"/>
          <w:i/>
          <w:iCs/>
        </w:rPr>
      </w:pPr>
    </w:p>
    <w:p w14:paraId="62B4263E" w14:textId="77777777" w:rsidR="00B12708" w:rsidRDefault="00B12708" w:rsidP="00E16951">
      <w:pPr>
        <w:spacing w:after="0" w:line="240" w:lineRule="auto"/>
        <w:jc w:val="center"/>
        <w:rPr>
          <w:rFonts w:cs="Arial"/>
          <w:i/>
          <w:iCs/>
        </w:rPr>
      </w:pPr>
    </w:p>
    <w:p w14:paraId="14D56D45" w14:textId="77777777" w:rsidR="00B12708" w:rsidRDefault="00B12708" w:rsidP="00E16951">
      <w:pPr>
        <w:spacing w:after="0" w:line="240" w:lineRule="auto"/>
        <w:jc w:val="center"/>
        <w:rPr>
          <w:rFonts w:cs="Arial"/>
          <w:i/>
          <w:iCs/>
        </w:rPr>
      </w:pPr>
    </w:p>
    <w:p w14:paraId="7ED973F7" w14:textId="342BF151" w:rsidR="00EF5466" w:rsidRPr="00B12708" w:rsidRDefault="00EF5466" w:rsidP="00E16951">
      <w:pPr>
        <w:spacing w:after="0" w:line="240" w:lineRule="auto"/>
        <w:jc w:val="center"/>
        <w:rPr>
          <w:rFonts w:cs="Arial"/>
          <w:i/>
          <w:iCs/>
          <w:sz w:val="24"/>
          <w:szCs w:val="24"/>
        </w:rPr>
      </w:pPr>
      <w:r w:rsidRPr="00B12708">
        <w:rPr>
          <w:rFonts w:cs="Arial"/>
          <w:i/>
          <w:iCs/>
          <w:sz w:val="24"/>
          <w:szCs w:val="24"/>
        </w:rPr>
        <w:t>Jorge Hernando Pedraza</w:t>
      </w:r>
    </w:p>
    <w:p w14:paraId="7742C563" w14:textId="77777777" w:rsidR="00EF5466" w:rsidRPr="002D0ACE" w:rsidRDefault="00EF5466" w:rsidP="00E16951">
      <w:pPr>
        <w:spacing w:after="0" w:line="240" w:lineRule="auto"/>
        <w:jc w:val="center"/>
        <w:rPr>
          <w:rFonts w:cs="Arial"/>
          <w:b/>
          <w:bCs/>
        </w:rPr>
      </w:pPr>
      <w:r w:rsidRPr="002D0ACE">
        <w:rPr>
          <w:rFonts w:cs="Arial"/>
          <w:b/>
          <w:bCs/>
        </w:rPr>
        <w:t>Secretario General</w:t>
      </w:r>
    </w:p>
    <w:sectPr w:rsidR="00EF5466" w:rsidRPr="002D0ACE" w:rsidSect="00EF5466">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0C693" w14:textId="77777777" w:rsidR="00765B2E" w:rsidRDefault="00765B2E" w:rsidP="006F420E">
      <w:pPr>
        <w:spacing w:after="0" w:line="240" w:lineRule="auto"/>
      </w:pPr>
      <w:r>
        <w:separator/>
      </w:r>
    </w:p>
  </w:endnote>
  <w:endnote w:type="continuationSeparator" w:id="0">
    <w:p w14:paraId="6978A52E" w14:textId="77777777" w:rsidR="00765B2E" w:rsidRDefault="00765B2E"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4DD4A" w14:textId="77777777" w:rsidR="00765B2E" w:rsidRDefault="00765B2E" w:rsidP="006F420E">
      <w:pPr>
        <w:spacing w:after="0" w:line="240" w:lineRule="auto"/>
      </w:pPr>
      <w:r>
        <w:separator/>
      </w:r>
    </w:p>
  </w:footnote>
  <w:footnote w:type="continuationSeparator" w:id="0">
    <w:p w14:paraId="26E0FFAE" w14:textId="77777777" w:rsidR="00765B2E" w:rsidRDefault="00765B2E" w:rsidP="006F420E">
      <w:pPr>
        <w:spacing w:after="0" w:line="240" w:lineRule="auto"/>
      </w:pPr>
      <w:r>
        <w:continuationSeparator/>
      </w:r>
    </w:p>
  </w:footnote>
  <w:footnote w:id="1">
    <w:p w14:paraId="58B0DEFE" w14:textId="78ABE819" w:rsidR="00C44875" w:rsidRPr="00C44875" w:rsidRDefault="00C44875" w:rsidP="00C44875">
      <w:pPr>
        <w:pStyle w:val="Textonotapie"/>
        <w:jc w:val="both"/>
      </w:pPr>
      <w:r>
        <w:rPr>
          <w:rStyle w:val="Refdenotaalpie"/>
        </w:rPr>
        <w:footnoteRef/>
      </w:r>
      <w:r>
        <w:t xml:space="preserve"> Escrito de reclamo de fecha 4 de noviembre de 2022, recibido en la SGCAN en fecha 7 de noviembre de 2022</w:t>
      </w:r>
      <w:r w:rsidR="00FC166D">
        <w:t>, páginas 1 y 2</w:t>
      </w:r>
    </w:p>
  </w:footnote>
  <w:footnote w:id="2">
    <w:p w14:paraId="4466F980" w14:textId="3EC20330" w:rsidR="00FC166D" w:rsidRPr="00FC166D" w:rsidRDefault="00FC166D" w:rsidP="00222511">
      <w:pPr>
        <w:pStyle w:val="Textonotapie"/>
        <w:jc w:val="both"/>
      </w:pPr>
      <w:r>
        <w:rPr>
          <w:rStyle w:val="Refdenotaalpie"/>
        </w:rPr>
        <w:footnoteRef/>
      </w:r>
      <w:r>
        <w:t xml:space="preserve"> </w:t>
      </w:r>
      <w:r w:rsidRPr="00FC166D">
        <w:t>Escrito de reclamo de fecha 4 de noviembre de 2022, recibido en la SGCAN en fecha 7 de noviembre de 2022</w:t>
      </w:r>
      <w:r>
        <w:t>, página 3</w:t>
      </w:r>
    </w:p>
  </w:footnote>
  <w:footnote w:id="3">
    <w:p w14:paraId="2017C6AE" w14:textId="4ED83803" w:rsidR="0048256C" w:rsidRPr="0048256C" w:rsidRDefault="0048256C" w:rsidP="00222511">
      <w:pPr>
        <w:pStyle w:val="Textonotapie"/>
        <w:jc w:val="both"/>
      </w:pPr>
      <w:r>
        <w:rPr>
          <w:rStyle w:val="Refdenotaalpie"/>
        </w:rPr>
        <w:footnoteRef/>
      </w:r>
      <w:r>
        <w:t xml:space="preserve"> </w:t>
      </w:r>
      <w:r w:rsidRPr="0048256C">
        <w:t xml:space="preserve">Escrito de reclamo de fecha 4 de noviembre de 2022, recibido en la SGCAN en fecha 7 de noviembre de 2022, página </w:t>
      </w:r>
      <w:r>
        <w:t>4</w:t>
      </w:r>
    </w:p>
  </w:footnote>
  <w:footnote w:id="4">
    <w:p w14:paraId="4080707C" w14:textId="47D0719E" w:rsidR="00982E96" w:rsidRPr="00982E96" w:rsidRDefault="00982E96" w:rsidP="00C167AD">
      <w:pPr>
        <w:pStyle w:val="Textonotapie"/>
        <w:jc w:val="both"/>
      </w:pPr>
      <w:r>
        <w:rPr>
          <w:rStyle w:val="Refdenotaalpie"/>
        </w:rPr>
        <w:footnoteRef/>
      </w:r>
      <w:r>
        <w:t xml:space="preserve"> </w:t>
      </w:r>
      <w:r w:rsidRPr="00982E96">
        <w:t>Escrito de reclamo de fecha 4 de noviembre de 2022, recibido en la SGCAN en fecha 7 de noviembre de 2022, página 1</w:t>
      </w:r>
    </w:p>
  </w:footnote>
  <w:footnote w:id="5">
    <w:p w14:paraId="2D59C3F6" w14:textId="399709EB" w:rsidR="0003384B" w:rsidRPr="0003384B" w:rsidRDefault="0003384B" w:rsidP="00C167AD">
      <w:pPr>
        <w:pStyle w:val="Textonotapie"/>
        <w:jc w:val="both"/>
      </w:pPr>
      <w:r>
        <w:rPr>
          <w:rStyle w:val="Refdenotaalpie"/>
        </w:rPr>
        <w:footnoteRef/>
      </w:r>
      <w:r>
        <w:t xml:space="preserve"> </w:t>
      </w:r>
      <w:r w:rsidRPr="0003384B">
        <w:t xml:space="preserve">Escrito de reclamo de fecha 4 de noviembre de 2022, recibido en la SGCAN en fecha 7 de noviembre de 2022, página </w:t>
      </w:r>
      <w:r>
        <w:t>3</w:t>
      </w:r>
    </w:p>
  </w:footnote>
  <w:footnote w:id="6">
    <w:p w14:paraId="61536A8C" w14:textId="7AD9A171" w:rsidR="00E94664" w:rsidRPr="00E94664" w:rsidRDefault="00E94664" w:rsidP="00C167AD">
      <w:pPr>
        <w:pStyle w:val="Textonotapie"/>
        <w:jc w:val="both"/>
      </w:pPr>
      <w:r>
        <w:rPr>
          <w:rStyle w:val="Refdenotaalpie"/>
        </w:rPr>
        <w:footnoteRef/>
      </w:r>
      <w:r>
        <w:t xml:space="preserve"> Proceso 01-AI-2013 citado en el e</w:t>
      </w:r>
      <w:r w:rsidRPr="00E94664">
        <w:t>scrito de reclamo de fecha 4 de noviembre de 2022, recibido en la SGCAN en fecha 7 de noviembre de 2022, página 3</w:t>
      </w:r>
    </w:p>
  </w:footnote>
  <w:footnote w:id="7">
    <w:p w14:paraId="4C5F799F" w14:textId="56E9ABAD" w:rsidR="00DD0EA9" w:rsidRPr="00DD0EA9" w:rsidRDefault="00DD0EA9" w:rsidP="00C167AD">
      <w:pPr>
        <w:pStyle w:val="Textonotapie"/>
        <w:jc w:val="both"/>
      </w:pPr>
      <w:r>
        <w:rPr>
          <w:rStyle w:val="Refdenotaalpie"/>
        </w:rPr>
        <w:footnoteRef/>
      </w:r>
      <w:r>
        <w:t xml:space="preserve"> </w:t>
      </w:r>
      <w:r w:rsidRPr="00DD0EA9">
        <w:t>Escrito de reclamo de fecha 4 de noviembre de 2022, recibido en la SGCAN en fecha 7 de noviembre de 2022, página 3</w:t>
      </w:r>
    </w:p>
  </w:footnote>
  <w:footnote w:id="8">
    <w:p w14:paraId="3C8F847E" w14:textId="77777777" w:rsidR="002900A9" w:rsidRPr="0048256C" w:rsidRDefault="002900A9" w:rsidP="00C167AD">
      <w:pPr>
        <w:pStyle w:val="Textonotapie"/>
        <w:jc w:val="both"/>
      </w:pPr>
      <w:r>
        <w:rPr>
          <w:rStyle w:val="Refdenotaalpie"/>
        </w:rPr>
        <w:footnoteRef/>
      </w:r>
      <w:r>
        <w:t xml:space="preserve"> </w:t>
      </w:r>
      <w:r w:rsidRPr="0048256C">
        <w:t xml:space="preserve">Escrito de reclamo de fecha 4 de noviembre de 2022, recibido en la SGCAN en fecha 7 de noviembre de 2022, página </w:t>
      </w:r>
      <w:r>
        <w:t>4</w:t>
      </w:r>
    </w:p>
  </w:footnote>
  <w:footnote w:id="9">
    <w:p w14:paraId="7E1BD03F" w14:textId="132D249C" w:rsidR="00750BE0" w:rsidRPr="00750BE0" w:rsidRDefault="00750BE0" w:rsidP="00C167AD">
      <w:pPr>
        <w:pStyle w:val="Textonotapie"/>
        <w:jc w:val="both"/>
      </w:pPr>
      <w:r>
        <w:rPr>
          <w:rStyle w:val="Refdenotaalpie"/>
        </w:rPr>
        <w:footnoteRef/>
      </w:r>
      <w:r>
        <w:t xml:space="preserve"> </w:t>
      </w:r>
      <w:r w:rsidRPr="00750BE0">
        <w:t xml:space="preserve">Escrito de reclamo de fecha 4 de noviembre de 2022, recibido en la SGCAN en fecha 7 de noviembre de 2022, página </w:t>
      </w:r>
      <w:r>
        <w:t>9</w:t>
      </w:r>
    </w:p>
  </w:footnote>
  <w:footnote w:id="10">
    <w:p w14:paraId="088BCBF7" w14:textId="21574719" w:rsidR="00636856" w:rsidRPr="00636856" w:rsidRDefault="00636856" w:rsidP="00C167AD">
      <w:pPr>
        <w:pStyle w:val="Textonotapie"/>
        <w:jc w:val="both"/>
      </w:pPr>
      <w:r>
        <w:rPr>
          <w:rStyle w:val="Refdenotaalpie"/>
        </w:rPr>
        <w:footnoteRef/>
      </w:r>
      <w:r>
        <w:t xml:space="preserve"> </w:t>
      </w:r>
      <w:r w:rsidRPr="00636856">
        <w:t xml:space="preserve">Escrito de reclamo de fecha 4 de noviembre de 2022, recibido en la SGCAN en fecha 7 de noviembre de 2022, página </w:t>
      </w:r>
      <w:r>
        <w:t>11</w:t>
      </w:r>
    </w:p>
  </w:footnote>
  <w:footnote w:id="11">
    <w:p w14:paraId="29A4D579" w14:textId="63B20A4B" w:rsidR="004447DE" w:rsidRPr="004447DE" w:rsidRDefault="004447DE" w:rsidP="00C167AD">
      <w:pPr>
        <w:pStyle w:val="Textonotapie"/>
        <w:jc w:val="both"/>
      </w:pPr>
      <w:r>
        <w:rPr>
          <w:rStyle w:val="Refdenotaalpie"/>
        </w:rPr>
        <w:footnoteRef/>
      </w:r>
      <w:r>
        <w:t xml:space="preserve"> </w:t>
      </w:r>
      <w:r w:rsidRPr="004447DE">
        <w:t>Escrito de reclamo de fecha 4 de noviembre de 2022, recibido en la SGCAN en fecha 7 de noviembre de 2022, página</w:t>
      </w:r>
      <w:r>
        <w:t>s</w:t>
      </w:r>
      <w:r w:rsidRPr="004447DE">
        <w:t xml:space="preserve"> 11</w:t>
      </w:r>
      <w:r>
        <w:t xml:space="preserve"> y 12</w:t>
      </w:r>
    </w:p>
  </w:footnote>
  <w:footnote w:id="12">
    <w:p w14:paraId="28171001" w14:textId="42DE5735" w:rsidR="00706CF0" w:rsidRPr="00706CF0" w:rsidRDefault="00706CF0" w:rsidP="00C167AD">
      <w:pPr>
        <w:pStyle w:val="Textonotapie"/>
        <w:jc w:val="both"/>
      </w:pPr>
      <w:r>
        <w:rPr>
          <w:rStyle w:val="Refdenotaalpie"/>
        </w:rPr>
        <w:footnoteRef/>
      </w:r>
      <w:r>
        <w:t xml:space="preserve"> </w:t>
      </w:r>
      <w:r w:rsidRPr="00706CF0">
        <w:t>Escrito de reclamo de fecha 4 de noviembre de 2022, recibido en la SGCAN en fecha 7 de noviembre de 2022, página 12</w:t>
      </w:r>
    </w:p>
  </w:footnote>
  <w:footnote w:id="13">
    <w:p w14:paraId="00E26478" w14:textId="66264104" w:rsidR="00823CF4" w:rsidRPr="00823CF4" w:rsidRDefault="00823CF4" w:rsidP="00C167AD">
      <w:pPr>
        <w:pStyle w:val="Textonotapie"/>
        <w:jc w:val="both"/>
      </w:pPr>
      <w:r>
        <w:rPr>
          <w:rStyle w:val="Refdenotaalpie"/>
        </w:rPr>
        <w:footnoteRef/>
      </w:r>
      <w:r>
        <w:t xml:space="preserve"> </w:t>
      </w:r>
      <w:r w:rsidRPr="00823CF4">
        <w:t>Escrito de reclamo de fecha 4 de noviembre de 2022, recibido en la SGCAN en fecha 7 de noviembre de 2022, página 1</w:t>
      </w:r>
      <w:r>
        <w:t>3</w:t>
      </w:r>
    </w:p>
  </w:footnote>
  <w:footnote w:id="14">
    <w:p w14:paraId="6458276C" w14:textId="7D89F8C5" w:rsidR="00E204D8" w:rsidRPr="00E204D8" w:rsidRDefault="00E204D8" w:rsidP="00C167AD">
      <w:pPr>
        <w:pStyle w:val="Textonotapie"/>
        <w:jc w:val="both"/>
      </w:pPr>
      <w:r>
        <w:rPr>
          <w:rStyle w:val="Refdenotaalpie"/>
        </w:rPr>
        <w:footnoteRef/>
      </w:r>
      <w:r>
        <w:t xml:space="preserve"> </w:t>
      </w:r>
      <w:r w:rsidRPr="00E204D8">
        <w:t xml:space="preserve">Escrito de reclamo de fecha 4 de noviembre de 2022, recibido en la SGCAN en fecha 7 de noviembre de 2022, página </w:t>
      </w:r>
      <w:r>
        <w:t>20</w:t>
      </w:r>
    </w:p>
  </w:footnote>
  <w:footnote w:id="15">
    <w:p w14:paraId="5518CD8B" w14:textId="02BB7330" w:rsidR="000146A4" w:rsidRPr="000146A4" w:rsidRDefault="000146A4" w:rsidP="00C167AD">
      <w:pPr>
        <w:pStyle w:val="Textonotapie"/>
        <w:jc w:val="both"/>
      </w:pPr>
      <w:r>
        <w:rPr>
          <w:rStyle w:val="Refdenotaalpie"/>
        </w:rPr>
        <w:footnoteRef/>
      </w:r>
      <w:r>
        <w:t xml:space="preserve"> </w:t>
      </w:r>
      <w:r w:rsidRPr="000146A4">
        <w:t>Escrito de reclamo de fecha 4 de noviembre de 2022, recibido en la SGCAN en fecha 7 de noviembre de 2022, página 2</w:t>
      </w:r>
      <w:r>
        <w:t>3</w:t>
      </w:r>
    </w:p>
  </w:footnote>
  <w:footnote w:id="16">
    <w:p w14:paraId="521564A5" w14:textId="5A8A112E" w:rsidR="008C5731" w:rsidRPr="008C5731" w:rsidRDefault="008C5731" w:rsidP="00C167AD">
      <w:pPr>
        <w:pStyle w:val="Textonotapie"/>
        <w:jc w:val="both"/>
      </w:pPr>
      <w:r>
        <w:rPr>
          <w:rStyle w:val="Refdenotaalpie"/>
        </w:rPr>
        <w:footnoteRef/>
      </w:r>
      <w:r>
        <w:t xml:space="preserve"> </w:t>
      </w:r>
      <w:r w:rsidRPr="008C5731">
        <w:t>Escrito de reclamo de fecha 4 de noviembre de 2022, recibido en la SGCAN en fecha 7 de noviembre de 2022, página 23</w:t>
      </w:r>
    </w:p>
  </w:footnote>
  <w:footnote w:id="17">
    <w:p w14:paraId="300015D6" w14:textId="19CE3B73" w:rsidR="005B6892" w:rsidRPr="005B6892" w:rsidRDefault="005B6892" w:rsidP="00C167AD">
      <w:pPr>
        <w:pStyle w:val="Textonotapie"/>
        <w:jc w:val="both"/>
      </w:pPr>
      <w:r>
        <w:rPr>
          <w:rStyle w:val="Refdenotaalpie"/>
        </w:rPr>
        <w:footnoteRef/>
      </w:r>
      <w:r>
        <w:t xml:space="preserve"> </w:t>
      </w:r>
      <w:r w:rsidRPr="005B6892">
        <w:t>Escrito de reclamo de fecha 4 de noviembre de 2022, recibido en la SGCAN en fecha 7 de noviembre de 2022, página 23</w:t>
      </w:r>
    </w:p>
  </w:footnote>
  <w:footnote w:id="18">
    <w:p w14:paraId="59A9642E" w14:textId="36322E12" w:rsidR="002B63F5" w:rsidRPr="002B63F5" w:rsidRDefault="002B63F5" w:rsidP="00C167AD">
      <w:pPr>
        <w:pStyle w:val="Textonotapie"/>
        <w:jc w:val="both"/>
      </w:pPr>
      <w:r>
        <w:rPr>
          <w:rStyle w:val="Refdenotaalpie"/>
        </w:rPr>
        <w:footnoteRef/>
      </w:r>
      <w:r>
        <w:t xml:space="preserve"> </w:t>
      </w:r>
      <w:r w:rsidRPr="002B63F5">
        <w:t>Escrito de reclamo de fecha 4 de noviembre de 2022, recibido en la SGCAN en fecha 7 de noviembre de 2022, página 2</w:t>
      </w:r>
      <w:r>
        <w:t>6</w:t>
      </w:r>
    </w:p>
  </w:footnote>
  <w:footnote w:id="19">
    <w:p w14:paraId="38619914" w14:textId="24FD9ABD" w:rsidR="001C01FC" w:rsidRPr="001C01FC" w:rsidRDefault="001C01FC" w:rsidP="00C167AD">
      <w:pPr>
        <w:pStyle w:val="Textonotapie"/>
        <w:jc w:val="both"/>
      </w:pPr>
      <w:r>
        <w:rPr>
          <w:rStyle w:val="Refdenotaalpie"/>
        </w:rPr>
        <w:footnoteRef/>
      </w:r>
      <w:r>
        <w:t xml:space="preserve"> </w:t>
      </w:r>
      <w:r w:rsidRPr="001C01FC">
        <w:t xml:space="preserve">Escrito de reclamo de fecha 4 de noviembre de 2022, recibido en la SGCAN en fecha 7 de noviembre de 2022, página </w:t>
      </w:r>
      <w:r>
        <w:t>30</w:t>
      </w:r>
    </w:p>
  </w:footnote>
  <w:footnote w:id="20">
    <w:p w14:paraId="7D4B01E9" w14:textId="4D9655A9" w:rsidR="00D86569" w:rsidRPr="00D86569" w:rsidRDefault="00D86569" w:rsidP="00C167AD">
      <w:pPr>
        <w:pStyle w:val="Textonotapie"/>
        <w:jc w:val="both"/>
      </w:pPr>
      <w:r>
        <w:rPr>
          <w:rStyle w:val="Refdenotaalpie"/>
        </w:rPr>
        <w:footnoteRef/>
      </w:r>
      <w:r>
        <w:t xml:space="preserve"> </w:t>
      </w:r>
      <w:r w:rsidRPr="00D86569">
        <w:t>Escrito de reclamo de fecha 4 de noviembre de 2022, recibido en la SGCAN en fecha 7 de noviembre de 2022, página 3</w:t>
      </w:r>
      <w:r>
        <w:t>2</w:t>
      </w:r>
    </w:p>
  </w:footnote>
  <w:footnote w:id="21">
    <w:p w14:paraId="5D9892AF" w14:textId="037521DC" w:rsidR="002C597D" w:rsidRPr="002C597D" w:rsidRDefault="002C597D" w:rsidP="00C167AD">
      <w:pPr>
        <w:pStyle w:val="Textonotapie"/>
        <w:jc w:val="both"/>
      </w:pPr>
      <w:r>
        <w:rPr>
          <w:rStyle w:val="Refdenotaalpie"/>
        </w:rPr>
        <w:footnoteRef/>
      </w:r>
      <w:r>
        <w:t xml:space="preserve"> </w:t>
      </w:r>
      <w:r w:rsidRPr="002C597D">
        <w:t>Escrito de reclamo de fecha 4 de noviembre de 2022, recibido en la SGCAN en fecha 7 de noviembre de 2022, página 32</w:t>
      </w:r>
    </w:p>
  </w:footnote>
  <w:footnote w:id="22">
    <w:p w14:paraId="05542917" w14:textId="2BFF67F6" w:rsidR="005B2AFC" w:rsidRPr="005B2AFC" w:rsidRDefault="005B2AFC" w:rsidP="00C167AD">
      <w:pPr>
        <w:pStyle w:val="Textonotapie"/>
        <w:jc w:val="both"/>
      </w:pPr>
      <w:r>
        <w:rPr>
          <w:rStyle w:val="Refdenotaalpie"/>
        </w:rPr>
        <w:footnoteRef/>
      </w:r>
      <w:r>
        <w:t xml:space="preserve"> </w:t>
      </w:r>
      <w:r w:rsidRPr="005B2AFC">
        <w:t>Escrito de reclamo de fecha 4 de noviembre de 2022, recibido en la SGCAN en fecha 7 de noviembre de 2022, página 32</w:t>
      </w:r>
    </w:p>
  </w:footnote>
  <w:footnote w:id="23">
    <w:p w14:paraId="3941CA4B" w14:textId="75AC64E2" w:rsidR="006E18C0" w:rsidRPr="006E18C0" w:rsidRDefault="006E18C0" w:rsidP="00C167AD">
      <w:pPr>
        <w:pStyle w:val="Textonotapie"/>
        <w:jc w:val="both"/>
      </w:pPr>
      <w:r>
        <w:rPr>
          <w:rStyle w:val="Refdenotaalpie"/>
        </w:rPr>
        <w:footnoteRef/>
      </w:r>
      <w:r>
        <w:t xml:space="preserve"> </w:t>
      </w:r>
      <w:r w:rsidRPr="006E18C0">
        <w:t>Escrito de reclamo de fecha 4 de noviembre de 2022, recibido en la SGCAN en fecha 7 de noviembre de 2022, página</w:t>
      </w:r>
      <w:r>
        <w:t>s 47 y 48</w:t>
      </w:r>
    </w:p>
  </w:footnote>
  <w:footnote w:id="24">
    <w:p w14:paraId="522E26D6" w14:textId="68AE0885" w:rsidR="00A75863" w:rsidRPr="00A75863" w:rsidRDefault="00A75863" w:rsidP="00C167AD">
      <w:pPr>
        <w:pStyle w:val="Textonotapie"/>
        <w:jc w:val="both"/>
      </w:pPr>
      <w:r>
        <w:rPr>
          <w:rStyle w:val="Refdenotaalpie"/>
        </w:rPr>
        <w:footnoteRef/>
      </w:r>
      <w:r>
        <w:t xml:space="preserve"> </w:t>
      </w:r>
      <w:r w:rsidRPr="00A75863">
        <w:t xml:space="preserve">Escrito de reclamo de fecha 4 de noviembre de 2022, recibido en la SGCAN en fecha 7 de noviembre de 2022, páginas </w:t>
      </w:r>
      <w:r>
        <w:t>51 y 52</w:t>
      </w:r>
    </w:p>
  </w:footnote>
  <w:footnote w:id="25">
    <w:p w14:paraId="7A9AD075" w14:textId="3FEEA601" w:rsidR="00E46A91" w:rsidRPr="00E46A91" w:rsidRDefault="00E46A91" w:rsidP="00C167AD">
      <w:pPr>
        <w:pStyle w:val="Textonotapie"/>
        <w:jc w:val="both"/>
      </w:pPr>
      <w:r>
        <w:rPr>
          <w:rStyle w:val="Refdenotaalpie"/>
        </w:rPr>
        <w:footnoteRef/>
      </w:r>
      <w:r>
        <w:t xml:space="preserve"> </w:t>
      </w:r>
      <w:r w:rsidRPr="00E46A91">
        <w:t>Escrito de reclamo de fecha 4 de noviembre de 2022, recibido en la SGCAN en fecha 7 de noviembre de 2022, página</w:t>
      </w:r>
      <w:r>
        <w:t xml:space="preserve"> 54</w:t>
      </w:r>
    </w:p>
  </w:footnote>
  <w:footnote w:id="26">
    <w:p w14:paraId="3FCEC61B" w14:textId="2DA6D513" w:rsidR="00777E9C" w:rsidRPr="00777E9C" w:rsidRDefault="00777E9C" w:rsidP="00C167AD">
      <w:pPr>
        <w:pStyle w:val="Textonotapie"/>
        <w:jc w:val="both"/>
      </w:pPr>
      <w:r>
        <w:rPr>
          <w:rStyle w:val="Refdenotaalpie"/>
        </w:rPr>
        <w:footnoteRef/>
      </w:r>
      <w:r>
        <w:t xml:space="preserve"> </w:t>
      </w:r>
      <w:r w:rsidRPr="00777E9C">
        <w:t xml:space="preserve">Escrito de reclamo de fecha 4 de noviembre de 2022, recibido en la SGCAN en fecha 7 de noviembre de 2022, página </w:t>
      </w:r>
      <w:r>
        <w:t>6</w:t>
      </w:r>
      <w:r w:rsidRPr="00777E9C">
        <w:t>4</w:t>
      </w:r>
    </w:p>
  </w:footnote>
  <w:footnote w:id="27">
    <w:p w14:paraId="045E5CFC" w14:textId="6583D274" w:rsidR="00F54AB2" w:rsidRPr="00F54AB2" w:rsidRDefault="00F54AB2" w:rsidP="00C167AD">
      <w:pPr>
        <w:pStyle w:val="Textonotapie"/>
        <w:jc w:val="both"/>
      </w:pPr>
      <w:r>
        <w:rPr>
          <w:rStyle w:val="Refdenotaalpie"/>
        </w:rPr>
        <w:footnoteRef/>
      </w:r>
      <w:r>
        <w:t xml:space="preserve"> </w:t>
      </w:r>
      <w:r w:rsidRPr="00F54AB2">
        <w:t>Escrito de reclamo de fecha 4 de noviembre de 2022, recibido en la SGCAN en fecha 7 de noviembre de 2022, página 6</w:t>
      </w:r>
      <w:r>
        <w:t>6</w:t>
      </w:r>
    </w:p>
  </w:footnote>
  <w:footnote w:id="28">
    <w:p w14:paraId="4F6BB008" w14:textId="68FDAE3A" w:rsidR="00E648F5" w:rsidRPr="00E648F5" w:rsidRDefault="00E648F5" w:rsidP="00C167AD">
      <w:pPr>
        <w:pStyle w:val="Textonotapie"/>
        <w:jc w:val="both"/>
      </w:pPr>
      <w:r>
        <w:rPr>
          <w:rStyle w:val="Refdenotaalpie"/>
        </w:rPr>
        <w:footnoteRef/>
      </w:r>
      <w:r>
        <w:t xml:space="preserve"> </w:t>
      </w:r>
      <w:r w:rsidRPr="00E648F5">
        <w:t xml:space="preserve">Escrito de reclamo de fecha 4 de noviembre de 2022, recibido en la SGCAN en fecha 7 de noviembre de 2022, página </w:t>
      </w:r>
      <w:r>
        <w:t>71</w:t>
      </w:r>
    </w:p>
  </w:footnote>
  <w:footnote w:id="29">
    <w:p w14:paraId="787A79C6" w14:textId="470FB845" w:rsidR="00065C90" w:rsidRPr="00065C90" w:rsidRDefault="00065C90" w:rsidP="00C167AD">
      <w:pPr>
        <w:pStyle w:val="Textonotapie"/>
        <w:jc w:val="both"/>
      </w:pPr>
      <w:r>
        <w:rPr>
          <w:rStyle w:val="Refdenotaalpie"/>
        </w:rPr>
        <w:footnoteRef/>
      </w:r>
      <w:r>
        <w:t xml:space="preserve"> </w:t>
      </w:r>
      <w:r w:rsidRPr="00065C90">
        <w:t>Escrito de reclamo de fecha 4 de noviembre de 2022, recibido en la SGCAN en fecha 7 de noviembre de 2022, página 7</w:t>
      </w:r>
      <w:r>
        <w:t>2</w:t>
      </w:r>
    </w:p>
  </w:footnote>
  <w:footnote w:id="30">
    <w:p w14:paraId="44D01F0A" w14:textId="7AB4E302" w:rsidR="002B75B9" w:rsidRPr="002B75B9" w:rsidRDefault="002B75B9" w:rsidP="00C167AD">
      <w:pPr>
        <w:pStyle w:val="Textonotapie"/>
        <w:jc w:val="both"/>
      </w:pPr>
      <w:r>
        <w:rPr>
          <w:rStyle w:val="Refdenotaalpie"/>
        </w:rPr>
        <w:footnoteRef/>
      </w:r>
      <w:r>
        <w:t xml:space="preserve"> </w:t>
      </w:r>
      <w:r w:rsidRPr="002B75B9">
        <w:t>Escrito de reclamo de fecha 4 de noviembre de 2022, recibido en la SGCAN en fecha 7 de noviembre de 2022, página 7</w:t>
      </w:r>
      <w:r>
        <w:t>4</w:t>
      </w:r>
    </w:p>
  </w:footnote>
  <w:footnote w:id="31">
    <w:p w14:paraId="0E11BAA3" w14:textId="4C7D5B7E" w:rsidR="003273C9" w:rsidRPr="003273C9" w:rsidRDefault="003273C9" w:rsidP="00C167AD">
      <w:pPr>
        <w:pStyle w:val="Textonotapie"/>
        <w:jc w:val="both"/>
      </w:pPr>
      <w:r>
        <w:rPr>
          <w:rStyle w:val="Refdenotaalpie"/>
        </w:rPr>
        <w:footnoteRef/>
      </w:r>
      <w:r>
        <w:t xml:space="preserve"> </w:t>
      </w:r>
      <w:r w:rsidRPr="003273C9">
        <w:t>Escrito de reclamo de fecha 4 de noviembre de 2022, recibido en la SGCAN en fecha 7 de noviembre de 2022, página 74</w:t>
      </w:r>
    </w:p>
  </w:footnote>
  <w:footnote w:id="32">
    <w:p w14:paraId="16FF1C94" w14:textId="2F1FC92C" w:rsidR="007E798A" w:rsidRPr="007E798A" w:rsidRDefault="007E798A" w:rsidP="00C167AD">
      <w:pPr>
        <w:pStyle w:val="Textonotapie"/>
        <w:jc w:val="both"/>
      </w:pPr>
      <w:r>
        <w:rPr>
          <w:rStyle w:val="Refdenotaalpie"/>
        </w:rPr>
        <w:footnoteRef/>
      </w:r>
      <w:r>
        <w:t xml:space="preserve"> </w:t>
      </w:r>
      <w:r w:rsidRPr="007E798A">
        <w:t>Escrito de reclamo de fecha 4 de noviembre de 2022, recibido en la SGCAN en fecha 7 de noviembre de 2022, página 7</w:t>
      </w:r>
      <w:r>
        <w:t>7</w:t>
      </w:r>
    </w:p>
  </w:footnote>
  <w:footnote w:id="33">
    <w:p w14:paraId="53622DD3" w14:textId="304FA402" w:rsidR="00C20058" w:rsidRPr="00C20058" w:rsidRDefault="00C20058" w:rsidP="00C167AD">
      <w:pPr>
        <w:pStyle w:val="Textonotapie"/>
        <w:jc w:val="both"/>
      </w:pPr>
      <w:r>
        <w:rPr>
          <w:rStyle w:val="Refdenotaalpie"/>
        </w:rPr>
        <w:footnoteRef/>
      </w:r>
      <w:r>
        <w:t xml:space="preserve"> </w:t>
      </w:r>
      <w:r w:rsidRPr="00C20058">
        <w:t>Escrito de reclamo de fecha 4 de noviembre de 2022, recibido en la SGCAN en fecha 7 de noviembre de 2022, página 77</w:t>
      </w:r>
    </w:p>
  </w:footnote>
  <w:footnote w:id="34">
    <w:p w14:paraId="43DA55DD" w14:textId="1ACC2BB1" w:rsidR="00C20058" w:rsidRPr="00C20058" w:rsidRDefault="00C20058" w:rsidP="00031762">
      <w:pPr>
        <w:pStyle w:val="Textonotapie"/>
        <w:jc w:val="both"/>
      </w:pPr>
      <w:r>
        <w:rPr>
          <w:rStyle w:val="Refdenotaalpie"/>
        </w:rPr>
        <w:footnoteRef/>
      </w:r>
      <w:r>
        <w:t xml:space="preserve"> </w:t>
      </w:r>
      <w:r w:rsidRPr="00C20058">
        <w:t>Escrito de reclamo de fecha 4 de noviembre de 2022, recibido en la SGCAN en fecha 7 de noviembre de 2022, página 7</w:t>
      </w:r>
      <w:r>
        <w:t>8</w:t>
      </w:r>
    </w:p>
  </w:footnote>
  <w:footnote w:id="35">
    <w:p w14:paraId="123B9F0C" w14:textId="565DDD53" w:rsidR="006749B2" w:rsidRPr="006749B2" w:rsidRDefault="006749B2" w:rsidP="00031762">
      <w:pPr>
        <w:pStyle w:val="Textonotapie"/>
        <w:jc w:val="both"/>
      </w:pPr>
      <w:r>
        <w:rPr>
          <w:rStyle w:val="Refdenotaalpie"/>
        </w:rPr>
        <w:footnoteRef/>
      </w:r>
      <w:r>
        <w:t xml:space="preserve"> </w:t>
      </w:r>
      <w:r w:rsidRPr="006749B2">
        <w:t>Escrito de reclamo de fecha 4 de noviembre de 2022, recibido en la SGCAN en fecha 7 de noviembre de 2022, página 7</w:t>
      </w:r>
      <w:r>
        <w:t>8</w:t>
      </w:r>
    </w:p>
  </w:footnote>
  <w:footnote w:id="36">
    <w:p w14:paraId="38B6A2B1" w14:textId="5C4C6E8A" w:rsidR="00BE29DA" w:rsidRPr="00BE29DA" w:rsidRDefault="00BE29DA" w:rsidP="00031762">
      <w:pPr>
        <w:pStyle w:val="Textonotapie"/>
        <w:jc w:val="both"/>
      </w:pPr>
      <w:r>
        <w:rPr>
          <w:rStyle w:val="Refdenotaalpie"/>
        </w:rPr>
        <w:footnoteRef/>
      </w:r>
      <w:r>
        <w:t xml:space="preserve"> </w:t>
      </w:r>
      <w:r w:rsidRPr="00BE29DA">
        <w:t xml:space="preserve">Escrito de reclamo de fecha 4 de noviembre de 2022, recibido en la SGCAN en fecha 7 de noviembre de 2022, página </w:t>
      </w:r>
      <w:r>
        <w:t>81</w:t>
      </w:r>
    </w:p>
  </w:footnote>
  <w:footnote w:id="37">
    <w:p w14:paraId="6117CE18" w14:textId="6DECC04B" w:rsidR="0035062F" w:rsidRPr="0035062F" w:rsidRDefault="0035062F" w:rsidP="00031762">
      <w:pPr>
        <w:pStyle w:val="Textonotapie"/>
        <w:jc w:val="both"/>
      </w:pPr>
      <w:r>
        <w:rPr>
          <w:rStyle w:val="Refdenotaalpie"/>
        </w:rPr>
        <w:footnoteRef/>
      </w:r>
      <w:r>
        <w:t xml:space="preserve"> </w:t>
      </w:r>
      <w:r w:rsidRPr="0035062F">
        <w:t xml:space="preserve">Escrito de reclamo de fecha 4 de noviembre de 2022, recibido en la SGCAN en fecha 7 de noviembre de 2022, página </w:t>
      </w:r>
      <w:r>
        <w:t>81</w:t>
      </w:r>
    </w:p>
  </w:footnote>
  <w:footnote w:id="38">
    <w:p w14:paraId="75658140" w14:textId="022B0E9E" w:rsidR="005944FB" w:rsidRPr="005944FB" w:rsidRDefault="005944FB" w:rsidP="00031762">
      <w:pPr>
        <w:pStyle w:val="Textonotapie"/>
        <w:jc w:val="both"/>
        <w:rPr>
          <w:sz w:val="16"/>
          <w:szCs w:val="16"/>
          <w:lang w:val="es-EC"/>
        </w:rPr>
      </w:pPr>
      <w:r w:rsidRPr="005944FB">
        <w:rPr>
          <w:rStyle w:val="Refdenotaalpie"/>
          <w:sz w:val="16"/>
          <w:szCs w:val="16"/>
        </w:rPr>
        <w:footnoteRef/>
      </w:r>
      <w:r w:rsidRPr="005944FB">
        <w:rPr>
          <w:sz w:val="16"/>
          <w:szCs w:val="16"/>
        </w:rPr>
        <w:t xml:space="preserve"> </w:t>
      </w:r>
      <w:r w:rsidR="00E92A30" w:rsidRPr="00E92A30">
        <w:t xml:space="preserve">Escrito de </w:t>
      </w:r>
      <w:r w:rsidR="00942FD8">
        <w:t xml:space="preserve">contestación de </w:t>
      </w:r>
      <w:r w:rsidR="00E92A30" w:rsidRPr="00E92A30">
        <w:t xml:space="preserve">fecha </w:t>
      </w:r>
      <w:r w:rsidR="00942FD8">
        <w:t>11</w:t>
      </w:r>
      <w:r w:rsidR="00E92A30" w:rsidRPr="00E92A30">
        <w:t xml:space="preserve"> de </w:t>
      </w:r>
      <w:r w:rsidR="00942FD8">
        <w:t>enero de</w:t>
      </w:r>
      <w:r w:rsidR="00E92A30" w:rsidRPr="00E92A30">
        <w:t xml:space="preserve"> 202</w:t>
      </w:r>
      <w:r w:rsidR="00942FD8">
        <w:t>3</w:t>
      </w:r>
      <w:r w:rsidR="00E92A30" w:rsidRPr="00E92A30">
        <w:t xml:space="preserve">, recibido en la SGCAN en fecha </w:t>
      </w:r>
      <w:r w:rsidR="00942FD8">
        <w:t>12</w:t>
      </w:r>
      <w:r w:rsidR="00E92A30" w:rsidRPr="00E92A30">
        <w:t xml:space="preserve"> de </w:t>
      </w:r>
      <w:r w:rsidR="00942FD8">
        <w:t>enero</w:t>
      </w:r>
      <w:r w:rsidR="00E92A30" w:rsidRPr="00E92A30">
        <w:t xml:space="preserve"> de 202</w:t>
      </w:r>
      <w:r w:rsidR="00942FD8">
        <w:t>3</w:t>
      </w:r>
      <w:r w:rsidR="00E92A30" w:rsidRPr="00E92A30">
        <w:t>, numeral 3.1, página 3</w:t>
      </w:r>
    </w:p>
  </w:footnote>
  <w:footnote w:id="39">
    <w:p w14:paraId="3F3C78D7" w14:textId="1A32BEFC" w:rsidR="000768AB" w:rsidRPr="000768AB" w:rsidRDefault="000768AB" w:rsidP="00031762">
      <w:pPr>
        <w:pStyle w:val="Textonotapie"/>
        <w:jc w:val="both"/>
      </w:pPr>
      <w:r>
        <w:rPr>
          <w:rStyle w:val="Refdenotaalpie"/>
        </w:rPr>
        <w:footnoteRef/>
      </w:r>
      <w:r>
        <w:t xml:space="preserve"> </w:t>
      </w:r>
      <w:r w:rsidR="00942FD8" w:rsidRPr="00942FD8">
        <w:t xml:space="preserve">Escrito de contestación de fecha 11 de enero de 2023, recibido en la SGCAN en fecha 12 de enero de 2023, página </w:t>
      </w:r>
      <w:r w:rsidR="00942FD8">
        <w:t>4</w:t>
      </w:r>
    </w:p>
  </w:footnote>
  <w:footnote w:id="40">
    <w:p w14:paraId="403CA61C" w14:textId="5560C4AE" w:rsidR="00031762" w:rsidRPr="00031762" w:rsidRDefault="00031762" w:rsidP="00925F40">
      <w:pPr>
        <w:pStyle w:val="Textonotapie"/>
        <w:jc w:val="both"/>
      </w:pPr>
      <w:r>
        <w:rPr>
          <w:rStyle w:val="Refdenotaalpie"/>
        </w:rPr>
        <w:footnoteRef/>
      </w:r>
      <w:r>
        <w:t xml:space="preserve"> </w:t>
      </w:r>
      <w:r w:rsidR="002A0448" w:rsidRPr="002A0448">
        <w:t>Escrito de contestación de fecha 11 de enero de 2023, recibido en la SGCAN en fecha 12 de enero de 2023, página 4</w:t>
      </w:r>
    </w:p>
  </w:footnote>
  <w:footnote w:id="41">
    <w:p w14:paraId="73A27900" w14:textId="37A879DA" w:rsidR="005C0C2C" w:rsidRPr="005C0C2C" w:rsidRDefault="005C0C2C" w:rsidP="00925F40">
      <w:pPr>
        <w:pStyle w:val="Textonotapie"/>
        <w:jc w:val="both"/>
      </w:pPr>
      <w:r>
        <w:rPr>
          <w:rStyle w:val="Refdenotaalpie"/>
        </w:rPr>
        <w:footnoteRef/>
      </w:r>
      <w:r>
        <w:t xml:space="preserve"> </w:t>
      </w:r>
      <w:r w:rsidR="002A0448" w:rsidRPr="002A0448">
        <w:t xml:space="preserve">Escrito de contestación de fecha 11 de enero de 2023, recibido en la SGCAN en fecha 12 de enero de 2023, página </w:t>
      </w:r>
      <w:r w:rsidR="002A0448">
        <w:t>5</w:t>
      </w:r>
    </w:p>
  </w:footnote>
  <w:footnote w:id="42">
    <w:p w14:paraId="3ECFFCCC" w14:textId="075E347F" w:rsidR="007C1F4F" w:rsidRPr="007C1F4F" w:rsidRDefault="007C1F4F" w:rsidP="007C1F4F">
      <w:pPr>
        <w:pStyle w:val="Textonotapie"/>
        <w:jc w:val="both"/>
      </w:pPr>
      <w:r>
        <w:rPr>
          <w:rStyle w:val="Refdenotaalpie"/>
        </w:rPr>
        <w:footnoteRef/>
      </w:r>
      <w:r>
        <w:t xml:space="preserve"> </w:t>
      </w:r>
      <w:r w:rsidR="002A0448" w:rsidRPr="002A0448">
        <w:t xml:space="preserve">Escrito de contestación de fecha 11 de enero de 2023, recibido en la SGCAN en fecha 12 de enero de 2023, página </w:t>
      </w:r>
      <w:r w:rsidR="002A0448">
        <w:t>6</w:t>
      </w:r>
    </w:p>
  </w:footnote>
  <w:footnote w:id="43">
    <w:p w14:paraId="4B133040" w14:textId="0799B343" w:rsidR="009971F5" w:rsidRPr="009971F5" w:rsidRDefault="009971F5" w:rsidP="009971F5">
      <w:pPr>
        <w:pStyle w:val="Textonotapie"/>
        <w:jc w:val="both"/>
      </w:pPr>
      <w:r>
        <w:rPr>
          <w:rStyle w:val="Refdenotaalpie"/>
        </w:rPr>
        <w:footnoteRef/>
      </w:r>
      <w:r>
        <w:t xml:space="preserve"> </w:t>
      </w:r>
      <w:r w:rsidR="002A0448" w:rsidRPr="002A0448">
        <w:t xml:space="preserve">Escrito de contestación de fecha 11 de enero de 2023, recibido en la SGCAN en fecha 12 de enero de 2023, página </w:t>
      </w:r>
      <w:r w:rsidR="002A0448">
        <w:t>6</w:t>
      </w:r>
    </w:p>
  </w:footnote>
  <w:footnote w:id="44">
    <w:p w14:paraId="03B32319" w14:textId="3C64A687" w:rsidR="00A06B18" w:rsidRPr="00A06B18" w:rsidRDefault="00A06B18" w:rsidP="00A06B18">
      <w:pPr>
        <w:pStyle w:val="Textonotapie"/>
        <w:jc w:val="both"/>
      </w:pPr>
      <w:r>
        <w:rPr>
          <w:rStyle w:val="Refdenotaalpie"/>
        </w:rPr>
        <w:footnoteRef/>
      </w:r>
      <w:r>
        <w:t xml:space="preserve"> </w:t>
      </w:r>
      <w:r w:rsidR="002A0448" w:rsidRPr="002A0448">
        <w:t xml:space="preserve">Escrito de contestación de fecha 11 de enero de 2023, recibido en la SGCAN en fecha 12 de enero de 2023, página </w:t>
      </w:r>
      <w:r w:rsidR="002A0448">
        <w:t>9</w:t>
      </w:r>
    </w:p>
  </w:footnote>
  <w:footnote w:id="45">
    <w:p w14:paraId="6112C5D9" w14:textId="21503AE9" w:rsidR="00A06B18" w:rsidRPr="00A06B18" w:rsidRDefault="00A06B18" w:rsidP="00A06B18">
      <w:pPr>
        <w:pStyle w:val="Textonotapie"/>
        <w:jc w:val="both"/>
      </w:pPr>
      <w:r>
        <w:rPr>
          <w:rStyle w:val="Refdenotaalpie"/>
        </w:rPr>
        <w:footnoteRef/>
      </w:r>
      <w:r>
        <w:t xml:space="preserve"> </w:t>
      </w:r>
      <w:r w:rsidR="00B93CD3" w:rsidRPr="00B93CD3">
        <w:t>Escrito de contestación de fecha 11 de enero de 2023, recibido en la SGCAN en fecha 12 de enero de 2023, página 9</w:t>
      </w:r>
    </w:p>
  </w:footnote>
  <w:footnote w:id="46">
    <w:p w14:paraId="2522E211" w14:textId="18E99D58" w:rsidR="005162AF" w:rsidRPr="005162AF" w:rsidRDefault="005162AF" w:rsidP="005162AF">
      <w:pPr>
        <w:pStyle w:val="Textonotapie"/>
        <w:jc w:val="both"/>
      </w:pPr>
      <w:r>
        <w:rPr>
          <w:rStyle w:val="Refdenotaalpie"/>
        </w:rPr>
        <w:footnoteRef/>
      </w:r>
      <w:r>
        <w:t xml:space="preserve"> </w:t>
      </w:r>
      <w:r w:rsidR="00B93CD3" w:rsidRPr="00B93CD3">
        <w:t>Escrito de contestación de fecha 11 de enero de 2023, recibido en la SGCAN en fecha 12 de enero de 2023, página 9</w:t>
      </w:r>
    </w:p>
  </w:footnote>
  <w:footnote w:id="47">
    <w:p w14:paraId="1FAB453E" w14:textId="445FBC16" w:rsidR="005101F7" w:rsidRPr="005101F7" w:rsidRDefault="005101F7" w:rsidP="005101F7">
      <w:pPr>
        <w:pStyle w:val="Textonotapie"/>
        <w:jc w:val="both"/>
      </w:pPr>
      <w:r>
        <w:rPr>
          <w:rStyle w:val="Refdenotaalpie"/>
        </w:rPr>
        <w:footnoteRef/>
      </w:r>
      <w:r>
        <w:t xml:space="preserve"> </w:t>
      </w:r>
      <w:r w:rsidR="00396428" w:rsidRPr="00396428">
        <w:t>Escrito de contestación de fecha 11 de enero de 2023, recibido en la SGCAN en fecha 12 de enero de 2023</w:t>
      </w:r>
      <w:r w:rsidRPr="005101F7">
        <w:t>, página 1</w:t>
      </w:r>
      <w:r>
        <w:t>1</w:t>
      </w:r>
      <w:r w:rsidR="00472D97">
        <w:t xml:space="preserve"> y cita </w:t>
      </w:r>
      <w:r w:rsidR="00472D97" w:rsidRPr="00472D97">
        <w:t>los Autos del 5 de octubre de 2022, confirmado por Auto del 28 de noviembre de 2022, (Proceso 03-AI-2021) y del 13 de diciembre de 2022 (Procesos 02-AI-2021 y 04-AI-2021)</w:t>
      </w:r>
      <w:r w:rsidR="00472D97">
        <w:t xml:space="preserve"> d</w:t>
      </w:r>
      <w:r w:rsidR="00472D97" w:rsidRPr="00472D97">
        <w:t>el TJCAN</w:t>
      </w:r>
    </w:p>
  </w:footnote>
  <w:footnote w:id="48">
    <w:p w14:paraId="30D748FA" w14:textId="0A778646" w:rsidR="002C60AE" w:rsidRPr="002C60AE" w:rsidRDefault="002C60AE" w:rsidP="002C60AE">
      <w:pPr>
        <w:pStyle w:val="Textonotapie"/>
        <w:jc w:val="both"/>
      </w:pPr>
      <w:r>
        <w:rPr>
          <w:rStyle w:val="Refdenotaalpie"/>
        </w:rPr>
        <w:footnoteRef/>
      </w:r>
      <w:r>
        <w:t xml:space="preserve"> </w:t>
      </w:r>
      <w:r w:rsidR="00396428" w:rsidRPr="00396428">
        <w:t>Escrito de contestación de fecha 11 de enero de 2023, recibido en la SGCAN en fecha 12 de enero de 2023</w:t>
      </w:r>
      <w:r w:rsidRPr="002C60AE">
        <w:t>, página 1</w:t>
      </w:r>
      <w:r w:rsidR="00396428">
        <w:t>1</w:t>
      </w:r>
    </w:p>
  </w:footnote>
  <w:footnote w:id="49">
    <w:p w14:paraId="66644B05" w14:textId="7D30F8A2" w:rsidR="00561068" w:rsidRPr="00561068" w:rsidRDefault="00561068" w:rsidP="002C60AE">
      <w:pPr>
        <w:pStyle w:val="Textonotapie"/>
        <w:jc w:val="both"/>
      </w:pPr>
      <w:r>
        <w:rPr>
          <w:rStyle w:val="Refdenotaalpie"/>
        </w:rPr>
        <w:footnoteRef/>
      </w:r>
      <w:r>
        <w:t xml:space="preserve"> </w:t>
      </w:r>
      <w:r w:rsidR="00367037" w:rsidRPr="00367037">
        <w:t>Escrito de contestación de fecha 11 de enero de 2023, recibido en la SGCAN en fecha 12 de enero de 2023</w:t>
      </w:r>
      <w:r w:rsidRPr="00561068">
        <w:t>, página 11</w:t>
      </w:r>
    </w:p>
  </w:footnote>
  <w:footnote w:id="50">
    <w:p w14:paraId="271DFC20" w14:textId="6614D0E9" w:rsidR="00DC5AB3" w:rsidRPr="00DC5AB3" w:rsidRDefault="00DC5AB3" w:rsidP="00DC5AB3">
      <w:pPr>
        <w:pStyle w:val="Textonotapie"/>
        <w:jc w:val="both"/>
      </w:pPr>
      <w:r>
        <w:rPr>
          <w:rStyle w:val="Refdenotaalpie"/>
        </w:rPr>
        <w:footnoteRef/>
      </w:r>
      <w:r>
        <w:t xml:space="preserve"> </w:t>
      </w:r>
      <w:r w:rsidR="00B60773" w:rsidRPr="00B60773">
        <w:t>Escrito de contestación de fecha 11 de enero de 2023, recibido en la SGCAN en fecha 12 de enero de 2023</w:t>
      </w:r>
      <w:r w:rsidRPr="00DC5AB3">
        <w:t>, página 1</w:t>
      </w:r>
      <w:r>
        <w:t>4</w:t>
      </w:r>
    </w:p>
  </w:footnote>
  <w:footnote w:id="51">
    <w:p w14:paraId="5ABBA79E" w14:textId="7C31CE84" w:rsidR="006D06D9" w:rsidRPr="006D06D9" w:rsidRDefault="006D06D9" w:rsidP="006D06D9">
      <w:pPr>
        <w:pStyle w:val="Textonotapie"/>
        <w:jc w:val="both"/>
      </w:pPr>
      <w:r>
        <w:rPr>
          <w:rStyle w:val="Refdenotaalpie"/>
        </w:rPr>
        <w:footnoteRef/>
      </w:r>
      <w:r>
        <w:t xml:space="preserve"> </w:t>
      </w:r>
      <w:r w:rsidR="00E219AF" w:rsidRPr="00E219AF">
        <w:t>Escrito de contestación de fecha 11 de enero de 2023, recibido en la SGCAN en fecha 12 de enero de 2023</w:t>
      </w:r>
      <w:r w:rsidRPr="006D06D9">
        <w:t>, página 1</w:t>
      </w:r>
      <w:r>
        <w:t>5</w:t>
      </w:r>
    </w:p>
  </w:footnote>
  <w:footnote w:id="52">
    <w:p w14:paraId="175FCDBA" w14:textId="1E74825A" w:rsidR="00971A52" w:rsidRPr="00971A52" w:rsidRDefault="00971A52" w:rsidP="00971A52">
      <w:pPr>
        <w:pStyle w:val="Textonotapie"/>
        <w:jc w:val="both"/>
      </w:pPr>
      <w:r>
        <w:rPr>
          <w:rStyle w:val="Refdenotaalpie"/>
        </w:rPr>
        <w:footnoteRef/>
      </w:r>
      <w:r>
        <w:t xml:space="preserve"> </w:t>
      </w:r>
      <w:r w:rsidR="00E219AF" w:rsidRPr="00E219AF">
        <w:t>Escrito de contestación de fecha 11 de enero de 2023, recibido en la SGCAN en fecha 12 de enero de 2023</w:t>
      </w:r>
      <w:r w:rsidRPr="00971A52">
        <w:t>, página 1</w:t>
      </w:r>
      <w:r>
        <w:t>6</w:t>
      </w:r>
    </w:p>
  </w:footnote>
  <w:footnote w:id="53">
    <w:p w14:paraId="1F6FEEEE" w14:textId="28CC8FAE" w:rsidR="001B0217" w:rsidRPr="001B0217" w:rsidRDefault="001B0217" w:rsidP="001B0217">
      <w:pPr>
        <w:pStyle w:val="Textonotapie"/>
        <w:jc w:val="both"/>
      </w:pPr>
      <w:r>
        <w:rPr>
          <w:rStyle w:val="Refdenotaalpie"/>
        </w:rPr>
        <w:footnoteRef/>
      </w:r>
      <w:r>
        <w:t xml:space="preserve"> </w:t>
      </w:r>
      <w:r w:rsidR="00E219AF" w:rsidRPr="00E219AF">
        <w:t>Escrito de contestación de fecha 11 de enero de 2023, recibido en la SGCAN en fecha 12 de enero de 2023</w:t>
      </w:r>
      <w:r w:rsidRPr="001B0217">
        <w:t>, página 1</w:t>
      </w:r>
      <w:r>
        <w:t>7</w:t>
      </w:r>
    </w:p>
  </w:footnote>
  <w:footnote w:id="54">
    <w:p w14:paraId="509B6B1A" w14:textId="334784A1" w:rsidR="005E2F80" w:rsidRPr="005E2F80" w:rsidRDefault="005E2F80" w:rsidP="005E2F80">
      <w:pPr>
        <w:pStyle w:val="Textonotapie"/>
        <w:jc w:val="both"/>
      </w:pPr>
      <w:r>
        <w:rPr>
          <w:rStyle w:val="Refdenotaalpie"/>
        </w:rPr>
        <w:footnoteRef/>
      </w:r>
      <w:r>
        <w:t xml:space="preserve"> </w:t>
      </w:r>
      <w:r w:rsidR="00E219AF" w:rsidRPr="00E219AF">
        <w:t>Escrito de contestación de fecha 11 de enero de 2023, recibido en la SGCAN en fecha 12 de enero de 2023</w:t>
      </w:r>
      <w:r w:rsidRPr="005E2F80">
        <w:t>, página 1</w:t>
      </w:r>
      <w:r>
        <w:t>9</w:t>
      </w:r>
    </w:p>
  </w:footnote>
  <w:footnote w:id="55">
    <w:p w14:paraId="36C87879" w14:textId="62EFEEFB" w:rsidR="00BE24B7" w:rsidRPr="00BE24B7" w:rsidRDefault="00BE24B7" w:rsidP="00BE24B7">
      <w:pPr>
        <w:pStyle w:val="Textonotapie"/>
        <w:jc w:val="both"/>
      </w:pPr>
      <w:r>
        <w:rPr>
          <w:rStyle w:val="Refdenotaalpie"/>
        </w:rPr>
        <w:footnoteRef/>
      </w:r>
      <w:r>
        <w:t xml:space="preserve"> </w:t>
      </w:r>
      <w:r w:rsidR="00E219AF" w:rsidRPr="00E219AF">
        <w:t>Escrito de contestación de fecha 11 de enero de 2023, recibido en la SGCAN en fecha 12 de enero de 2023</w:t>
      </w:r>
      <w:r w:rsidRPr="00BE24B7">
        <w:t>, página 19</w:t>
      </w:r>
    </w:p>
  </w:footnote>
  <w:footnote w:id="56">
    <w:p w14:paraId="12A2301F" w14:textId="5C176A10" w:rsidR="0083707D" w:rsidRPr="0083707D" w:rsidRDefault="0083707D" w:rsidP="0083707D">
      <w:pPr>
        <w:pStyle w:val="Textonotapie"/>
        <w:jc w:val="both"/>
      </w:pPr>
      <w:r>
        <w:rPr>
          <w:rStyle w:val="Refdenotaalpie"/>
        </w:rPr>
        <w:footnoteRef/>
      </w:r>
      <w:r>
        <w:t xml:space="preserve"> </w:t>
      </w:r>
      <w:r w:rsidR="00E219AF" w:rsidRPr="00E219AF">
        <w:t>Escrito de contestación de fecha 11 de enero de 2023, recibido en la SGCAN en fecha 12 de enero de 2023</w:t>
      </w:r>
      <w:r w:rsidRPr="0083707D">
        <w:t xml:space="preserve">, página </w:t>
      </w:r>
      <w:r w:rsidR="00E80D67">
        <w:t>20</w:t>
      </w:r>
    </w:p>
  </w:footnote>
  <w:footnote w:id="57">
    <w:p w14:paraId="7515F545" w14:textId="1A7B3C40" w:rsidR="00217A16" w:rsidRPr="00217A16" w:rsidRDefault="00217A16" w:rsidP="00217A16">
      <w:pPr>
        <w:pStyle w:val="Textonotapie"/>
        <w:jc w:val="both"/>
      </w:pPr>
      <w:r>
        <w:rPr>
          <w:rStyle w:val="Refdenotaalpie"/>
        </w:rPr>
        <w:footnoteRef/>
      </w:r>
      <w:r>
        <w:t xml:space="preserve"> </w:t>
      </w:r>
      <w:r w:rsidR="00E219AF" w:rsidRPr="00E219AF">
        <w:t>Escrito de contestación de fecha 11 de enero de 2023, recibido en la SGCAN en fecha 12 de enero de 2023</w:t>
      </w:r>
      <w:r w:rsidRPr="00217A16">
        <w:t xml:space="preserve">, página </w:t>
      </w:r>
      <w:r w:rsidR="00A453EE">
        <w:t>22</w:t>
      </w:r>
    </w:p>
  </w:footnote>
  <w:footnote w:id="58">
    <w:p w14:paraId="081062AE" w14:textId="4685E478" w:rsidR="00F405EB" w:rsidRPr="00F405EB" w:rsidRDefault="00F405EB" w:rsidP="00F405EB">
      <w:pPr>
        <w:pStyle w:val="Textonotapie"/>
        <w:jc w:val="both"/>
      </w:pPr>
      <w:r>
        <w:rPr>
          <w:rStyle w:val="Refdenotaalpie"/>
        </w:rPr>
        <w:footnoteRef/>
      </w:r>
      <w:r>
        <w:t xml:space="preserve"> </w:t>
      </w:r>
      <w:bookmarkStart w:id="2" w:name="_Hlk126594167"/>
      <w:r w:rsidR="00C33CD6" w:rsidRPr="00C33CD6">
        <w:t>Escrito de contestación de fecha 11 de enero de 2023, recibido en la SGCAN en fecha 12 de enero de 2023</w:t>
      </w:r>
      <w:r w:rsidRPr="00F405EB">
        <w:t xml:space="preserve">, página </w:t>
      </w:r>
      <w:r>
        <w:t>22</w:t>
      </w:r>
      <w:bookmarkEnd w:id="2"/>
    </w:p>
  </w:footnote>
  <w:footnote w:id="59">
    <w:p w14:paraId="7CFF12EE" w14:textId="02CC8DD4" w:rsidR="00BB32AE" w:rsidRPr="00BB32AE" w:rsidRDefault="00BB32AE" w:rsidP="00BB32AE">
      <w:pPr>
        <w:pStyle w:val="Textonotapie"/>
        <w:jc w:val="both"/>
      </w:pPr>
      <w:r>
        <w:rPr>
          <w:rStyle w:val="Refdenotaalpie"/>
        </w:rPr>
        <w:footnoteRef/>
      </w:r>
      <w:r>
        <w:t xml:space="preserve"> </w:t>
      </w:r>
      <w:r w:rsidR="00C33CD6" w:rsidRPr="00C33CD6">
        <w:t>Escrito de contestación de fecha 11 de enero de 2023, recibido en la SGCAN en fecha 12 de enero de 2023</w:t>
      </w:r>
      <w:r w:rsidRPr="00BB32AE">
        <w:t>, página 22</w:t>
      </w:r>
    </w:p>
  </w:footnote>
  <w:footnote w:id="60">
    <w:p w14:paraId="161068DC" w14:textId="62CC67D6" w:rsidR="00681B9D" w:rsidRPr="00681B9D" w:rsidRDefault="00681B9D" w:rsidP="00681B9D">
      <w:pPr>
        <w:pStyle w:val="Textonotapie"/>
        <w:jc w:val="both"/>
      </w:pPr>
      <w:r>
        <w:rPr>
          <w:rStyle w:val="Refdenotaalpie"/>
        </w:rPr>
        <w:footnoteRef/>
      </w:r>
      <w:r>
        <w:t xml:space="preserve"> </w:t>
      </w:r>
      <w:r w:rsidR="00C33CD6" w:rsidRPr="00C33CD6">
        <w:t>Escrito de contestación de fecha 11 de enero de 2023, recibido en la SGCAN en fecha 12 de enero de 2023</w:t>
      </w:r>
      <w:r w:rsidRPr="00681B9D">
        <w:t>, página 2</w:t>
      </w:r>
      <w:r>
        <w:t>3</w:t>
      </w:r>
    </w:p>
  </w:footnote>
  <w:footnote w:id="61">
    <w:p w14:paraId="655D4C4C" w14:textId="2F1EE004" w:rsidR="00EA295A" w:rsidRPr="00EA295A" w:rsidRDefault="00EA295A" w:rsidP="00B050B2">
      <w:pPr>
        <w:pStyle w:val="Textonotapie"/>
        <w:jc w:val="both"/>
      </w:pPr>
      <w:r>
        <w:rPr>
          <w:rStyle w:val="Refdenotaalpie"/>
        </w:rPr>
        <w:footnoteRef/>
      </w:r>
      <w:r>
        <w:t xml:space="preserve"> </w:t>
      </w:r>
      <w:r w:rsidR="00C33CD6" w:rsidRPr="00C33CD6">
        <w:t>Escrito de contestación de fecha 11 de enero de 2023, recibido en la SGCAN en fecha 12 de enero de 2023</w:t>
      </w:r>
      <w:r w:rsidRPr="00EA295A">
        <w:t>, página 2</w:t>
      </w:r>
      <w:r>
        <w:t>5</w:t>
      </w:r>
    </w:p>
  </w:footnote>
  <w:footnote w:id="62">
    <w:p w14:paraId="6C8081FE" w14:textId="5AC6A3B2" w:rsidR="00A505AE" w:rsidRPr="00A505AE" w:rsidRDefault="00A505AE" w:rsidP="00A505AE">
      <w:pPr>
        <w:pStyle w:val="Textonotapie"/>
        <w:jc w:val="both"/>
      </w:pPr>
      <w:r>
        <w:rPr>
          <w:rStyle w:val="Refdenotaalpie"/>
        </w:rPr>
        <w:footnoteRef/>
      </w:r>
      <w:r>
        <w:t xml:space="preserve"> </w:t>
      </w:r>
      <w:bookmarkStart w:id="3" w:name="_Hlk126656794"/>
      <w:r w:rsidR="00C33CD6" w:rsidRPr="00C33CD6">
        <w:t>Escrito de contestación de fecha 11 de enero de 2023, recibido en la SGCAN en fecha 12 de enero de 2023</w:t>
      </w:r>
      <w:bookmarkEnd w:id="3"/>
      <w:r w:rsidRPr="00A505AE">
        <w:t>, página 2</w:t>
      </w:r>
      <w:r w:rsidR="006C4DF2">
        <w:t>6</w:t>
      </w:r>
    </w:p>
  </w:footnote>
  <w:footnote w:id="63">
    <w:p w14:paraId="5054BF8A" w14:textId="241958F3" w:rsidR="007B7F19" w:rsidRPr="007B7F19" w:rsidRDefault="007B7F19" w:rsidP="007B7F19">
      <w:pPr>
        <w:pStyle w:val="Textonotapie"/>
        <w:jc w:val="both"/>
      </w:pPr>
      <w:r>
        <w:rPr>
          <w:rStyle w:val="Refdenotaalpie"/>
        </w:rPr>
        <w:footnoteRef/>
      </w:r>
      <w:r>
        <w:t xml:space="preserve"> </w:t>
      </w:r>
      <w:bookmarkStart w:id="4" w:name="_Hlk126595198"/>
      <w:r w:rsidR="00B019DD" w:rsidRPr="00B019DD">
        <w:t>Escrito de contestación de fecha 11 de enero de 2023, recibido en la SGCAN en fecha 12 de enero de 2023</w:t>
      </w:r>
      <w:r w:rsidRPr="007B7F19">
        <w:t>, página 2</w:t>
      </w:r>
      <w:r>
        <w:t>8</w:t>
      </w:r>
      <w:bookmarkEnd w:id="4"/>
    </w:p>
  </w:footnote>
  <w:footnote w:id="64">
    <w:p w14:paraId="48E93AC6" w14:textId="490D9459" w:rsidR="00B019DD" w:rsidRPr="00B019DD" w:rsidRDefault="00B019DD" w:rsidP="00B019DD">
      <w:pPr>
        <w:pStyle w:val="Textonotapie"/>
        <w:jc w:val="both"/>
      </w:pPr>
      <w:r>
        <w:rPr>
          <w:rStyle w:val="Refdenotaalpie"/>
        </w:rPr>
        <w:footnoteRef/>
      </w:r>
      <w:r>
        <w:t xml:space="preserve"> </w:t>
      </w:r>
      <w:r w:rsidRPr="00B019DD">
        <w:t>Escrito de contestación de fecha 11 de enero de 2023, recibido en la SGCAN en fecha 12 de enero de 2023, página 2</w:t>
      </w:r>
      <w:r>
        <w:t>9</w:t>
      </w:r>
    </w:p>
  </w:footnote>
  <w:footnote w:id="65">
    <w:p w14:paraId="60BFBB30" w14:textId="276AB3D3" w:rsidR="00AD2662" w:rsidRPr="00AD2662" w:rsidRDefault="00AD2662" w:rsidP="00B019DD">
      <w:pPr>
        <w:pStyle w:val="Textonotapie"/>
        <w:jc w:val="both"/>
      </w:pPr>
      <w:r>
        <w:rPr>
          <w:rStyle w:val="Refdenotaalpie"/>
        </w:rPr>
        <w:footnoteRef/>
      </w:r>
      <w:r>
        <w:t xml:space="preserve"> </w:t>
      </w:r>
      <w:r w:rsidR="00B019DD" w:rsidRPr="00B019DD">
        <w:t>Escrito de contestación de fecha 11 de enero de 2023, recibido en la SGCAN en fecha 12 de enero de 2023</w:t>
      </w:r>
      <w:r w:rsidRPr="00AD2662">
        <w:t xml:space="preserve">, página </w:t>
      </w:r>
      <w:r>
        <w:t>34</w:t>
      </w:r>
    </w:p>
  </w:footnote>
  <w:footnote w:id="66">
    <w:p w14:paraId="35E43458" w14:textId="40020960" w:rsidR="00F16394" w:rsidRPr="00F16394" w:rsidRDefault="00F16394" w:rsidP="00B019DD">
      <w:pPr>
        <w:pStyle w:val="Textonotapie"/>
        <w:jc w:val="both"/>
      </w:pPr>
      <w:r>
        <w:rPr>
          <w:rStyle w:val="Refdenotaalpie"/>
        </w:rPr>
        <w:footnoteRef/>
      </w:r>
      <w:r>
        <w:t xml:space="preserve"> </w:t>
      </w:r>
      <w:r w:rsidR="00B019DD" w:rsidRPr="00B019DD">
        <w:t>Escrito de contestación de fecha 11 de enero de 2023, recibido en la SGCAN en fecha 12 de enero de 2023</w:t>
      </w:r>
      <w:r w:rsidRPr="00F16394">
        <w:t>, página 3</w:t>
      </w:r>
      <w:r>
        <w:t>5</w:t>
      </w:r>
    </w:p>
  </w:footnote>
  <w:footnote w:id="67">
    <w:p w14:paraId="12721D5E" w14:textId="090BCE9F" w:rsidR="0080664D" w:rsidRPr="0080664D" w:rsidRDefault="0080664D" w:rsidP="00B019DD">
      <w:pPr>
        <w:pStyle w:val="Textonotapie"/>
        <w:jc w:val="both"/>
      </w:pPr>
      <w:r>
        <w:rPr>
          <w:rStyle w:val="Refdenotaalpie"/>
        </w:rPr>
        <w:footnoteRef/>
      </w:r>
      <w:r>
        <w:t xml:space="preserve"> </w:t>
      </w:r>
      <w:r w:rsidR="00B019DD" w:rsidRPr="00B019DD">
        <w:t>Escrito de contestación de fecha 11 de enero de 2023, recibido en la SGCAN en fecha 12 de enero de 2023</w:t>
      </w:r>
      <w:r w:rsidRPr="0080664D">
        <w:t>, página 3</w:t>
      </w:r>
      <w:r>
        <w:t>7</w:t>
      </w:r>
    </w:p>
  </w:footnote>
  <w:footnote w:id="68">
    <w:p w14:paraId="216E5B71" w14:textId="5AC059B0" w:rsidR="00554CAB" w:rsidRPr="00D24863" w:rsidRDefault="00554CAB" w:rsidP="00554CAB">
      <w:pPr>
        <w:pStyle w:val="Textonotapie"/>
        <w:jc w:val="both"/>
      </w:pPr>
      <w:r w:rsidRPr="00D24863">
        <w:rPr>
          <w:rStyle w:val="Refdenotaalpie"/>
        </w:rPr>
        <w:footnoteRef/>
      </w:r>
      <w:r w:rsidRPr="00D24863">
        <w:t xml:space="preserve"> </w:t>
      </w:r>
      <w:r w:rsidR="002D1F99" w:rsidRPr="00D24863">
        <w:t>Escrito de contestación de fecha 11 de enero de 2023, recibido en la SGCAN en fecha 12 de enero de 2023</w:t>
      </w:r>
      <w:r w:rsidRPr="00D24863">
        <w:t>, página 38</w:t>
      </w:r>
    </w:p>
  </w:footnote>
  <w:footnote w:id="69">
    <w:p w14:paraId="6BB1A440" w14:textId="0AF55ACA" w:rsidR="00866668" w:rsidRPr="00D24863" w:rsidRDefault="00866668" w:rsidP="00866668">
      <w:pPr>
        <w:pStyle w:val="Textonotapie"/>
        <w:jc w:val="both"/>
      </w:pPr>
      <w:r w:rsidRPr="00D24863">
        <w:rPr>
          <w:rStyle w:val="Refdenotaalpie"/>
        </w:rPr>
        <w:footnoteRef/>
      </w:r>
      <w:r w:rsidRPr="00D24863">
        <w:t xml:space="preserve"> Escrito de reclamo de fecha 4 de noviembre de 2022, recibido en la SGCAN en fecha 7 de noviembre de 2022, página 39</w:t>
      </w:r>
    </w:p>
  </w:footnote>
  <w:footnote w:id="70">
    <w:p w14:paraId="4C817879" w14:textId="79C74285" w:rsidR="002D1F99" w:rsidRPr="00D24863" w:rsidRDefault="002D1F99" w:rsidP="002D1F99">
      <w:pPr>
        <w:pStyle w:val="Textonotapie"/>
        <w:jc w:val="both"/>
      </w:pPr>
      <w:r w:rsidRPr="00D24863">
        <w:rPr>
          <w:rStyle w:val="Refdenotaalpie"/>
        </w:rPr>
        <w:footnoteRef/>
      </w:r>
      <w:r w:rsidRPr="00D24863">
        <w:t xml:space="preserve"> Escrito de contestación de fecha 11 de enero de 2023, recibido en la SGCAN en fecha 12 de enero de 2023, páginas 39 y 40</w:t>
      </w:r>
    </w:p>
  </w:footnote>
  <w:footnote w:id="71">
    <w:p w14:paraId="035A1B3D" w14:textId="77777777" w:rsidR="007F678E" w:rsidRPr="00D24863" w:rsidRDefault="007F678E" w:rsidP="007F678E">
      <w:pPr>
        <w:pStyle w:val="Textonotapie"/>
        <w:jc w:val="both"/>
      </w:pPr>
      <w:r w:rsidRPr="00D24863">
        <w:rPr>
          <w:rStyle w:val="Refdenotaalpie"/>
        </w:rPr>
        <w:footnoteRef/>
      </w:r>
      <w:r w:rsidRPr="00D24863">
        <w:t xml:space="preserve"> Acuerdo de Cartagena, Artículo 30 literal a)</w:t>
      </w:r>
    </w:p>
  </w:footnote>
  <w:footnote w:id="72">
    <w:p w14:paraId="32D3AB82" w14:textId="15B1B5C7" w:rsidR="007F678E" w:rsidRDefault="007F678E" w:rsidP="007F678E">
      <w:pPr>
        <w:pStyle w:val="Textonotapie"/>
        <w:jc w:val="both"/>
      </w:pPr>
      <w:r w:rsidRPr="00D24863">
        <w:rPr>
          <w:rStyle w:val="Refdenotaalpie"/>
        </w:rPr>
        <w:footnoteRef/>
      </w:r>
      <w:r w:rsidRPr="00D24863">
        <w:t xml:space="preserve"> T</w:t>
      </w:r>
      <w:r w:rsidR="001C5BF6" w:rsidRPr="00D24863">
        <w:t>CTJCA</w:t>
      </w:r>
      <w:r w:rsidRPr="00D24863">
        <w:t>, Sección Segunda del Capítulo III</w:t>
      </w:r>
    </w:p>
  </w:footnote>
  <w:footnote w:id="73">
    <w:p w14:paraId="0CF7A60B" w14:textId="59D19D13" w:rsidR="007F678E" w:rsidRPr="00B63211" w:rsidRDefault="007F678E" w:rsidP="007F678E">
      <w:pPr>
        <w:pStyle w:val="Textonotapie"/>
        <w:jc w:val="both"/>
      </w:pPr>
      <w:r w:rsidRPr="00B63211">
        <w:rPr>
          <w:rStyle w:val="Refdenotaalpie"/>
        </w:rPr>
        <w:footnoteRef/>
      </w:r>
      <w:r w:rsidRPr="00B63211">
        <w:t xml:space="preserve"> T</w:t>
      </w:r>
      <w:r w:rsidR="000D7287" w:rsidRPr="00B63211">
        <w:t>JCA</w:t>
      </w:r>
      <w:r w:rsidRPr="00B63211">
        <w:t>, proceso 01-AI-2013 publicad</w:t>
      </w:r>
      <w:r w:rsidR="000D7287" w:rsidRPr="00B63211">
        <w:t>o</w:t>
      </w:r>
      <w:r w:rsidRPr="00B63211">
        <w:t xml:space="preserve"> en la GOAC No. 2556 del 7 de agosto de 2015</w:t>
      </w:r>
    </w:p>
  </w:footnote>
  <w:footnote w:id="74">
    <w:p w14:paraId="13A9A4ED" w14:textId="5F2AF118" w:rsidR="007F678E" w:rsidRPr="00B63211" w:rsidRDefault="007F678E" w:rsidP="007F678E">
      <w:pPr>
        <w:pStyle w:val="Textonotapie"/>
        <w:jc w:val="both"/>
      </w:pPr>
      <w:r w:rsidRPr="00B63211">
        <w:rPr>
          <w:rStyle w:val="Refdenotaalpie"/>
        </w:rPr>
        <w:footnoteRef/>
      </w:r>
      <w:r w:rsidRPr="00B63211">
        <w:t xml:space="preserve"> T</w:t>
      </w:r>
      <w:r w:rsidR="000D7287" w:rsidRPr="00B63211">
        <w:t>JCA</w:t>
      </w:r>
      <w:r w:rsidRPr="00B63211">
        <w:t xml:space="preserve">, proceso 04-AI-2017 </w:t>
      </w:r>
      <w:r w:rsidR="000D7287" w:rsidRPr="00B63211">
        <w:t>publicado</w:t>
      </w:r>
      <w:r w:rsidRPr="00B63211">
        <w:t xml:space="preserve"> en la GOAC No. 3835 del 11 de diciembre de 2019  </w:t>
      </w:r>
    </w:p>
  </w:footnote>
  <w:footnote w:id="75">
    <w:p w14:paraId="4E57B5F7" w14:textId="779F4515" w:rsidR="00975E44" w:rsidRPr="00B63211" w:rsidRDefault="00975E44" w:rsidP="00975E44">
      <w:pPr>
        <w:pStyle w:val="Textonotapie"/>
        <w:jc w:val="both"/>
      </w:pPr>
      <w:r w:rsidRPr="00B63211">
        <w:rPr>
          <w:rStyle w:val="Refdenotaalpie"/>
        </w:rPr>
        <w:footnoteRef/>
      </w:r>
      <w:r w:rsidRPr="00B63211">
        <w:t xml:space="preserve"> T</w:t>
      </w:r>
      <w:r w:rsidR="000D7287" w:rsidRPr="00B63211">
        <w:t>JCA</w:t>
      </w:r>
      <w:r w:rsidRPr="00B63211">
        <w:t>, proceso 04-AI-</w:t>
      </w:r>
      <w:r w:rsidR="000D7287" w:rsidRPr="00B63211">
        <w:t>2017 publicado</w:t>
      </w:r>
      <w:r w:rsidRPr="00B63211">
        <w:t xml:space="preserve"> en la GOAC No. 3835 del 11 de diciembre de 2019</w:t>
      </w:r>
    </w:p>
  </w:footnote>
  <w:footnote w:id="76">
    <w:p w14:paraId="3E24DE2D" w14:textId="582E002C" w:rsidR="00975E44" w:rsidRPr="00CC73DA" w:rsidRDefault="00975E44" w:rsidP="00B63211">
      <w:pPr>
        <w:pStyle w:val="Textonotapie"/>
        <w:jc w:val="both"/>
        <w:rPr>
          <w:sz w:val="16"/>
          <w:szCs w:val="16"/>
        </w:rPr>
      </w:pPr>
      <w:r w:rsidRPr="00B63211">
        <w:rPr>
          <w:rStyle w:val="Refdenotaalpie"/>
        </w:rPr>
        <w:footnoteRef/>
      </w:r>
      <w:r w:rsidRPr="00B63211">
        <w:t xml:space="preserve"> T</w:t>
      </w:r>
      <w:r w:rsidR="000D7287" w:rsidRPr="00B63211">
        <w:t>JCA</w:t>
      </w:r>
      <w:r w:rsidRPr="00B63211">
        <w:t>, procesos acumulados 01 y 02 AI-2016, publicad</w:t>
      </w:r>
      <w:r w:rsidR="000D7287" w:rsidRPr="00B63211">
        <w:t>os</w:t>
      </w:r>
      <w:r w:rsidRPr="00B63211">
        <w:t xml:space="preserve"> en la GOAC No. 3439 del 12 de noviembre 2018</w:t>
      </w:r>
    </w:p>
  </w:footnote>
  <w:footnote w:id="77">
    <w:p w14:paraId="00426D36" w14:textId="07408B6F" w:rsidR="000C0829" w:rsidRPr="00680EEC" w:rsidRDefault="000C0829" w:rsidP="00680EEC">
      <w:pPr>
        <w:pStyle w:val="Textonotapie"/>
        <w:jc w:val="both"/>
      </w:pPr>
      <w:r w:rsidRPr="00680EEC">
        <w:rPr>
          <w:rStyle w:val="Refdenotaalpie"/>
        </w:rPr>
        <w:footnoteRef/>
      </w:r>
      <w:r w:rsidRPr="00680EEC">
        <w:t xml:space="preserve"> T</w:t>
      </w:r>
      <w:r w:rsidR="000D7287" w:rsidRPr="00680EEC">
        <w:t>JCA</w:t>
      </w:r>
      <w:r w:rsidRPr="00680EEC">
        <w:t>, proceso 06-IP-1993 publicad</w:t>
      </w:r>
      <w:r w:rsidR="000D7287" w:rsidRPr="00680EEC">
        <w:t>o</w:t>
      </w:r>
      <w:r w:rsidRPr="00680EEC">
        <w:t xml:space="preserve"> en </w:t>
      </w:r>
      <w:r w:rsidR="00AA41DF" w:rsidRPr="00680EEC">
        <w:t>la</w:t>
      </w:r>
      <w:r w:rsidRPr="00680EEC">
        <w:t xml:space="preserve"> GOAC N°150 del 25 de marzo de 1994</w:t>
      </w:r>
    </w:p>
  </w:footnote>
  <w:footnote w:id="78">
    <w:p w14:paraId="0F6467C5" w14:textId="77777777" w:rsidR="000C0829" w:rsidRPr="00680EEC" w:rsidRDefault="000C0829" w:rsidP="000C0829">
      <w:pPr>
        <w:pStyle w:val="Textonotapie"/>
      </w:pPr>
      <w:r w:rsidRPr="00680EEC">
        <w:rPr>
          <w:rStyle w:val="Refdenotaalpie"/>
        </w:rPr>
        <w:footnoteRef/>
      </w:r>
      <w:r w:rsidRPr="00680EEC">
        <w:t xml:space="preserve"> Dictamen 003-2019</w:t>
      </w:r>
    </w:p>
  </w:footnote>
  <w:footnote w:id="79">
    <w:p w14:paraId="19ED980F" w14:textId="55BAEC36" w:rsidR="000C0829" w:rsidRPr="001C5BF6" w:rsidRDefault="000C0829" w:rsidP="000C0829">
      <w:pPr>
        <w:pStyle w:val="Textonotapie"/>
        <w:rPr>
          <w:sz w:val="16"/>
          <w:szCs w:val="16"/>
        </w:rPr>
      </w:pPr>
      <w:r w:rsidRPr="00680EEC">
        <w:rPr>
          <w:rStyle w:val="Refdenotaalpie"/>
        </w:rPr>
        <w:footnoteRef/>
      </w:r>
      <w:r w:rsidRPr="00680EEC">
        <w:t xml:space="preserve"> T</w:t>
      </w:r>
      <w:r w:rsidR="000D7287" w:rsidRPr="00680EEC">
        <w:t>JCA</w:t>
      </w:r>
      <w:r w:rsidRPr="00680EEC">
        <w:t>, proceso 02-AI-1997 publicad</w:t>
      </w:r>
      <w:r w:rsidR="000D7287" w:rsidRPr="00680EEC">
        <w:t>o</w:t>
      </w:r>
      <w:r w:rsidRPr="00680EEC">
        <w:t xml:space="preserve"> en la GOAC N°391 del 11 de diciembre de 1998</w:t>
      </w:r>
      <w:r w:rsidRPr="001C5BF6">
        <w:rPr>
          <w:sz w:val="16"/>
          <w:szCs w:val="16"/>
        </w:rPr>
        <w:t xml:space="preserve">  </w:t>
      </w:r>
    </w:p>
  </w:footnote>
  <w:footnote w:id="80">
    <w:p w14:paraId="75E2DD8B" w14:textId="1A589C19" w:rsidR="001A21A8" w:rsidRPr="00680EEC" w:rsidRDefault="001A21A8" w:rsidP="00680EEC">
      <w:pPr>
        <w:pStyle w:val="Textonotapie"/>
        <w:jc w:val="both"/>
      </w:pPr>
      <w:r w:rsidRPr="00680EEC">
        <w:rPr>
          <w:rStyle w:val="Refdenotaalpie"/>
        </w:rPr>
        <w:footnoteRef/>
      </w:r>
      <w:r w:rsidRPr="00680EEC">
        <w:t xml:space="preserve"> Informe Técnico de la Dirección General 1 de la Secretaría General de la Comunidad Andina de fecha </w:t>
      </w:r>
    </w:p>
  </w:footnote>
  <w:footnote w:id="81">
    <w:p w14:paraId="59B95872" w14:textId="63BE22DD" w:rsidR="003E0CD0" w:rsidRPr="005944FB" w:rsidRDefault="003E0CD0" w:rsidP="00680EEC">
      <w:pPr>
        <w:pStyle w:val="Textonotapie"/>
        <w:jc w:val="both"/>
        <w:rPr>
          <w:sz w:val="16"/>
          <w:szCs w:val="16"/>
          <w:lang w:val="es-EC"/>
        </w:rPr>
      </w:pPr>
      <w:r w:rsidRPr="00680EEC">
        <w:rPr>
          <w:rStyle w:val="Refdenotaalpie"/>
        </w:rPr>
        <w:footnoteRef/>
      </w:r>
      <w:r w:rsidRPr="00680EEC">
        <w:t xml:space="preserve"> </w:t>
      </w:r>
      <w:r w:rsidR="00BC50F0" w:rsidRPr="00680EEC">
        <w:t>Escrito de contestación de fecha 11 de enero de 2023, recibido en la SGCAN en fecha 12 de enero de 2023</w:t>
      </w:r>
      <w:r w:rsidRPr="00680EEC">
        <w:t>, numeral 3.1, página 3</w:t>
      </w:r>
    </w:p>
  </w:footnote>
  <w:footnote w:id="82">
    <w:p w14:paraId="6CAF3DBA" w14:textId="1546B7E0" w:rsidR="00D66125" w:rsidRPr="00D66125" w:rsidRDefault="00D66125">
      <w:pPr>
        <w:pStyle w:val="Textonotapie"/>
      </w:pPr>
      <w:r>
        <w:rPr>
          <w:rStyle w:val="Refdenotaalpie"/>
        </w:rPr>
        <w:footnoteRef/>
      </w:r>
      <w:r>
        <w:t xml:space="preserve"> Proceso 03-AI-2017 de fecha de 3 de octubre de 2017, numeral 3.1.2</w:t>
      </w:r>
    </w:p>
  </w:footnote>
  <w:footnote w:id="83">
    <w:p w14:paraId="348DABEF" w14:textId="6E6DEE62" w:rsidR="003E0549" w:rsidRPr="003E0549" w:rsidRDefault="003E0549">
      <w:pPr>
        <w:pStyle w:val="Textonotapie"/>
      </w:pPr>
      <w:r>
        <w:rPr>
          <w:rStyle w:val="Refdenotaalpie"/>
        </w:rPr>
        <w:footnoteRef/>
      </w:r>
      <w:r>
        <w:t xml:space="preserve"> </w:t>
      </w:r>
      <w:r w:rsidRPr="003E0549">
        <w:t>Proceso 03-AI-2017 de fecha de 3 de octubre de 2017, numeral 3.1.</w:t>
      </w:r>
      <w:r>
        <w:t>3</w:t>
      </w:r>
    </w:p>
  </w:footnote>
  <w:footnote w:id="84">
    <w:p w14:paraId="0AE43B92" w14:textId="074D7807" w:rsidR="008F3231" w:rsidRPr="008F3231" w:rsidRDefault="008F3231">
      <w:pPr>
        <w:pStyle w:val="Textonotapie"/>
      </w:pPr>
      <w:r>
        <w:rPr>
          <w:rStyle w:val="Refdenotaalpie"/>
        </w:rPr>
        <w:footnoteRef/>
      </w:r>
      <w:r>
        <w:t xml:space="preserve"> Expediente N° 75-AI-2001 de fecha 29 de mayo de 2002, página 3</w:t>
      </w:r>
    </w:p>
  </w:footnote>
  <w:footnote w:id="85">
    <w:p w14:paraId="2E96625C" w14:textId="6DD109D5" w:rsidR="008F3231" w:rsidRPr="008F3231" w:rsidRDefault="008F3231">
      <w:pPr>
        <w:pStyle w:val="Textonotapie"/>
      </w:pPr>
      <w:r>
        <w:rPr>
          <w:rStyle w:val="Refdenotaalpie"/>
        </w:rPr>
        <w:footnoteRef/>
      </w:r>
      <w:r>
        <w:t xml:space="preserve"> </w:t>
      </w:r>
      <w:r w:rsidRPr="008F3231">
        <w:t>Expediente N° 75-AI-2001 de fecha 29 de mayo de 2002, página 3</w:t>
      </w:r>
    </w:p>
  </w:footnote>
  <w:footnote w:id="86">
    <w:p w14:paraId="31AA3504" w14:textId="36133762" w:rsidR="002F1992" w:rsidRPr="002F1992" w:rsidRDefault="002F1992" w:rsidP="00A652E1">
      <w:pPr>
        <w:pStyle w:val="Textonotapie"/>
        <w:jc w:val="both"/>
      </w:pPr>
      <w:r>
        <w:rPr>
          <w:rStyle w:val="Refdenotaalpie"/>
        </w:rPr>
        <w:footnoteRef/>
      </w:r>
      <w:r w:rsidRPr="002F1992">
        <w:t xml:space="preserve"> Proceso 03-AI-2017</w:t>
      </w:r>
      <w:r>
        <w:t>,</w:t>
      </w:r>
      <w:r w:rsidRPr="002F1992">
        <w:t xml:space="preserve"> </w:t>
      </w:r>
      <w:r>
        <w:t>Recurso de Reconsideración,</w:t>
      </w:r>
      <w:r w:rsidRPr="002F1992">
        <w:t xml:space="preserve"> Auto del TJCAN</w:t>
      </w:r>
      <w:r>
        <w:t xml:space="preserve"> de fecha 17 de noviembre de 2017, numeral 3.2.5.</w:t>
      </w:r>
    </w:p>
  </w:footnote>
  <w:footnote w:id="87">
    <w:p w14:paraId="5614A007" w14:textId="4FE510D0" w:rsidR="000C48C5" w:rsidRPr="000C48C5" w:rsidRDefault="000C48C5" w:rsidP="00A652E1">
      <w:pPr>
        <w:pStyle w:val="Textonotapie"/>
        <w:jc w:val="both"/>
      </w:pPr>
      <w:r>
        <w:rPr>
          <w:rStyle w:val="Refdenotaalpie"/>
        </w:rPr>
        <w:footnoteRef/>
      </w:r>
      <w:r>
        <w:t xml:space="preserve"> </w:t>
      </w:r>
      <w:r w:rsidRPr="000C48C5">
        <w:t>Proceso 03-AI-2017, Recurso de Reconsideración, Auto del TJCAN de fecha 17 de noviembre de 2017, numeral 3.2.</w:t>
      </w:r>
      <w:r>
        <w:t>7.</w:t>
      </w:r>
    </w:p>
  </w:footnote>
  <w:footnote w:id="88">
    <w:p w14:paraId="5A3F8180" w14:textId="603B126F" w:rsidR="00A82EB7" w:rsidRPr="00A82EB7" w:rsidRDefault="00A82EB7" w:rsidP="00A652E1">
      <w:pPr>
        <w:pStyle w:val="Textonotapie"/>
        <w:jc w:val="both"/>
      </w:pPr>
      <w:r>
        <w:rPr>
          <w:rStyle w:val="Refdenotaalpie"/>
        </w:rPr>
        <w:footnoteRef/>
      </w:r>
      <w:r>
        <w:t xml:space="preserve"> </w:t>
      </w:r>
      <w:r w:rsidRPr="00A82EB7">
        <w:t>Proceso 03-AI-2017, Recurso de Reconsideración, Auto del TJCAN de fecha 17 de noviembre de 2017, numeral 3.2.</w:t>
      </w:r>
      <w:r>
        <w:t>10.</w:t>
      </w:r>
    </w:p>
  </w:footnote>
  <w:footnote w:id="89">
    <w:p w14:paraId="01923856" w14:textId="2FCEC6EF" w:rsidR="00470583" w:rsidRPr="00470583" w:rsidRDefault="00470583" w:rsidP="00470583">
      <w:pPr>
        <w:pStyle w:val="Textonotapie"/>
        <w:jc w:val="both"/>
      </w:pPr>
      <w:r>
        <w:rPr>
          <w:rStyle w:val="Refdenotaalpie"/>
        </w:rPr>
        <w:footnoteRef/>
      </w:r>
      <w:r>
        <w:t xml:space="preserve"> </w:t>
      </w:r>
      <w:r w:rsidRPr="00470583">
        <w:t xml:space="preserve">Escrito de reclamo de fecha 4 de noviembre de 2022, recibido en la SGCAN en fecha 7 de noviembre de 2022, página </w:t>
      </w:r>
      <w:r>
        <w:t>9</w:t>
      </w:r>
    </w:p>
  </w:footnote>
  <w:footnote w:id="90">
    <w:p w14:paraId="26C3A4BF" w14:textId="051DE6D2" w:rsidR="00873260" w:rsidRPr="00873260" w:rsidRDefault="00873260" w:rsidP="00873260">
      <w:pPr>
        <w:pStyle w:val="Textonotapie"/>
        <w:jc w:val="both"/>
      </w:pPr>
      <w:r>
        <w:rPr>
          <w:rStyle w:val="Refdenotaalpie"/>
        </w:rPr>
        <w:footnoteRef/>
      </w:r>
      <w:r>
        <w:t xml:space="preserve"> </w:t>
      </w:r>
      <w:r w:rsidRPr="00873260">
        <w:t xml:space="preserve">Escrito de reclamo de fecha 4 de noviembre de 2022, recibido en la SGCAN en fecha 7 de noviembre de 2022, página </w:t>
      </w:r>
      <w:r>
        <w:t>30</w:t>
      </w:r>
    </w:p>
  </w:footnote>
  <w:footnote w:id="91">
    <w:p w14:paraId="03E84C05" w14:textId="41D10091" w:rsidR="003C568D" w:rsidRPr="003C568D" w:rsidRDefault="003C568D" w:rsidP="004B5C34">
      <w:pPr>
        <w:pStyle w:val="Textonotapie"/>
        <w:jc w:val="both"/>
      </w:pPr>
      <w:r>
        <w:rPr>
          <w:rStyle w:val="Refdenotaalpie"/>
        </w:rPr>
        <w:footnoteRef/>
      </w:r>
      <w:r>
        <w:t xml:space="preserve"> </w:t>
      </w:r>
      <w:r w:rsidRPr="003C568D">
        <w:t xml:space="preserve">Escrito de reclamo de fecha 4 de noviembre de 2022, recibido en la SGCAN en fecha 7 de noviembre de 2022, página </w:t>
      </w:r>
      <w:r>
        <w:t>70</w:t>
      </w:r>
    </w:p>
  </w:footnote>
  <w:footnote w:id="92">
    <w:p w14:paraId="7111B822" w14:textId="7324392D" w:rsidR="00866F36" w:rsidRPr="00866F36" w:rsidRDefault="00866F36">
      <w:pPr>
        <w:pStyle w:val="Textonotapie"/>
      </w:pPr>
      <w:r>
        <w:rPr>
          <w:rStyle w:val="Refdenotaalpie"/>
        </w:rPr>
        <w:footnoteRef/>
      </w:r>
      <w:r>
        <w:t xml:space="preserve"> </w:t>
      </w:r>
      <w:r w:rsidR="00B01DD8" w:rsidRPr="00B01DD8">
        <w:t xml:space="preserve">Proceso 03-AI-2017 de fecha de 3 de octubre de 2017, </w:t>
      </w:r>
      <w:r w:rsidR="00B01DD8">
        <w:t>páginas 9 y 10</w:t>
      </w:r>
    </w:p>
  </w:footnote>
  <w:footnote w:id="93">
    <w:p w14:paraId="0B897E17" w14:textId="33C3AAA0" w:rsidR="00617497" w:rsidRPr="00617497" w:rsidRDefault="00617497" w:rsidP="00FD0C0D">
      <w:pPr>
        <w:pStyle w:val="Textonotapie"/>
        <w:jc w:val="both"/>
      </w:pPr>
      <w:r>
        <w:rPr>
          <w:rStyle w:val="Refdenotaalpie"/>
        </w:rPr>
        <w:footnoteRef/>
      </w:r>
      <w:r>
        <w:t xml:space="preserve"> </w:t>
      </w:r>
      <w:bookmarkStart w:id="5" w:name="_Hlk126666106"/>
      <w:r w:rsidRPr="00617497">
        <w:t xml:space="preserve">Escrito de reclamo de fecha 4 de noviembre de 2022, recibido en la SGCAN en fecha 7 de noviembre de 2022, página </w:t>
      </w:r>
      <w:r>
        <w:t>22</w:t>
      </w:r>
      <w:bookmarkEnd w:id="5"/>
    </w:p>
  </w:footnote>
  <w:footnote w:id="94">
    <w:p w14:paraId="7E68D006" w14:textId="1E1860D6" w:rsidR="00617497" w:rsidRPr="00617497" w:rsidRDefault="00617497" w:rsidP="00617497">
      <w:pPr>
        <w:pStyle w:val="Textonotapie"/>
        <w:jc w:val="both"/>
      </w:pPr>
      <w:r>
        <w:rPr>
          <w:rStyle w:val="Refdenotaalpie"/>
        </w:rPr>
        <w:footnoteRef/>
      </w:r>
      <w:r>
        <w:t xml:space="preserve"> </w:t>
      </w:r>
      <w:r w:rsidRPr="00617497">
        <w:t>Escrito de reclamo de fecha 4 de noviembre de 2022, recibido en la SGCAN en fecha 7 de noviembre de 2022, página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7C9E5A66"/>
    <w:lvl w:ilvl="0" w:tplc="6E82D026">
      <w:start w:val="1"/>
      <w:numFmt w:val="decimal"/>
      <w:lvlText w:val="[%1]"/>
      <w:lvlJc w:val="left"/>
      <w:pPr>
        <w:ind w:left="1495"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7311DC"/>
    <w:multiLevelType w:val="hybridMultilevel"/>
    <w:tmpl w:val="47D084AE"/>
    <w:lvl w:ilvl="0" w:tplc="C3563728">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15:restartNumberingAfterBreak="0">
    <w:nsid w:val="03B60880"/>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AD3CAB"/>
    <w:multiLevelType w:val="hybridMultilevel"/>
    <w:tmpl w:val="5590CB4E"/>
    <w:lvl w:ilvl="0" w:tplc="A38A5E3E">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9C1979"/>
    <w:multiLevelType w:val="hybridMultilevel"/>
    <w:tmpl w:val="0EE6E204"/>
    <w:lvl w:ilvl="0" w:tplc="2EB0A19A">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A665EF"/>
    <w:multiLevelType w:val="hybridMultilevel"/>
    <w:tmpl w:val="35BA983E"/>
    <w:lvl w:ilvl="0" w:tplc="958A7300">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C81706"/>
    <w:multiLevelType w:val="hybridMultilevel"/>
    <w:tmpl w:val="E7FE95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3A7465"/>
    <w:multiLevelType w:val="hybridMultilevel"/>
    <w:tmpl w:val="2A1AA0C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63D5EE6"/>
    <w:multiLevelType w:val="hybridMultilevel"/>
    <w:tmpl w:val="C208346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9" w15:restartNumberingAfterBreak="0">
    <w:nsid w:val="1B652A42"/>
    <w:multiLevelType w:val="hybridMultilevel"/>
    <w:tmpl w:val="BB2AC366"/>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C40E9D"/>
    <w:multiLevelType w:val="hybridMultilevel"/>
    <w:tmpl w:val="98AC8B74"/>
    <w:lvl w:ilvl="0" w:tplc="281E60BE">
      <w:start w:val="1"/>
      <w:numFmt w:val="lowerRoman"/>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E20659E"/>
    <w:multiLevelType w:val="hybridMultilevel"/>
    <w:tmpl w:val="66A066D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23A5520"/>
    <w:multiLevelType w:val="hybridMultilevel"/>
    <w:tmpl w:val="1A4C46F6"/>
    <w:lvl w:ilvl="0" w:tplc="6E82D026">
      <w:start w:val="1"/>
      <w:numFmt w:val="decimal"/>
      <w:lvlText w:val="[%1]"/>
      <w:lvlJc w:val="left"/>
      <w:pPr>
        <w:ind w:left="360" w:hanging="360"/>
      </w:pPr>
      <w:rPr>
        <w:rFonts w:hint="default"/>
        <w:b w:val="0"/>
        <w:i w:val="0"/>
        <w:color w:val="auto"/>
        <w:sz w:val="16"/>
        <w:szCs w:val="16"/>
        <w:lang w:val="es-ES"/>
      </w:rPr>
    </w:lvl>
    <w:lvl w:ilvl="1" w:tplc="C498B236">
      <w:start w:val="1"/>
      <w:numFmt w:val="lowerLetter"/>
      <w:lvlText w:val="%2."/>
      <w:lvlJc w:val="left"/>
      <w:pPr>
        <w:ind w:left="1080" w:hanging="360"/>
      </w:pPr>
    </w:lvl>
    <w:lvl w:ilvl="2" w:tplc="3B8492CC">
      <w:start w:val="1"/>
      <w:numFmt w:val="lowerRoman"/>
      <w:lvlText w:val="%3."/>
      <w:lvlJc w:val="right"/>
      <w:pPr>
        <w:ind w:left="1800" w:hanging="180"/>
      </w:pPr>
    </w:lvl>
    <w:lvl w:ilvl="3" w:tplc="FE6C41B0">
      <w:start w:val="1"/>
      <w:numFmt w:val="decimal"/>
      <w:lvlText w:val="%4."/>
      <w:lvlJc w:val="left"/>
      <w:pPr>
        <w:ind w:left="2520" w:hanging="360"/>
      </w:pPr>
    </w:lvl>
    <w:lvl w:ilvl="4" w:tplc="5F00169E">
      <w:start w:val="1"/>
      <w:numFmt w:val="lowerLetter"/>
      <w:lvlText w:val="%5."/>
      <w:lvlJc w:val="left"/>
      <w:pPr>
        <w:ind w:left="3240" w:hanging="360"/>
      </w:pPr>
    </w:lvl>
    <w:lvl w:ilvl="5" w:tplc="217252E8">
      <w:start w:val="1"/>
      <w:numFmt w:val="lowerRoman"/>
      <w:lvlText w:val="%6."/>
      <w:lvlJc w:val="right"/>
      <w:pPr>
        <w:ind w:left="3960" w:hanging="180"/>
      </w:pPr>
    </w:lvl>
    <w:lvl w:ilvl="6" w:tplc="DFCC2EBC">
      <w:start w:val="1"/>
      <w:numFmt w:val="decimal"/>
      <w:lvlText w:val="%7."/>
      <w:lvlJc w:val="left"/>
      <w:pPr>
        <w:ind w:left="4680" w:hanging="360"/>
      </w:pPr>
    </w:lvl>
    <w:lvl w:ilvl="7" w:tplc="5A18E506">
      <w:start w:val="1"/>
      <w:numFmt w:val="lowerLetter"/>
      <w:lvlText w:val="%8."/>
      <w:lvlJc w:val="left"/>
      <w:pPr>
        <w:ind w:left="5400" w:hanging="360"/>
      </w:pPr>
    </w:lvl>
    <w:lvl w:ilvl="8" w:tplc="973C7EC4">
      <w:start w:val="1"/>
      <w:numFmt w:val="lowerRoman"/>
      <w:lvlText w:val="%9."/>
      <w:lvlJc w:val="right"/>
      <w:pPr>
        <w:ind w:left="6120" w:hanging="180"/>
      </w:pPr>
    </w:lvl>
  </w:abstractNum>
  <w:abstractNum w:abstractNumId="13" w15:restartNumberingAfterBreak="0">
    <w:nsid w:val="2523577B"/>
    <w:multiLevelType w:val="hybridMultilevel"/>
    <w:tmpl w:val="C2A49110"/>
    <w:lvl w:ilvl="0" w:tplc="88803294">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52B1979"/>
    <w:multiLevelType w:val="hybridMultilevel"/>
    <w:tmpl w:val="FB28F2FE"/>
    <w:lvl w:ilvl="0" w:tplc="C110166C">
      <w:start w:val="1"/>
      <w:numFmt w:val="decimal"/>
      <w:lvlText w:val="%1."/>
      <w:lvlJc w:val="left"/>
      <w:pPr>
        <w:ind w:left="360" w:hanging="360"/>
      </w:pPr>
    </w:lvl>
    <w:lvl w:ilvl="1" w:tplc="B5E8FA16">
      <w:start w:val="1"/>
      <w:numFmt w:val="decimal"/>
      <w:lvlText w:val="%2."/>
      <w:lvlJc w:val="left"/>
      <w:pPr>
        <w:ind w:left="1080" w:hanging="360"/>
      </w:pPr>
    </w:lvl>
    <w:lvl w:ilvl="2" w:tplc="B680C0CA">
      <w:start w:val="1"/>
      <w:numFmt w:val="lowerRoman"/>
      <w:lvlText w:val="%3."/>
      <w:lvlJc w:val="right"/>
      <w:pPr>
        <w:ind w:left="1800" w:hanging="180"/>
      </w:pPr>
    </w:lvl>
    <w:lvl w:ilvl="3" w:tplc="AADC4AE8">
      <w:start w:val="1"/>
      <w:numFmt w:val="decimal"/>
      <w:lvlText w:val="%4."/>
      <w:lvlJc w:val="left"/>
      <w:pPr>
        <w:ind w:left="2520" w:hanging="360"/>
      </w:pPr>
    </w:lvl>
    <w:lvl w:ilvl="4" w:tplc="FB626DD6">
      <w:start w:val="1"/>
      <w:numFmt w:val="lowerLetter"/>
      <w:lvlText w:val="%5."/>
      <w:lvlJc w:val="left"/>
      <w:pPr>
        <w:ind w:left="3240" w:hanging="360"/>
      </w:pPr>
    </w:lvl>
    <w:lvl w:ilvl="5" w:tplc="3F74CFF4">
      <w:start w:val="1"/>
      <w:numFmt w:val="lowerRoman"/>
      <w:lvlText w:val="%6."/>
      <w:lvlJc w:val="right"/>
      <w:pPr>
        <w:ind w:left="3960" w:hanging="180"/>
      </w:pPr>
    </w:lvl>
    <w:lvl w:ilvl="6" w:tplc="3F169B9C">
      <w:start w:val="1"/>
      <w:numFmt w:val="decimal"/>
      <w:lvlText w:val="%7."/>
      <w:lvlJc w:val="left"/>
      <w:pPr>
        <w:ind w:left="4680" w:hanging="360"/>
      </w:pPr>
    </w:lvl>
    <w:lvl w:ilvl="7" w:tplc="41FCDD14">
      <w:start w:val="1"/>
      <w:numFmt w:val="lowerLetter"/>
      <w:lvlText w:val="%8."/>
      <w:lvlJc w:val="left"/>
      <w:pPr>
        <w:ind w:left="5400" w:hanging="360"/>
      </w:pPr>
    </w:lvl>
    <w:lvl w:ilvl="8" w:tplc="F98CFBCE">
      <w:start w:val="1"/>
      <w:numFmt w:val="lowerRoman"/>
      <w:lvlText w:val="%9."/>
      <w:lvlJc w:val="right"/>
      <w:pPr>
        <w:ind w:left="6120" w:hanging="180"/>
      </w:pPr>
    </w:lvl>
  </w:abstractNum>
  <w:abstractNum w:abstractNumId="15" w15:restartNumberingAfterBreak="0">
    <w:nsid w:val="2703606C"/>
    <w:multiLevelType w:val="hybridMultilevel"/>
    <w:tmpl w:val="32CAE7B6"/>
    <w:lvl w:ilvl="0" w:tplc="C916FBFE">
      <w:start w:val="1"/>
      <w:numFmt w:val="decimal"/>
      <w:lvlText w:val="[%1]"/>
      <w:lvlJc w:val="left"/>
      <w:pPr>
        <w:ind w:left="786" w:hanging="360"/>
      </w:pPr>
      <w:rPr>
        <w:rFonts w:hint="default"/>
        <w:b w:val="0"/>
        <w:i w:val="0"/>
        <w:strike w:val="0"/>
        <w:color w:val="auto"/>
        <w:sz w:val="22"/>
        <w:szCs w:val="22"/>
        <w:lang w:val="es-PE"/>
      </w:r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C4C1348"/>
    <w:multiLevelType w:val="hybridMultilevel"/>
    <w:tmpl w:val="D8EA2F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E5115CB"/>
    <w:multiLevelType w:val="hybridMultilevel"/>
    <w:tmpl w:val="F800BD2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0032BAE"/>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4D0B2B"/>
    <w:multiLevelType w:val="hybridMultilevel"/>
    <w:tmpl w:val="2BBE9D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BE74D5B"/>
    <w:multiLevelType w:val="hybridMultilevel"/>
    <w:tmpl w:val="E20436CA"/>
    <w:lvl w:ilvl="0" w:tplc="5896F5D2">
      <w:start w:val="1"/>
      <w:numFmt w:val="bullet"/>
      <w:lvlText w:val="-"/>
      <w:lvlJc w:val="left"/>
      <w:pPr>
        <w:ind w:left="1428" w:hanging="360"/>
      </w:pPr>
      <w:rPr>
        <w:rFonts w:ascii="Calibri" w:hAnsi="Calibri"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1" w15:restartNumberingAfterBreak="0">
    <w:nsid w:val="41ED65B3"/>
    <w:multiLevelType w:val="hybridMultilevel"/>
    <w:tmpl w:val="BEC041FA"/>
    <w:lvl w:ilvl="0" w:tplc="EEC2178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2643815"/>
    <w:multiLevelType w:val="hybridMultilevel"/>
    <w:tmpl w:val="FC8C4BF0"/>
    <w:lvl w:ilvl="0" w:tplc="05F043B6">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3" w15:restartNumberingAfterBreak="0">
    <w:nsid w:val="43C40A9E"/>
    <w:multiLevelType w:val="multilevel"/>
    <w:tmpl w:val="1486E080"/>
    <w:lvl w:ilvl="0">
      <w:start w:val="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4AA13EE6"/>
    <w:multiLevelType w:val="hybridMultilevel"/>
    <w:tmpl w:val="9D88D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E8C13FA"/>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12A065D"/>
    <w:multiLevelType w:val="hybridMultilevel"/>
    <w:tmpl w:val="B18274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359504D"/>
    <w:multiLevelType w:val="hybridMultilevel"/>
    <w:tmpl w:val="BF3026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39C6092"/>
    <w:multiLevelType w:val="hybridMultilevel"/>
    <w:tmpl w:val="A2B0EA9E"/>
    <w:lvl w:ilvl="0" w:tplc="71E4C7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9915F52"/>
    <w:multiLevelType w:val="hybridMultilevel"/>
    <w:tmpl w:val="3A064E7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5A3B4C4F"/>
    <w:multiLevelType w:val="hybridMultilevel"/>
    <w:tmpl w:val="DD209C56"/>
    <w:lvl w:ilvl="0" w:tplc="5FF2247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5B3426B8"/>
    <w:multiLevelType w:val="hybridMultilevel"/>
    <w:tmpl w:val="2AFEDCF6"/>
    <w:lvl w:ilvl="0" w:tplc="5896F5D2">
      <w:start w:val="1"/>
      <w:numFmt w:val="bullet"/>
      <w:lvlText w:val="-"/>
      <w:lvlJc w:val="left"/>
      <w:pPr>
        <w:ind w:left="360" w:hanging="360"/>
      </w:pPr>
      <w:rPr>
        <w:rFonts w:ascii="Calibri" w:hAnsi="Calibri" w:hint="default"/>
      </w:rPr>
    </w:lvl>
    <w:lvl w:ilvl="1" w:tplc="3B2A1716">
      <w:start w:val="1"/>
      <w:numFmt w:val="bullet"/>
      <w:lvlText w:val="o"/>
      <w:lvlJc w:val="left"/>
      <w:pPr>
        <w:ind w:left="1080" w:hanging="360"/>
      </w:pPr>
      <w:rPr>
        <w:rFonts w:ascii="Courier New" w:hAnsi="Courier New" w:hint="default"/>
      </w:rPr>
    </w:lvl>
    <w:lvl w:ilvl="2" w:tplc="305487EC">
      <w:start w:val="1"/>
      <w:numFmt w:val="bullet"/>
      <w:lvlText w:val=""/>
      <w:lvlJc w:val="left"/>
      <w:pPr>
        <w:ind w:left="1800" w:hanging="360"/>
      </w:pPr>
      <w:rPr>
        <w:rFonts w:ascii="Wingdings" w:hAnsi="Wingdings" w:hint="default"/>
      </w:rPr>
    </w:lvl>
    <w:lvl w:ilvl="3" w:tplc="DB6AFE62">
      <w:start w:val="1"/>
      <w:numFmt w:val="bullet"/>
      <w:lvlText w:val=""/>
      <w:lvlJc w:val="left"/>
      <w:pPr>
        <w:ind w:left="2520" w:hanging="360"/>
      </w:pPr>
      <w:rPr>
        <w:rFonts w:ascii="Symbol" w:hAnsi="Symbol" w:hint="default"/>
      </w:rPr>
    </w:lvl>
    <w:lvl w:ilvl="4" w:tplc="ABAA49F4">
      <w:start w:val="1"/>
      <w:numFmt w:val="bullet"/>
      <w:lvlText w:val="o"/>
      <w:lvlJc w:val="left"/>
      <w:pPr>
        <w:ind w:left="3240" w:hanging="360"/>
      </w:pPr>
      <w:rPr>
        <w:rFonts w:ascii="Courier New" w:hAnsi="Courier New" w:hint="default"/>
      </w:rPr>
    </w:lvl>
    <w:lvl w:ilvl="5" w:tplc="8690C5B2">
      <w:start w:val="1"/>
      <w:numFmt w:val="bullet"/>
      <w:lvlText w:val=""/>
      <w:lvlJc w:val="left"/>
      <w:pPr>
        <w:ind w:left="3960" w:hanging="360"/>
      </w:pPr>
      <w:rPr>
        <w:rFonts w:ascii="Wingdings" w:hAnsi="Wingdings" w:hint="default"/>
      </w:rPr>
    </w:lvl>
    <w:lvl w:ilvl="6" w:tplc="BEFC7C50">
      <w:start w:val="1"/>
      <w:numFmt w:val="bullet"/>
      <w:lvlText w:val=""/>
      <w:lvlJc w:val="left"/>
      <w:pPr>
        <w:ind w:left="4680" w:hanging="360"/>
      </w:pPr>
      <w:rPr>
        <w:rFonts w:ascii="Symbol" w:hAnsi="Symbol" w:hint="default"/>
      </w:rPr>
    </w:lvl>
    <w:lvl w:ilvl="7" w:tplc="7C949810">
      <w:start w:val="1"/>
      <w:numFmt w:val="bullet"/>
      <w:lvlText w:val="o"/>
      <w:lvlJc w:val="left"/>
      <w:pPr>
        <w:ind w:left="5400" w:hanging="360"/>
      </w:pPr>
      <w:rPr>
        <w:rFonts w:ascii="Courier New" w:hAnsi="Courier New" w:hint="default"/>
      </w:rPr>
    </w:lvl>
    <w:lvl w:ilvl="8" w:tplc="36722E96">
      <w:start w:val="1"/>
      <w:numFmt w:val="bullet"/>
      <w:lvlText w:val=""/>
      <w:lvlJc w:val="left"/>
      <w:pPr>
        <w:ind w:left="6120" w:hanging="360"/>
      </w:pPr>
      <w:rPr>
        <w:rFonts w:ascii="Wingdings" w:hAnsi="Wingdings" w:hint="default"/>
      </w:rPr>
    </w:lvl>
  </w:abstractNum>
  <w:abstractNum w:abstractNumId="32" w15:restartNumberingAfterBreak="0">
    <w:nsid w:val="5CB31B14"/>
    <w:multiLevelType w:val="multilevel"/>
    <w:tmpl w:val="07C20BA2"/>
    <w:lvl w:ilvl="0">
      <w:start w:val="4"/>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F6D2D98"/>
    <w:multiLevelType w:val="multilevel"/>
    <w:tmpl w:val="3DA099B4"/>
    <w:lvl w:ilvl="0">
      <w:start w:val="64"/>
      <w:numFmt w:val="decimal"/>
      <w:lvlText w:val="[%1]"/>
      <w:lvlJc w:val="left"/>
      <w:pPr>
        <w:ind w:left="525" w:hanging="525"/>
      </w:pPr>
      <w:rPr>
        <w:rFonts w:hint="default"/>
        <w:b w:val="0"/>
        <w:i w:val="0"/>
        <w:color w:val="auto"/>
        <w:sz w:val="16"/>
        <w:szCs w:val="16"/>
        <w:lang w:val="es-ES"/>
      </w:rPr>
    </w:lvl>
    <w:lvl w:ilvl="1">
      <w:start w:val="1"/>
      <w:numFmt w:val="lowerLetter"/>
      <w:lvlText w:val="%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C257E1"/>
    <w:multiLevelType w:val="multilevel"/>
    <w:tmpl w:val="16064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8B710E"/>
    <w:multiLevelType w:val="multilevel"/>
    <w:tmpl w:val="D3087F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DE1399"/>
    <w:multiLevelType w:val="hybridMultilevel"/>
    <w:tmpl w:val="C2688ACE"/>
    <w:lvl w:ilvl="0" w:tplc="98D0EEDC">
      <w:start w:val="1"/>
      <w:numFmt w:val="decimal"/>
      <w:lvlText w:val="[%1]"/>
      <w:lvlJc w:val="left"/>
      <w:pPr>
        <w:ind w:left="720" w:hanging="360"/>
      </w:pPr>
      <w:rPr>
        <w:rFonts w:hint="default"/>
        <w:b w:val="0"/>
        <w:i w:val="0"/>
        <w:strike w:val="0"/>
        <w:color w:val="auto"/>
        <w:sz w:val="16"/>
        <w:szCs w:val="16"/>
        <w:lang w:val="es-PE"/>
      </w:rPr>
    </w:lvl>
    <w:lvl w:ilvl="1" w:tplc="43C66F02">
      <w:start w:val="1"/>
      <w:numFmt w:val="lowerRoman"/>
      <w:lvlText w:val="%2)"/>
      <w:lvlJc w:val="left"/>
      <w:pPr>
        <w:ind w:left="1440" w:hanging="360"/>
      </w:pPr>
      <w:rPr>
        <w:rFonts w:hint="default"/>
      </w:rPr>
    </w:lvl>
    <w:lvl w:ilvl="2" w:tplc="8596309C">
      <w:start w:val="1"/>
      <w:numFmt w:val="lowerLetter"/>
      <w:lvlText w:val="%3)"/>
      <w:lvlJc w:val="left"/>
      <w:pPr>
        <w:ind w:left="2685" w:hanging="70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CA94C64"/>
    <w:multiLevelType w:val="hybridMultilevel"/>
    <w:tmpl w:val="A6CC8660"/>
    <w:lvl w:ilvl="0" w:tplc="9EF21B06">
      <w:start w:val="1"/>
      <w:numFmt w:val="decimal"/>
      <w:lvlText w:val="[%1]"/>
      <w:lvlJc w:val="left"/>
      <w:pPr>
        <w:ind w:left="720" w:hanging="360"/>
      </w:pPr>
      <w:rPr>
        <w:rFonts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CAD0809"/>
    <w:multiLevelType w:val="multilevel"/>
    <w:tmpl w:val="2A08D770"/>
    <w:lvl w:ilvl="0">
      <w:start w:val="4"/>
      <w:numFmt w:val="decimal"/>
      <w:lvlText w:val="%1."/>
      <w:lvlJc w:val="left"/>
      <w:pPr>
        <w:ind w:left="585" w:hanging="585"/>
      </w:pPr>
      <w:rPr>
        <w:rFonts w:hint="default"/>
        <w:u w:val="single"/>
      </w:rPr>
    </w:lvl>
    <w:lvl w:ilvl="1">
      <w:start w:val="1"/>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6D005EA7"/>
    <w:multiLevelType w:val="hybridMultilevel"/>
    <w:tmpl w:val="EDE2BF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09D770B"/>
    <w:multiLevelType w:val="hybridMultilevel"/>
    <w:tmpl w:val="86B07F9E"/>
    <w:lvl w:ilvl="0" w:tplc="FFFFFFFF">
      <w:start w:val="1"/>
      <w:numFmt w:val="decimal"/>
      <w:lvlText w:val="[%1]"/>
      <w:lvlJc w:val="left"/>
      <w:pPr>
        <w:ind w:left="786" w:hanging="360"/>
      </w:pPr>
      <w:rPr>
        <w:rFonts w:hint="default"/>
        <w:b w:val="0"/>
        <w:i w:val="0"/>
        <w:strike w:val="0"/>
        <w:color w:val="auto"/>
        <w:sz w:val="16"/>
        <w:szCs w:val="16"/>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181D6F"/>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B6E7D75"/>
    <w:multiLevelType w:val="multilevel"/>
    <w:tmpl w:val="68DE7AD6"/>
    <w:lvl w:ilvl="0">
      <w:start w:val="1"/>
      <w:numFmt w:val="bullet"/>
      <w:lvlText w:val=""/>
      <w:lvlJc w:val="left"/>
      <w:pPr>
        <w:tabs>
          <w:tab w:val="num" w:pos="720"/>
        </w:tabs>
        <w:ind w:left="720" w:hanging="360"/>
      </w:pPr>
      <w:rPr>
        <w:rFonts w:ascii="Symbol" w:hAnsi="Symbol" w:hint="default"/>
        <w:sz w:val="20"/>
      </w:rPr>
    </w:lvl>
    <w:lvl w:ilvl="1">
      <w:start w:val="9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AC1518"/>
    <w:multiLevelType w:val="multilevel"/>
    <w:tmpl w:val="FAA4F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CE0764"/>
    <w:multiLevelType w:val="hybridMultilevel"/>
    <w:tmpl w:val="CC427BAA"/>
    <w:lvl w:ilvl="0" w:tplc="0A5E0B1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4"/>
  </w:num>
  <w:num w:numId="3">
    <w:abstractNumId w:val="0"/>
  </w:num>
  <w:num w:numId="4">
    <w:abstractNumId w:val="2"/>
  </w:num>
  <w:num w:numId="5">
    <w:abstractNumId w:val="41"/>
  </w:num>
  <w:num w:numId="6">
    <w:abstractNumId w:val="18"/>
  </w:num>
  <w:num w:numId="7">
    <w:abstractNumId w:val="1"/>
  </w:num>
  <w:num w:numId="8">
    <w:abstractNumId w:val="25"/>
  </w:num>
  <w:num w:numId="9">
    <w:abstractNumId w:val="22"/>
  </w:num>
  <w:num w:numId="10">
    <w:abstractNumId w:val="34"/>
  </w:num>
  <w:num w:numId="11">
    <w:abstractNumId w:val="42"/>
  </w:num>
  <w:num w:numId="12">
    <w:abstractNumId w:val="43"/>
  </w:num>
  <w:num w:numId="13">
    <w:abstractNumId w:val="35"/>
  </w:num>
  <w:num w:numId="14">
    <w:abstractNumId w:val="36"/>
  </w:num>
  <w:num w:numId="15">
    <w:abstractNumId w:val="14"/>
  </w:num>
  <w:num w:numId="16">
    <w:abstractNumId w:val="31"/>
  </w:num>
  <w:num w:numId="17">
    <w:abstractNumId w:val="12"/>
  </w:num>
  <w:num w:numId="18">
    <w:abstractNumId w:val="17"/>
  </w:num>
  <w:num w:numId="19">
    <w:abstractNumId w:val="33"/>
  </w:num>
  <w:num w:numId="20">
    <w:abstractNumId w:val="7"/>
  </w:num>
  <w:num w:numId="21">
    <w:abstractNumId w:val="38"/>
  </w:num>
  <w:num w:numId="22">
    <w:abstractNumId w:val="37"/>
  </w:num>
  <w:num w:numId="23">
    <w:abstractNumId w:val="28"/>
  </w:num>
  <w:num w:numId="24">
    <w:abstractNumId w:val="30"/>
  </w:num>
  <w:num w:numId="25">
    <w:abstractNumId w:val="8"/>
  </w:num>
  <w:num w:numId="26">
    <w:abstractNumId w:val="26"/>
  </w:num>
  <w:num w:numId="27">
    <w:abstractNumId w:val="24"/>
  </w:num>
  <w:num w:numId="28">
    <w:abstractNumId w:val="32"/>
  </w:num>
  <w:num w:numId="29">
    <w:abstractNumId w:val="20"/>
  </w:num>
  <w:num w:numId="30">
    <w:abstractNumId w:val="44"/>
  </w:num>
  <w:num w:numId="31">
    <w:abstractNumId w:val="40"/>
  </w:num>
  <w:num w:numId="32">
    <w:abstractNumId w:val="23"/>
  </w:num>
  <w:num w:numId="33">
    <w:abstractNumId w:val="27"/>
  </w:num>
  <w:num w:numId="34">
    <w:abstractNumId w:val="19"/>
  </w:num>
  <w:num w:numId="35">
    <w:abstractNumId w:val="13"/>
  </w:num>
  <w:num w:numId="36">
    <w:abstractNumId w:val="21"/>
  </w:num>
  <w:num w:numId="37">
    <w:abstractNumId w:val="3"/>
  </w:num>
  <w:num w:numId="38">
    <w:abstractNumId w:val="10"/>
  </w:num>
  <w:num w:numId="39">
    <w:abstractNumId w:val="6"/>
  </w:num>
  <w:num w:numId="40">
    <w:abstractNumId w:val="9"/>
  </w:num>
  <w:num w:numId="41">
    <w:abstractNumId w:val="11"/>
  </w:num>
  <w:num w:numId="42">
    <w:abstractNumId w:val="5"/>
  </w:num>
  <w:num w:numId="43">
    <w:abstractNumId w:val="39"/>
  </w:num>
  <w:num w:numId="44">
    <w:abstractNumId w:val="16"/>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3"/>
    <w:rsid w:val="000003C0"/>
    <w:rsid w:val="000013F3"/>
    <w:rsid w:val="000023A2"/>
    <w:rsid w:val="00002A0D"/>
    <w:rsid w:val="00003503"/>
    <w:rsid w:val="00003BE9"/>
    <w:rsid w:val="00003E57"/>
    <w:rsid w:val="00005D89"/>
    <w:rsid w:val="00006579"/>
    <w:rsid w:val="00007B7E"/>
    <w:rsid w:val="00012789"/>
    <w:rsid w:val="000131BC"/>
    <w:rsid w:val="00013AEA"/>
    <w:rsid w:val="00013D86"/>
    <w:rsid w:val="000146A4"/>
    <w:rsid w:val="00014898"/>
    <w:rsid w:val="00014ACC"/>
    <w:rsid w:val="00016655"/>
    <w:rsid w:val="00016845"/>
    <w:rsid w:val="00020E04"/>
    <w:rsid w:val="000224BC"/>
    <w:rsid w:val="000240AD"/>
    <w:rsid w:val="00024D44"/>
    <w:rsid w:val="000258D8"/>
    <w:rsid w:val="00025E5E"/>
    <w:rsid w:val="00026512"/>
    <w:rsid w:val="00026D30"/>
    <w:rsid w:val="00026FC3"/>
    <w:rsid w:val="00030E44"/>
    <w:rsid w:val="0003140E"/>
    <w:rsid w:val="00031762"/>
    <w:rsid w:val="0003384B"/>
    <w:rsid w:val="00034188"/>
    <w:rsid w:val="000372A9"/>
    <w:rsid w:val="000405A9"/>
    <w:rsid w:val="000410EC"/>
    <w:rsid w:val="00041824"/>
    <w:rsid w:val="00043F0C"/>
    <w:rsid w:val="000446D9"/>
    <w:rsid w:val="00044D78"/>
    <w:rsid w:val="00046C97"/>
    <w:rsid w:val="000473B0"/>
    <w:rsid w:val="000506F6"/>
    <w:rsid w:val="00053BB1"/>
    <w:rsid w:val="000552CD"/>
    <w:rsid w:val="00056C74"/>
    <w:rsid w:val="000578E7"/>
    <w:rsid w:val="00057DE6"/>
    <w:rsid w:val="00061833"/>
    <w:rsid w:val="00061B23"/>
    <w:rsid w:val="00062BA1"/>
    <w:rsid w:val="00063206"/>
    <w:rsid w:val="00065C90"/>
    <w:rsid w:val="00066F80"/>
    <w:rsid w:val="000670D3"/>
    <w:rsid w:val="00072453"/>
    <w:rsid w:val="00072FC3"/>
    <w:rsid w:val="00073683"/>
    <w:rsid w:val="00074CF7"/>
    <w:rsid w:val="0007590E"/>
    <w:rsid w:val="00076346"/>
    <w:rsid w:val="000768AB"/>
    <w:rsid w:val="00077363"/>
    <w:rsid w:val="000775A3"/>
    <w:rsid w:val="00080556"/>
    <w:rsid w:val="0008094A"/>
    <w:rsid w:val="000816D0"/>
    <w:rsid w:val="000818A9"/>
    <w:rsid w:val="00082EBF"/>
    <w:rsid w:val="00083316"/>
    <w:rsid w:val="00083432"/>
    <w:rsid w:val="000837D6"/>
    <w:rsid w:val="0008440D"/>
    <w:rsid w:val="000923A6"/>
    <w:rsid w:val="00094336"/>
    <w:rsid w:val="00095180"/>
    <w:rsid w:val="000967BE"/>
    <w:rsid w:val="00097601"/>
    <w:rsid w:val="00097651"/>
    <w:rsid w:val="000A146E"/>
    <w:rsid w:val="000A2016"/>
    <w:rsid w:val="000A2023"/>
    <w:rsid w:val="000A63B6"/>
    <w:rsid w:val="000A681F"/>
    <w:rsid w:val="000A6870"/>
    <w:rsid w:val="000B0338"/>
    <w:rsid w:val="000B0C29"/>
    <w:rsid w:val="000B1EFC"/>
    <w:rsid w:val="000B377D"/>
    <w:rsid w:val="000B3B31"/>
    <w:rsid w:val="000B4D66"/>
    <w:rsid w:val="000B50AF"/>
    <w:rsid w:val="000B6EFF"/>
    <w:rsid w:val="000C0829"/>
    <w:rsid w:val="000C1C6C"/>
    <w:rsid w:val="000C1E10"/>
    <w:rsid w:val="000C2300"/>
    <w:rsid w:val="000C3573"/>
    <w:rsid w:val="000C447C"/>
    <w:rsid w:val="000C489C"/>
    <w:rsid w:val="000C48C5"/>
    <w:rsid w:val="000C5CA0"/>
    <w:rsid w:val="000C6953"/>
    <w:rsid w:val="000C6A5A"/>
    <w:rsid w:val="000C7467"/>
    <w:rsid w:val="000C7D65"/>
    <w:rsid w:val="000D15A0"/>
    <w:rsid w:val="000D1A47"/>
    <w:rsid w:val="000D3725"/>
    <w:rsid w:val="000D3D01"/>
    <w:rsid w:val="000D545C"/>
    <w:rsid w:val="000D68E8"/>
    <w:rsid w:val="000D7287"/>
    <w:rsid w:val="000E2F76"/>
    <w:rsid w:val="000E3143"/>
    <w:rsid w:val="000E3FD8"/>
    <w:rsid w:val="000E441C"/>
    <w:rsid w:val="000E5298"/>
    <w:rsid w:val="000F5BCA"/>
    <w:rsid w:val="000F637C"/>
    <w:rsid w:val="000F7C1B"/>
    <w:rsid w:val="00100CD7"/>
    <w:rsid w:val="001019BB"/>
    <w:rsid w:val="001031AD"/>
    <w:rsid w:val="001036AD"/>
    <w:rsid w:val="00105051"/>
    <w:rsid w:val="001053EC"/>
    <w:rsid w:val="001101F6"/>
    <w:rsid w:val="0011099A"/>
    <w:rsid w:val="001114F0"/>
    <w:rsid w:val="001123C8"/>
    <w:rsid w:val="00112853"/>
    <w:rsid w:val="00112D2E"/>
    <w:rsid w:val="00113244"/>
    <w:rsid w:val="001231FF"/>
    <w:rsid w:val="00124638"/>
    <w:rsid w:val="00126DC2"/>
    <w:rsid w:val="00130583"/>
    <w:rsid w:val="001335F2"/>
    <w:rsid w:val="001342E7"/>
    <w:rsid w:val="00142C5B"/>
    <w:rsid w:val="001515FC"/>
    <w:rsid w:val="00151604"/>
    <w:rsid w:val="00157724"/>
    <w:rsid w:val="00157937"/>
    <w:rsid w:val="00163BF6"/>
    <w:rsid w:val="00166A7E"/>
    <w:rsid w:val="001674D5"/>
    <w:rsid w:val="00167DA0"/>
    <w:rsid w:val="00172DAD"/>
    <w:rsid w:val="001802EF"/>
    <w:rsid w:val="00181CFC"/>
    <w:rsid w:val="00181EFA"/>
    <w:rsid w:val="00186640"/>
    <w:rsid w:val="001905BC"/>
    <w:rsid w:val="0019093E"/>
    <w:rsid w:val="0019122E"/>
    <w:rsid w:val="0019275A"/>
    <w:rsid w:val="00192CA4"/>
    <w:rsid w:val="001A0469"/>
    <w:rsid w:val="001A21A8"/>
    <w:rsid w:val="001A311F"/>
    <w:rsid w:val="001A3251"/>
    <w:rsid w:val="001A467C"/>
    <w:rsid w:val="001A54D2"/>
    <w:rsid w:val="001A5F1B"/>
    <w:rsid w:val="001A62C2"/>
    <w:rsid w:val="001A7BB9"/>
    <w:rsid w:val="001B01C7"/>
    <w:rsid w:val="001B0217"/>
    <w:rsid w:val="001B15D4"/>
    <w:rsid w:val="001B16EB"/>
    <w:rsid w:val="001B18AB"/>
    <w:rsid w:val="001B23A7"/>
    <w:rsid w:val="001B25F2"/>
    <w:rsid w:val="001B4800"/>
    <w:rsid w:val="001B63CC"/>
    <w:rsid w:val="001C01FC"/>
    <w:rsid w:val="001C0DE3"/>
    <w:rsid w:val="001C11E3"/>
    <w:rsid w:val="001C161F"/>
    <w:rsid w:val="001C177D"/>
    <w:rsid w:val="001C1969"/>
    <w:rsid w:val="001C1BA7"/>
    <w:rsid w:val="001C2CAF"/>
    <w:rsid w:val="001C2E20"/>
    <w:rsid w:val="001C5BF6"/>
    <w:rsid w:val="001C604C"/>
    <w:rsid w:val="001C7175"/>
    <w:rsid w:val="001D127D"/>
    <w:rsid w:val="001D17A3"/>
    <w:rsid w:val="001D1886"/>
    <w:rsid w:val="001D2DC3"/>
    <w:rsid w:val="001D33BD"/>
    <w:rsid w:val="001D4323"/>
    <w:rsid w:val="001D4A59"/>
    <w:rsid w:val="001D5A24"/>
    <w:rsid w:val="001D6F32"/>
    <w:rsid w:val="001E0962"/>
    <w:rsid w:val="001E22AE"/>
    <w:rsid w:val="001E287A"/>
    <w:rsid w:val="001E3C49"/>
    <w:rsid w:val="001E435F"/>
    <w:rsid w:val="001E4652"/>
    <w:rsid w:val="001E6990"/>
    <w:rsid w:val="001F1657"/>
    <w:rsid w:val="001F24F2"/>
    <w:rsid w:val="001F3235"/>
    <w:rsid w:val="001F51B5"/>
    <w:rsid w:val="001F6E6A"/>
    <w:rsid w:val="001F76FC"/>
    <w:rsid w:val="00203FE8"/>
    <w:rsid w:val="002048A1"/>
    <w:rsid w:val="00205C1B"/>
    <w:rsid w:val="00205F36"/>
    <w:rsid w:val="002078EF"/>
    <w:rsid w:val="002166CF"/>
    <w:rsid w:val="002168AA"/>
    <w:rsid w:val="00217745"/>
    <w:rsid w:val="00217A16"/>
    <w:rsid w:val="00217F12"/>
    <w:rsid w:val="00221422"/>
    <w:rsid w:val="00222511"/>
    <w:rsid w:val="002228EB"/>
    <w:rsid w:val="00223304"/>
    <w:rsid w:val="0022510C"/>
    <w:rsid w:val="00225506"/>
    <w:rsid w:val="00237724"/>
    <w:rsid w:val="002410C2"/>
    <w:rsid w:val="0024165D"/>
    <w:rsid w:val="00241AAB"/>
    <w:rsid w:val="00242B96"/>
    <w:rsid w:val="0024606B"/>
    <w:rsid w:val="00246DB4"/>
    <w:rsid w:val="0024788E"/>
    <w:rsid w:val="002507F9"/>
    <w:rsid w:val="00252356"/>
    <w:rsid w:val="00260B41"/>
    <w:rsid w:val="00261261"/>
    <w:rsid w:val="00263E90"/>
    <w:rsid w:val="002660DE"/>
    <w:rsid w:val="00266F39"/>
    <w:rsid w:val="002670F2"/>
    <w:rsid w:val="002672AB"/>
    <w:rsid w:val="0027162E"/>
    <w:rsid w:val="00272696"/>
    <w:rsid w:val="00273757"/>
    <w:rsid w:val="00273D4C"/>
    <w:rsid w:val="002749D7"/>
    <w:rsid w:val="002829A0"/>
    <w:rsid w:val="002832B3"/>
    <w:rsid w:val="00283C55"/>
    <w:rsid w:val="002852D6"/>
    <w:rsid w:val="002900A9"/>
    <w:rsid w:val="002900FE"/>
    <w:rsid w:val="00297423"/>
    <w:rsid w:val="0029753E"/>
    <w:rsid w:val="002A0448"/>
    <w:rsid w:val="002A07F9"/>
    <w:rsid w:val="002A37C1"/>
    <w:rsid w:val="002A3AC6"/>
    <w:rsid w:val="002A51C5"/>
    <w:rsid w:val="002A5EAA"/>
    <w:rsid w:val="002A6B19"/>
    <w:rsid w:val="002A7E87"/>
    <w:rsid w:val="002B16C6"/>
    <w:rsid w:val="002B1FD6"/>
    <w:rsid w:val="002B3E73"/>
    <w:rsid w:val="002B59F5"/>
    <w:rsid w:val="002B63F5"/>
    <w:rsid w:val="002B75B9"/>
    <w:rsid w:val="002C1732"/>
    <w:rsid w:val="002C1EB9"/>
    <w:rsid w:val="002C4F43"/>
    <w:rsid w:val="002C57A2"/>
    <w:rsid w:val="002C597D"/>
    <w:rsid w:val="002C60AE"/>
    <w:rsid w:val="002C7BD5"/>
    <w:rsid w:val="002D0ACE"/>
    <w:rsid w:val="002D1F99"/>
    <w:rsid w:val="002D3E04"/>
    <w:rsid w:val="002D5A40"/>
    <w:rsid w:val="002D5C66"/>
    <w:rsid w:val="002D68A6"/>
    <w:rsid w:val="002D78AD"/>
    <w:rsid w:val="002E0360"/>
    <w:rsid w:val="002E1EA4"/>
    <w:rsid w:val="002E3DD3"/>
    <w:rsid w:val="002E5E27"/>
    <w:rsid w:val="002E68B8"/>
    <w:rsid w:val="002E711A"/>
    <w:rsid w:val="002E73A8"/>
    <w:rsid w:val="002F069E"/>
    <w:rsid w:val="002F1992"/>
    <w:rsid w:val="002F1995"/>
    <w:rsid w:val="002F211C"/>
    <w:rsid w:val="002F25D6"/>
    <w:rsid w:val="002F29B7"/>
    <w:rsid w:val="002F2E27"/>
    <w:rsid w:val="002F40EF"/>
    <w:rsid w:val="002F57D5"/>
    <w:rsid w:val="002F5BB1"/>
    <w:rsid w:val="002F698C"/>
    <w:rsid w:val="00305027"/>
    <w:rsid w:val="003058DF"/>
    <w:rsid w:val="003059E6"/>
    <w:rsid w:val="00305E82"/>
    <w:rsid w:val="0030643B"/>
    <w:rsid w:val="0031016A"/>
    <w:rsid w:val="00310A5C"/>
    <w:rsid w:val="00310F75"/>
    <w:rsid w:val="00311C3D"/>
    <w:rsid w:val="0031570A"/>
    <w:rsid w:val="00315FF2"/>
    <w:rsid w:val="00316448"/>
    <w:rsid w:val="003167DF"/>
    <w:rsid w:val="00317EE0"/>
    <w:rsid w:val="003205B6"/>
    <w:rsid w:val="00320B5C"/>
    <w:rsid w:val="00321825"/>
    <w:rsid w:val="00321E10"/>
    <w:rsid w:val="003249F8"/>
    <w:rsid w:val="00325264"/>
    <w:rsid w:val="00325EEE"/>
    <w:rsid w:val="00326330"/>
    <w:rsid w:val="003273C9"/>
    <w:rsid w:val="00331D86"/>
    <w:rsid w:val="00333383"/>
    <w:rsid w:val="003340D3"/>
    <w:rsid w:val="0033605E"/>
    <w:rsid w:val="00342476"/>
    <w:rsid w:val="00344061"/>
    <w:rsid w:val="00346756"/>
    <w:rsid w:val="00347954"/>
    <w:rsid w:val="003479E1"/>
    <w:rsid w:val="00347BAA"/>
    <w:rsid w:val="0035062F"/>
    <w:rsid w:val="00350F01"/>
    <w:rsid w:val="0035138A"/>
    <w:rsid w:val="00351C0C"/>
    <w:rsid w:val="00351D5E"/>
    <w:rsid w:val="00351FC7"/>
    <w:rsid w:val="003526E5"/>
    <w:rsid w:val="00354BD1"/>
    <w:rsid w:val="00354E86"/>
    <w:rsid w:val="00355B5D"/>
    <w:rsid w:val="00355EC4"/>
    <w:rsid w:val="003570A3"/>
    <w:rsid w:val="003606E6"/>
    <w:rsid w:val="00361BAB"/>
    <w:rsid w:val="00361C93"/>
    <w:rsid w:val="00361CB0"/>
    <w:rsid w:val="003637C1"/>
    <w:rsid w:val="003645FF"/>
    <w:rsid w:val="00364905"/>
    <w:rsid w:val="00366142"/>
    <w:rsid w:val="00366786"/>
    <w:rsid w:val="003668FF"/>
    <w:rsid w:val="00366B77"/>
    <w:rsid w:val="00367037"/>
    <w:rsid w:val="00367862"/>
    <w:rsid w:val="00367AC8"/>
    <w:rsid w:val="00370882"/>
    <w:rsid w:val="0037136C"/>
    <w:rsid w:val="003735EB"/>
    <w:rsid w:val="00374443"/>
    <w:rsid w:val="00374A74"/>
    <w:rsid w:val="00375F89"/>
    <w:rsid w:val="00377E93"/>
    <w:rsid w:val="003827A4"/>
    <w:rsid w:val="0038286A"/>
    <w:rsid w:val="00385A7D"/>
    <w:rsid w:val="0038744A"/>
    <w:rsid w:val="0039008C"/>
    <w:rsid w:val="00390989"/>
    <w:rsid w:val="0039185C"/>
    <w:rsid w:val="00391D0F"/>
    <w:rsid w:val="00391E61"/>
    <w:rsid w:val="00392B0B"/>
    <w:rsid w:val="00392E3F"/>
    <w:rsid w:val="00394CEC"/>
    <w:rsid w:val="00395D43"/>
    <w:rsid w:val="00396428"/>
    <w:rsid w:val="00396855"/>
    <w:rsid w:val="003A01F7"/>
    <w:rsid w:val="003A22FB"/>
    <w:rsid w:val="003A2E89"/>
    <w:rsid w:val="003A3638"/>
    <w:rsid w:val="003A5DFC"/>
    <w:rsid w:val="003A7768"/>
    <w:rsid w:val="003B08D7"/>
    <w:rsid w:val="003B08FF"/>
    <w:rsid w:val="003B3635"/>
    <w:rsid w:val="003B6C99"/>
    <w:rsid w:val="003B7779"/>
    <w:rsid w:val="003C258D"/>
    <w:rsid w:val="003C266F"/>
    <w:rsid w:val="003C341F"/>
    <w:rsid w:val="003C5111"/>
    <w:rsid w:val="003C568D"/>
    <w:rsid w:val="003C56FC"/>
    <w:rsid w:val="003C5ECC"/>
    <w:rsid w:val="003D20A5"/>
    <w:rsid w:val="003D589B"/>
    <w:rsid w:val="003D647C"/>
    <w:rsid w:val="003D6C44"/>
    <w:rsid w:val="003D70F8"/>
    <w:rsid w:val="003D767F"/>
    <w:rsid w:val="003D76FA"/>
    <w:rsid w:val="003E0549"/>
    <w:rsid w:val="003E0CD0"/>
    <w:rsid w:val="003E0CE6"/>
    <w:rsid w:val="003E1937"/>
    <w:rsid w:val="003E2641"/>
    <w:rsid w:val="003E4DC3"/>
    <w:rsid w:val="003E6D0C"/>
    <w:rsid w:val="003E6D27"/>
    <w:rsid w:val="003F0CA0"/>
    <w:rsid w:val="003F1DF5"/>
    <w:rsid w:val="003F1E92"/>
    <w:rsid w:val="003F3C61"/>
    <w:rsid w:val="003F40A3"/>
    <w:rsid w:val="003F5099"/>
    <w:rsid w:val="003F6CAF"/>
    <w:rsid w:val="003F7354"/>
    <w:rsid w:val="004009D1"/>
    <w:rsid w:val="00401762"/>
    <w:rsid w:val="004027DE"/>
    <w:rsid w:val="00403263"/>
    <w:rsid w:val="004035D5"/>
    <w:rsid w:val="00403A8E"/>
    <w:rsid w:val="00403FEA"/>
    <w:rsid w:val="0040465F"/>
    <w:rsid w:val="00404C20"/>
    <w:rsid w:val="00410AD3"/>
    <w:rsid w:val="00410C5E"/>
    <w:rsid w:val="004124BD"/>
    <w:rsid w:val="004137EE"/>
    <w:rsid w:val="0041528C"/>
    <w:rsid w:val="00415E18"/>
    <w:rsid w:val="0041646B"/>
    <w:rsid w:val="004166B8"/>
    <w:rsid w:val="004177A5"/>
    <w:rsid w:val="00417A26"/>
    <w:rsid w:val="00420C99"/>
    <w:rsid w:val="004222EE"/>
    <w:rsid w:val="0042316A"/>
    <w:rsid w:val="00423512"/>
    <w:rsid w:val="004243EC"/>
    <w:rsid w:val="0042536D"/>
    <w:rsid w:val="00425FF6"/>
    <w:rsid w:val="00427E8B"/>
    <w:rsid w:val="00430C84"/>
    <w:rsid w:val="004311B7"/>
    <w:rsid w:val="00432B17"/>
    <w:rsid w:val="004338B3"/>
    <w:rsid w:val="0043394F"/>
    <w:rsid w:val="00437C73"/>
    <w:rsid w:val="00440698"/>
    <w:rsid w:val="00443FF6"/>
    <w:rsid w:val="004447DE"/>
    <w:rsid w:val="00451C38"/>
    <w:rsid w:val="00452E2A"/>
    <w:rsid w:val="00457555"/>
    <w:rsid w:val="00460523"/>
    <w:rsid w:val="00460AE9"/>
    <w:rsid w:val="004628AD"/>
    <w:rsid w:val="00462A84"/>
    <w:rsid w:val="0046325F"/>
    <w:rsid w:val="004638F4"/>
    <w:rsid w:val="00463F0F"/>
    <w:rsid w:val="00464F3F"/>
    <w:rsid w:val="0046679E"/>
    <w:rsid w:val="0046750A"/>
    <w:rsid w:val="004700DB"/>
    <w:rsid w:val="00470583"/>
    <w:rsid w:val="00470F5A"/>
    <w:rsid w:val="00472D97"/>
    <w:rsid w:val="00472F52"/>
    <w:rsid w:val="004730AB"/>
    <w:rsid w:val="0047327D"/>
    <w:rsid w:val="004734A0"/>
    <w:rsid w:val="00476652"/>
    <w:rsid w:val="00476793"/>
    <w:rsid w:val="0047764F"/>
    <w:rsid w:val="00481C9C"/>
    <w:rsid w:val="0048256C"/>
    <w:rsid w:val="004825A5"/>
    <w:rsid w:val="004829F6"/>
    <w:rsid w:val="004831A3"/>
    <w:rsid w:val="00490CF7"/>
    <w:rsid w:val="0049435F"/>
    <w:rsid w:val="004969D9"/>
    <w:rsid w:val="00496D13"/>
    <w:rsid w:val="004A1171"/>
    <w:rsid w:val="004A18F6"/>
    <w:rsid w:val="004A1EC6"/>
    <w:rsid w:val="004A2142"/>
    <w:rsid w:val="004A2480"/>
    <w:rsid w:val="004A25EA"/>
    <w:rsid w:val="004A2AB1"/>
    <w:rsid w:val="004A30F3"/>
    <w:rsid w:val="004A4E40"/>
    <w:rsid w:val="004A524E"/>
    <w:rsid w:val="004A5EF6"/>
    <w:rsid w:val="004A69E6"/>
    <w:rsid w:val="004A72CC"/>
    <w:rsid w:val="004A7FFB"/>
    <w:rsid w:val="004B0A29"/>
    <w:rsid w:val="004B24E1"/>
    <w:rsid w:val="004B317F"/>
    <w:rsid w:val="004B4677"/>
    <w:rsid w:val="004B5726"/>
    <w:rsid w:val="004B5C34"/>
    <w:rsid w:val="004B6766"/>
    <w:rsid w:val="004C1918"/>
    <w:rsid w:val="004C4431"/>
    <w:rsid w:val="004C5E2F"/>
    <w:rsid w:val="004C6C16"/>
    <w:rsid w:val="004C75A9"/>
    <w:rsid w:val="004D0B1A"/>
    <w:rsid w:val="004D1723"/>
    <w:rsid w:val="004D1AED"/>
    <w:rsid w:val="004D3C9A"/>
    <w:rsid w:val="004D3D12"/>
    <w:rsid w:val="004D6613"/>
    <w:rsid w:val="004D74F4"/>
    <w:rsid w:val="004E0122"/>
    <w:rsid w:val="004E079D"/>
    <w:rsid w:val="004E2186"/>
    <w:rsid w:val="004E2301"/>
    <w:rsid w:val="004F436D"/>
    <w:rsid w:val="004F4475"/>
    <w:rsid w:val="004F45B6"/>
    <w:rsid w:val="004F4F7B"/>
    <w:rsid w:val="004F519E"/>
    <w:rsid w:val="004F52DA"/>
    <w:rsid w:val="004F5FAF"/>
    <w:rsid w:val="004F6158"/>
    <w:rsid w:val="004F6373"/>
    <w:rsid w:val="0050053A"/>
    <w:rsid w:val="00501C18"/>
    <w:rsid w:val="00501FF5"/>
    <w:rsid w:val="0050353C"/>
    <w:rsid w:val="00503C85"/>
    <w:rsid w:val="00504518"/>
    <w:rsid w:val="00505829"/>
    <w:rsid w:val="005058CE"/>
    <w:rsid w:val="00507867"/>
    <w:rsid w:val="005101F7"/>
    <w:rsid w:val="0051449F"/>
    <w:rsid w:val="00514A07"/>
    <w:rsid w:val="00514D8C"/>
    <w:rsid w:val="005162AF"/>
    <w:rsid w:val="00516E31"/>
    <w:rsid w:val="0052035C"/>
    <w:rsid w:val="0052188A"/>
    <w:rsid w:val="005223F9"/>
    <w:rsid w:val="00522674"/>
    <w:rsid w:val="005240D0"/>
    <w:rsid w:val="0052785C"/>
    <w:rsid w:val="00527A24"/>
    <w:rsid w:val="005308F1"/>
    <w:rsid w:val="00531092"/>
    <w:rsid w:val="005314EF"/>
    <w:rsid w:val="0053159A"/>
    <w:rsid w:val="00532A88"/>
    <w:rsid w:val="00532ED2"/>
    <w:rsid w:val="00533B13"/>
    <w:rsid w:val="00534B3C"/>
    <w:rsid w:val="00535274"/>
    <w:rsid w:val="0053684A"/>
    <w:rsid w:val="00536E53"/>
    <w:rsid w:val="00537C85"/>
    <w:rsid w:val="00541953"/>
    <w:rsid w:val="00546A8B"/>
    <w:rsid w:val="00547AFB"/>
    <w:rsid w:val="00547ED6"/>
    <w:rsid w:val="00552852"/>
    <w:rsid w:val="00554CAB"/>
    <w:rsid w:val="005561BA"/>
    <w:rsid w:val="005565DB"/>
    <w:rsid w:val="00556ABE"/>
    <w:rsid w:val="00556CBC"/>
    <w:rsid w:val="00556F11"/>
    <w:rsid w:val="00561068"/>
    <w:rsid w:val="0056159D"/>
    <w:rsid w:val="00561730"/>
    <w:rsid w:val="00562B78"/>
    <w:rsid w:val="005637A7"/>
    <w:rsid w:val="005673E3"/>
    <w:rsid w:val="005679CC"/>
    <w:rsid w:val="00570106"/>
    <w:rsid w:val="00571356"/>
    <w:rsid w:val="00571916"/>
    <w:rsid w:val="00571FC9"/>
    <w:rsid w:val="00572250"/>
    <w:rsid w:val="00573779"/>
    <w:rsid w:val="00576152"/>
    <w:rsid w:val="00576E9D"/>
    <w:rsid w:val="00577ECB"/>
    <w:rsid w:val="00582101"/>
    <w:rsid w:val="005829A6"/>
    <w:rsid w:val="005855B4"/>
    <w:rsid w:val="0058663B"/>
    <w:rsid w:val="00587DBD"/>
    <w:rsid w:val="00590998"/>
    <w:rsid w:val="005944FB"/>
    <w:rsid w:val="005975F3"/>
    <w:rsid w:val="005A0229"/>
    <w:rsid w:val="005A18AF"/>
    <w:rsid w:val="005A1E04"/>
    <w:rsid w:val="005A44ED"/>
    <w:rsid w:val="005A5792"/>
    <w:rsid w:val="005A6F8C"/>
    <w:rsid w:val="005A7124"/>
    <w:rsid w:val="005B0314"/>
    <w:rsid w:val="005B04C4"/>
    <w:rsid w:val="005B24E6"/>
    <w:rsid w:val="005B2AFC"/>
    <w:rsid w:val="005B2D06"/>
    <w:rsid w:val="005B3306"/>
    <w:rsid w:val="005B46C1"/>
    <w:rsid w:val="005B5A99"/>
    <w:rsid w:val="005B6892"/>
    <w:rsid w:val="005C045C"/>
    <w:rsid w:val="005C0C2C"/>
    <w:rsid w:val="005C1C9F"/>
    <w:rsid w:val="005C22DE"/>
    <w:rsid w:val="005C4645"/>
    <w:rsid w:val="005C73D9"/>
    <w:rsid w:val="005D2357"/>
    <w:rsid w:val="005D2CCB"/>
    <w:rsid w:val="005D30A3"/>
    <w:rsid w:val="005D473A"/>
    <w:rsid w:val="005D5B78"/>
    <w:rsid w:val="005D6590"/>
    <w:rsid w:val="005D6CCE"/>
    <w:rsid w:val="005D73E2"/>
    <w:rsid w:val="005E117B"/>
    <w:rsid w:val="005E1D56"/>
    <w:rsid w:val="005E2F80"/>
    <w:rsid w:val="005E3E60"/>
    <w:rsid w:val="005E40D9"/>
    <w:rsid w:val="005E4431"/>
    <w:rsid w:val="005E5263"/>
    <w:rsid w:val="005E671B"/>
    <w:rsid w:val="005F073C"/>
    <w:rsid w:val="005F0E1A"/>
    <w:rsid w:val="005F4FF1"/>
    <w:rsid w:val="005F5617"/>
    <w:rsid w:val="005F563D"/>
    <w:rsid w:val="005F5814"/>
    <w:rsid w:val="00600127"/>
    <w:rsid w:val="00602157"/>
    <w:rsid w:val="00603278"/>
    <w:rsid w:val="00614315"/>
    <w:rsid w:val="006152F7"/>
    <w:rsid w:val="00617367"/>
    <w:rsid w:val="00617497"/>
    <w:rsid w:val="006242A0"/>
    <w:rsid w:val="00624AD2"/>
    <w:rsid w:val="006262B9"/>
    <w:rsid w:val="00626C71"/>
    <w:rsid w:val="00630AAD"/>
    <w:rsid w:val="00632559"/>
    <w:rsid w:val="0063309F"/>
    <w:rsid w:val="0063431E"/>
    <w:rsid w:val="0063540C"/>
    <w:rsid w:val="006362ED"/>
    <w:rsid w:val="00636856"/>
    <w:rsid w:val="00636DC5"/>
    <w:rsid w:val="006370F1"/>
    <w:rsid w:val="00637D70"/>
    <w:rsid w:val="00640E41"/>
    <w:rsid w:val="00644357"/>
    <w:rsid w:val="006443CE"/>
    <w:rsid w:val="00653921"/>
    <w:rsid w:val="0065453D"/>
    <w:rsid w:val="006556C5"/>
    <w:rsid w:val="00655A41"/>
    <w:rsid w:val="00655D72"/>
    <w:rsid w:val="00656D23"/>
    <w:rsid w:val="00657017"/>
    <w:rsid w:val="00660C54"/>
    <w:rsid w:val="006616ED"/>
    <w:rsid w:val="00662007"/>
    <w:rsid w:val="006651FF"/>
    <w:rsid w:val="00665B15"/>
    <w:rsid w:val="00666DD5"/>
    <w:rsid w:val="00667E5F"/>
    <w:rsid w:val="00670133"/>
    <w:rsid w:val="00672E01"/>
    <w:rsid w:val="006749B2"/>
    <w:rsid w:val="006756C0"/>
    <w:rsid w:val="00677BC7"/>
    <w:rsid w:val="00680EEC"/>
    <w:rsid w:val="006816C5"/>
    <w:rsid w:val="006819A4"/>
    <w:rsid w:val="00681AC8"/>
    <w:rsid w:val="00681B9D"/>
    <w:rsid w:val="006820A1"/>
    <w:rsid w:val="00685973"/>
    <w:rsid w:val="00686D72"/>
    <w:rsid w:val="00691752"/>
    <w:rsid w:val="0069477F"/>
    <w:rsid w:val="006953C9"/>
    <w:rsid w:val="006A0AD1"/>
    <w:rsid w:val="006A1948"/>
    <w:rsid w:val="006A1FD3"/>
    <w:rsid w:val="006A2495"/>
    <w:rsid w:val="006A2EED"/>
    <w:rsid w:val="006A3169"/>
    <w:rsid w:val="006A375A"/>
    <w:rsid w:val="006A3C28"/>
    <w:rsid w:val="006A3C74"/>
    <w:rsid w:val="006A62D4"/>
    <w:rsid w:val="006A63E5"/>
    <w:rsid w:val="006B32BB"/>
    <w:rsid w:val="006B3848"/>
    <w:rsid w:val="006B7BF8"/>
    <w:rsid w:val="006C2518"/>
    <w:rsid w:val="006C4254"/>
    <w:rsid w:val="006C4DF2"/>
    <w:rsid w:val="006D06D9"/>
    <w:rsid w:val="006D0EBC"/>
    <w:rsid w:val="006D2E34"/>
    <w:rsid w:val="006D5C3F"/>
    <w:rsid w:val="006D7741"/>
    <w:rsid w:val="006E18C0"/>
    <w:rsid w:val="006E2BCB"/>
    <w:rsid w:val="006E31F5"/>
    <w:rsid w:val="006E3E79"/>
    <w:rsid w:val="006E4619"/>
    <w:rsid w:val="006E670C"/>
    <w:rsid w:val="006F0A2C"/>
    <w:rsid w:val="006F0CD6"/>
    <w:rsid w:val="006F1BC9"/>
    <w:rsid w:val="006F26E2"/>
    <w:rsid w:val="006F3345"/>
    <w:rsid w:val="006F420E"/>
    <w:rsid w:val="006F4C20"/>
    <w:rsid w:val="006F6DC0"/>
    <w:rsid w:val="006F788C"/>
    <w:rsid w:val="007017D3"/>
    <w:rsid w:val="007030F8"/>
    <w:rsid w:val="0070523E"/>
    <w:rsid w:val="0070564A"/>
    <w:rsid w:val="007059D6"/>
    <w:rsid w:val="00706BAD"/>
    <w:rsid w:val="00706CBB"/>
    <w:rsid w:val="00706CF0"/>
    <w:rsid w:val="007074D9"/>
    <w:rsid w:val="00707F3A"/>
    <w:rsid w:val="00710703"/>
    <w:rsid w:val="0071131B"/>
    <w:rsid w:val="0071188E"/>
    <w:rsid w:val="007158DD"/>
    <w:rsid w:val="00715E26"/>
    <w:rsid w:val="00716B32"/>
    <w:rsid w:val="007173BA"/>
    <w:rsid w:val="00717B40"/>
    <w:rsid w:val="0072058F"/>
    <w:rsid w:val="00721E0F"/>
    <w:rsid w:val="007239C1"/>
    <w:rsid w:val="00723D83"/>
    <w:rsid w:val="00724BFC"/>
    <w:rsid w:val="007310C9"/>
    <w:rsid w:val="0073139C"/>
    <w:rsid w:val="007319D3"/>
    <w:rsid w:val="0073270C"/>
    <w:rsid w:val="0073484E"/>
    <w:rsid w:val="00740BFD"/>
    <w:rsid w:val="00742FF7"/>
    <w:rsid w:val="007440B1"/>
    <w:rsid w:val="00744EAD"/>
    <w:rsid w:val="00745380"/>
    <w:rsid w:val="00750BE0"/>
    <w:rsid w:val="0075288C"/>
    <w:rsid w:val="00752D98"/>
    <w:rsid w:val="00753558"/>
    <w:rsid w:val="0075357F"/>
    <w:rsid w:val="0075721E"/>
    <w:rsid w:val="00757F80"/>
    <w:rsid w:val="0076124B"/>
    <w:rsid w:val="00762C2B"/>
    <w:rsid w:val="00764A43"/>
    <w:rsid w:val="007656CD"/>
    <w:rsid w:val="00765B2E"/>
    <w:rsid w:val="007660E3"/>
    <w:rsid w:val="00767157"/>
    <w:rsid w:val="00771F68"/>
    <w:rsid w:val="007726A9"/>
    <w:rsid w:val="00773250"/>
    <w:rsid w:val="007732C7"/>
    <w:rsid w:val="007732D5"/>
    <w:rsid w:val="00775413"/>
    <w:rsid w:val="00775A04"/>
    <w:rsid w:val="00775CCC"/>
    <w:rsid w:val="00776667"/>
    <w:rsid w:val="007767B1"/>
    <w:rsid w:val="00777366"/>
    <w:rsid w:val="007774F3"/>
    <w:rsid w:val="00777E01"/>
    <w:rsid w:val="00777E9C"/>
    <w:rsid w:val="00780117"/>
    <w:rsid w:val="00781103"/>
    <w:rsid w:val="00782235"/>
    <w:rsid w:val="00782C32"/>
    <w:rsid w:val="007833C6"/>
    <w:rsid w:val="007837CF"/>
    <w:rsid w:val="00786344"/>
    <w:rsid w:val="0078731F"/>
    <w:rsid w:val="00790027"/>
    <w:rsid w:val="007910D5"/>
    <w:rsid w:val="00793D3E"/>
    <w:rsid w:val="00794BD8"/>
    <w:rsid w:val="00794F21"/>
    <w:rsid w:val="007951A0"/>
    <w:rsid w:val="00795741"/>
    <w:rsid w:val="00796BE2"/>
    <w:rsid w:val="00797789"/>
    <w:rsid w:val="007A041F"/>
    <w:rsid w:val="007A16B5"/>
    <w:rsid w:val="007A3A0D"/>
    <w:rsid w:val="007A46D5"/>
    <w:rsid w:val="007A54C9"/>
    <w:rsid w:val="007A6030"/>
    <w:rsid w:val="007A6705"/>
    <w:rsid w:val="007A6C25"/>
    <w:rsid w:val="007B0307"/>
    <w:rsid w:val="007B18EE"/>
    <w:rsid w:val="007B2836"/>
    <w:rsid w:val="007B3BD2"/>
    <w:rsid w:val="007B496E"/>
    <w:rsid w:val="007B5EBE"/>
    <w:rsid w:val="007B7332"/>
    <w:rsid w:val="007B757C"/>
    <w:rsid w:val="007B794E"/>
    <w:rsid w:val="007B7D8B"/>
    <w:rsid w:val="007B7F19"/>
    <w:rsid w:val="007C0BA4"/>
    <w:rsid w:val="007C15BF"/>
    <w:rsid w:val="007C1F4F"/>
    <w:rsid w:val="007C2372"/>
    <w:rsid w:val="007C293A"/>
    <w:rsid w:val="007C47AA"/>
    <w:rsid w:val="007C5579"/>
    <w:rsid w:val="007C693E"/>
    <w:rsid w:val="007C75B1"/>
    <w:rsid w:val="007C7ACD"/>
    <w:rsid w:val="007D04D2"/>
    <w:rsid w:val="007D083D"/>
    <w:rsid w:val="007D09E9"/>
    <w:rsid w:val="007D1BE8"/>
    <w:rsid w:val="007D208E"/>
    <w:rsid w:val="007D2DCA"/>
    <w:rsid w:val="007D33C2"/>
    <w:rsid w:val="007D3AF5"/>
    <w:rsid w:val="007D43EE"/>
    <w:rsid w:val="007D4954"/>
    <w:rsid w:val="007E0B21"/>
    <w:rsid w:val="007E24B5"/>
    <w:rsid w:val="007E4B0E"/>
    <w:rsid w:val="007E6D19"/>
    <w:rsid w:val="007E798A"/>
    <w:rsid w:val="007E7CFC"/>
    <w:rsid w:val="007F0FE4"/>
    <w:rsid w:val="007F24F8"/>
    <w:rsid w:val="007F2D38"/>
    <w:rsid w:val="007F3545"/>
    <w:rsid w:val="007F4B66"/>
    <w:rsid w:val="007F678E"/>
    <w:rsid w:val="008008B6"/>
    <w:rsid w:val="00800CE8"/>
    <w:rsid w:val="00803A01"/>
    <w:rsid w:val="00805FF2"/>
    <w:rsid w:val="0080664D"/>
    <w:rsid w:val="00811CC3"/>
    <w:rsid w:val="00817C17"/>
    <w:rsid w:val="0082061E"/>
    <w:rsid w:val="00821AE5"/>
    <w:rsid w:val="0082205B"/>
    <w:rsid w:val="008229CF"/>
    <w:rsid w:val="00823BF9"/>
    <w:rsid w:val="00823CF4"/>
    <w:rsid w:val="008241CC"/>
    <w:rsid w:val="008244BF"/>
    <w:rsid w:val="0082658B"/>
    <w:rsid w:val="00827CE9"/>
    <w:rsid w:val="00830678"/>
    <w:rsid w:val="00832A9D"/>
    <w:rsid w:val="00833A30"/>
    <w:rsid w:val="00835327"/>
    <w:rsid w:val="0083707D"/>
    <w:rsid w:val="00840C94"/>
    <w:rsid w:val="00840E31"/>
    <w:rsid w:val="0084142D"/>
    <w:rsid w:val="00843D2A"/>
    <w:rsid w:val="00847814"/>
    <w:rsid w:val="00850094"/>
    <w:rsid w:val="00850AEB"/>
    <w:rsid w:val="008510CF"/>
    <w:rsid w:val="00853EA4"/>
    <w:rsid w:val="008549CD"/>
    <w:rsid w:val="0085546A"/>
    <w:rsid w:val="008605C6"/>
    <w:rsid w:val="0086291C"/>
    <w:rsid w:val="00864B1E"/>
    <w:rsid w:val="00864B88"/>
    <w:rsid w:val="00864CC6"/>
    <w:rsid w:val="00865412"/>
    <w:rsid w:val="00866668"/>
    <w:rsid w:val="00866F36"/>
    <w:rsid w:val="00871E1F"/>
    <w:rsid w:val="00873260"/>
    <w:rsid w:val="0087484D"/>
    <w:rsid w:val="008755EA"/>
    <w:rsid w:val="00875E2A"/>
    <w:rsid w:val="00876E7E"/>
    <w:rsid w:val="00880314"/>
    <w:rsid w:val="00880AAE"/>
    <w:rsid w:val="00880AD5"/>
    <w:rsid w:val="0088228C"/>
    <w:rsid w:val="00883562"/>
    <w:rsid w:val="00883DB0"/>
    <w:rsid w:val="008879D4"/>
    <w:rsid w:val="008901C2"/>
    <w:rsid w:val="00892388"/>
    <w:rsid w:val="00895CF3"/>
    <w:rsid w:val="00895FAB"/>
    <w:rsid w:val="008A02CA"/>
    <w:rsid w:val="008A1681"/>
    <w:rsid w:val="008A29DD"/>
    <w:rsid w:val="008A3D38"/>
    <w:rsid w:val="008A3F63"/>
    <w:rsid w:val="008A643D"/>
    <w:rsid w:val="008A6519"/>
    <w:rsid w:val="008A7915"/>
    <w:rsid w:val="008A7B48"/>
    <w:rsid w:val="008B2B4E"/>
    <w:rsid w:val="008B360F"/>
    <w:rsid w:val="008B36A0"/>
    <w:rsid w:val="008B3C37"/>
    <w:rsid w:val="008B5CF8"/>
    <w:rsid w:val="008B63B5"/>
    <w:rsid w:val="008C07DC"/>
    <w:rsid w:val="008C0F8D"/>
    <w:rsid w:val="008C0FB8"/>
    <w:rsid w:val="008C31B0"/>
    <w:rsid w:val="008C5731"/>
    <w:rsid w:val="008C7F66"/>
    <w:rsid w:val="008D1CBA"/>
    <w:rsid w:val="008D22FB"/>
    <w:rsid w:val="008D2D7C"/>
    <w:rsid w:val="008D3044"/>
    <w:rsid w:val="008D3B81"/>
    <w:rsid w:val="008D6957"/>
    <w:rsid w:val="008D6E82"/>
    <w:rsid w:val="008D760B"/>
    <w:rsid w:val="008E07DC"/>
    <w:rsid w:val="008E0A46"/>
    <w:rsid w:val="008E1B53"/>
    <w:rsid w:val="008E2C13"/>
    <w:rsid w:val="008E3BEF"/>
    <w:rsid w:val="008E4BB9"/>
    <w:rsid w:val="008F169B"/>
    <w:rsid w:val="008F1859"/>
    <w:rsid w:val="008F1DF6"/>
    <w:rsid w:val="008F3231"/>
    <w:rsid w:val="008F35BB"/>
    <w:rsid w:val="008F6632"/>
    <w:rsid w:val="008F697B"/>
    <w:rsid w:val="008F7330"/>
    <w:rsid w:val="009001D6"/>
    <w:rsid w:val="00902357"/>
    <w:rsid w:val="00904291"/>
    <w:rsid w:val="00906A8C"/>
    <w:rsid w:val="00907961"/>
    <w:rsid w:val="00911C4D"/>
    <w:rsid w:val="00912EC3"/>
    <w:rsid w:val="00914F6E"/>
    <w:rsid w:val="0091551F"/>
    <w:rsid w:val="00916392"/>
    <w:rsid w:val="009166CE"/>
    <w:rsid w:val="0091701C"/>
    <w:rsid w:val="009179F2"/>
    <w:rsid w:val="00921709"/>
    <w:rsid w:val="00921AE5"/>
    <w:rsid w:val="00925F40"/>
    <w:rsid w:val="00927334"/>
    <w:rsid w:val="009279A9"/>
    <w:rsid w:val="00927EAE"/>
    <w:rsid w:val="009322C7"/>
    <w:rsid w:val="00932C00"/>
    <w:rsid w:val="009418DE"/>
    <w:rsid w:val="0094231F"/>
    <w:rsid w:val="00942456"/>
    <w:rsid w:val="00942FD8"/>
    <w:rsid w:val="009440C0"/>
    <w:rsid w:val="00950AD3"/>
    <w:rsid w:val="00950D2A"/>
    <w:rsid w:val="009537D8"/>
    <w:rsid w:val="0095546A"/>
    <w:rsid w:val="00957133"/>
    <w:rsid w:val="00957224"/>
    <w:rsid w:val="00961410"/>
    <w:rsid w:val="009629B3"/>
    <w:rsid w:val="009633A6"/>
    <w:rsid w:val="00963914"/>
    <w:rsid w:val="009639D3"/>
    <w:rsid w:val="009661ED"/>
    <w:rsid w:val="0096651A"/>
    <w:rsid w:val="00966B3A"/>
    <w:rsid w:val="00971430"/>
    <w:rsid w:val="00971A52"/>
    <w:rsid w:val="00973CBA"/>
    <w:rsid w:val="00975120"/>
    <w:rsid w:val="00975B58"/>
    <w:rsid w:val="00975E44"/>
    <w:rsid w:val="00977A73"/>
    <w:rsid w:val="00977DFA"/>
    <w:rsid w:val="00981C3A"/>
    <w:rsid w:val="00982E96"/>
    <w:rsid w:val="00982F70"/>
    <w:rsid w:val="009846D5"/>
    <w:rsid w:val="0098586F"/>
    <w:rsid w:val="00985D79"/>
    <w:rsid w:val="00985FF1"/>
    <w:rsid w:val="00992415"/>
    <w:rsid w:val="0099499C"/>
    <w:rsid w:val="009971F5"/>
    <w:rsid w:val="009A02CA"/>
    <w:rsid w:val="009A03C0"/>
    <w:rsid w:val="009A0B6E"/>
    <w:rsid w:val="009A273D"/>
    <w:rsid w:val="009A6395"/>
    <w:rsid w:val="009A6DE3"/>
    <w:rsid w:val="009A766F"/>
    <w:rsid w:val="009B19CB"/>
    <w:rsid w:val="009B1C34"/>
    <w:rsid w:val="009B2A17"/>
    <w:rsid w:val="009B604D"/>
    <w:rsid w:val="009B6A5F"/>
    <w:rsid w:val="009B75DE"/>
    <w:rsid w:val="009B7673"/>
    <w:rsid w:val="009C2441"/>
    <w:rsid w:val="009C365D"/>
    <w:rsid w:val="009C37DB"/>
    <w:rsid w:val="009C3FA2"/>
    <w:rsid w:val="009C4096"/>
    <w:rsid w:val="009C4100"/>
    <w:rsid w:val="009C5244"/>
    <w:rsid w:val="009D01AF"/>
    <w:rsid w:val="009D0337"/>
    <w:rsid w:val="009D0AFC"/>
    <w:rsid w:val="009D1F1E"/>
    <w:rsid w:val="009D3F5E"/>
    <w:rsid w:val="009D4584"/>
    <w:rsid w:val="009D7588"/>
    <w:rsid w:val="009D75BF"/>
    <w:rsid w:val="009E0783"/>
    <w:rsid w:val="009E154C"/>
    <w:rsid w:val="009E1A64"/>
    <w:rsid w:val="009E2602"/>
    <w:rsid w:val="009E48FB"/>
    <w:rsid w:val="009E65A0"/>
    <w:rsid w:val="009E66AE"/>
    <w:rsid w:val="009F13D8"/>
    <w:rsid w:val="009F27ED"/>
    <w:rsid w:val="009F29CE"/>
    <w:rsid w:val="009F3869"/>
    <w:rsid w:val="009F5802"/>
    <w:rsid w:val="009F58F2"/>
    <w:rsid w:val="00A00687"/>
    <w:rsid w:val="00A00898"/>
    <w:rsid w:val="00A0334F"/>
    <w:rsid w:val="00A06B18"/>
    <w:rsid w:val="00A076DF"/>
    <w:rsid w:val="00A07DE8"/>
    <w:rsid w:val="00A113DF"/>
    <w:rsid w:val="00A22943"/>
    <w:rsid w:val="00A24F78"/>
    <w:rsid w:val="00A3005E"/>
    <w:rsid w:val="00A324C5"/>
    <w:rsid w:val="00A328B4"/>
    <w:rsid w:val="00A32B81"/>
    <w:rsid w:val="00A333F6"/>
    <w:rsid w:val="00A338D8"/>
    <w:rsid w:val="00A37415"/>
    <w:rsid w:val="00A411AC"/>
    <w:rsid w:val="00A44E88"/>
    <w:rsid w:val="00A44EC7"/>
    <w:rsid w:val="00A453EE"/>
    <w:rsid w:val="00A45EAC"/>
    <w:rsid w:val="00A46CD4"/>
    <w:rsid w:val="00A47F8A"/>
    <w:rsid w:val="00A505AE"/>
    <w:rsid w:val="00A52608"/>
    <w:rsid w:val="00A52C9B"/>
    <w:rsid w:val="00A551E9"/>
    <w:rsid w:val="00A57829"/>
    <w:rsid w:val="00A57F7E"/>
    <w:rsid w:val="00A623DA"/>
    <w:rsid w:val="00A64775"/>
    <w:rsid w:val="00A64BAF"/>
    <w:rsid w:val="00A652E1"/>
    <w:rsid w:val="00A6752E"/>
    <w:rsid w:val="00A67F5C"/>
    <w:rsid w:val="00A70B33"/>
    <w:rsid w:val="00A718AE"/>
    <w:rsid w:val="00A7232F"/>
    <w:rsid w:val="00A744BE"/>
    <w:rsid w:val="00A7552A"/>
    <w:rsid w:val="00A75863"/>
    <w:rsid w:val="00A758CB"/>
    <w:rsid w:val="00A75F6A"/>
    <w:rsid w:val="00A82EB7"/>
    <w:rsid w:val="00A83507"/>
    <w:rsid w:val="00A86FCA"/>
    <w:rsid w:val="00A877A8"/>
    <w:rsid w:val="00A87E84"/>
    <w:rsid w:val="00A95494"/>
    <w:rsid w:val="00A9666B"/>
    <w:rsid w:val="00AA0AB6"/>
    <w:rsid w:val="00AA2453"/>
    <w:rsid w:val="00AA264C"/>
    <w:rsid w:val="00AA345D"/>
    <w:rsid w:val="00AA41DF"/>
    <w:rsid w:val="00AA65FC"/>
    <w:rsid w:val="00AB12C0"/>
    <w:rsid w:val="00AB50BA"/>
    <w:rsid w:val="00AB5A84"/>
    <w:rsid w:val="00AB5D7D"/>
    <w:rsid w:val="00AB6DD9"/>
    <w:rsid w:val="00AC22ED"/>
    <w:rsid w:val="00AC238F"/>
    <w:rsid w:val="00AC247D"/>
    <w:rsid w:val="00AC297E"/>
    <w:rsid w:val="00AC2DDF"/>
    <w:rsid w:val="00AC3D72"/>
    <w:rsid w:val="00AC3FAC"/>
    <w:rsid w:val="00AC551D"/>
    <w:rsid w:val="00AC62D2"/>
    <w:rsid w:val="00AC66B7"/>
    <w:rsid w:val="00AD2662"/>
    <w:rsid w:val="00AD3258"/>
    <w:rsid w:val="00AD456C"/>
    <w:rsid w:val="00AD4784"/>
    <w:rsid w:val="00AD5920"/>
    <w:rsid w:val="00AD6B00"/>
    <w:rsid w:val="00AD7CC5"/>
    <w:rsid w:val="00AE097E"/>
    <w:rsid w:val="00AE36CB"/>
    <w:rsid w:val="00AE3B9F"/>
    <w:rsid w:val="00AE4CC5"/>
    <w:rsid w:val="00AE7594"/>
    <w:rsid w:val="00AF0F5C"/>
    <w:rsid w:val="00AF1214"/>
    <w:rsid w:val="00AF1D7A"/>
    <w:rsid w:val="00AF2C16"/>
    <w:rsid w:val="00AF378D"/>
    <w:rsid w:val="00AF4AD6"/>
    <w:rsid w:val="00AF6372"/>
    <w:rsid w:val="00AF7599"/>
    <w:rsid w:val="00AF7A0B"/>
    <w:rsid w:val="00B004CA"/>
    <w:rsid w:val="00B0117A"/>
    <w:rsid w:val="00B019DD"/>
    <w:rsid w:val="00B01DD8"/>
    <w:rsid w:val="00B050B2"/>
    <w:rsid w:val="00B05FAF"/>
    <w:rsid w:val="00B062D2"/>
    <w:rsid w:val="00B12624"/>
    <w:rsid w:val="00B12708"/>
    <w:rsid w:val="00B13BA4"/>
    <w:rsid w:val="00B14927"/>
    <w:rsid w:val="00B16054"/>
    <w:rsid w:val="00B1632A"/>
    <w:rsid w:val="00B17244"/>
    <w:rsid w:val="00B17C01"/>
    <w:rsid w:val="00B17D6F"/>
    <w:rsid w:val="00B21ACC"/>
    <w:rsid w:val="00B228CE"/>
    <w:rsid w:val="00B22D67"/>
    <w:rsid w:val="00B231F5"/>
    <w:rsid w:val="00B23B1B"/>
    <w:rsid w:val="00B25880"/>
    <w:rsid w:val="00B26E77"/>
    <w:rsid w:val="00B2754E"/>
    <w:rsid w:val="00B30DE9"/>
    <w:rsid w:val="00B32217"/>
    <w:rsid w:val="00B370BE"/>
    <w:rsid w:val="00B40F0D"/>
    <w:rsid w:val="00B43112"/>
    <w:rsid w:val="00B446F7"/>
    <w:rsid w:val="00B449A1"/>
    <w:rsid w:val="00B45B0E"/>
    <w:rsid w:val="00B45C46"/>
    <w:rsid w:val="00B46917"/>
    <w:rsid w:val="00B46A72"/>
    <w:rsid w:val="00B47BA7"/>
    <w:rsid w:val="00B50EE9"/>
    <w:rsid w:val="00B51B4A"/>
    <w:rsid w:val="00B52263"/>
    <w:rsid w:val="00B52548"/>
    <w:rsid w:val="00B52C6B"/>
    <w:rsid w:val="00B5434E"/>
    <w:rsid w:val="00B5479C"/>
    <w:rsid w:val="00B553AE"/>
    <w:rsid w:val="00B5588B"/>
    <w:rsid w:val="00B57A1E"/>
    <w:rsid w:val="00B60049"/>
    <w:rsid w:val="00B60773"/>
    <w:rsid w:val="00B616F8"/>
    <w:rsid w:val="00B62813"/>
    <w:rsid w:val="00B63211"/>
    <w:rsid w:val="00B6389D"/>
    <w:rsid w:val="00B6518F"/>
    <w:rsid w:val="00B66084"/>
    <w:rsid w:val="00B66A17"/>
    <w:rsid w:val="00B66E5B"/>
    <w:rsid w:val="00B67428"/>
    <w:rsid w:val="00B70BB1"/>
    <w:rsid w:val="00B71949"/>
    <w:rsid w:val="00B72742"/>
    <w:rsid w:val="00B82829"/>
    <w:rsid w:val="00B83BBB"/>
    <w:rsid w:val="00B84A31"/>
    <w:rsid w:val="00B8645F"/>
    <w:rsid w:val="00B90561"/>
    <w:rsid w:val="00B93CD3"/>
    <w:rsid w:val="00B941C4"/>
    <w:rsid w:val="00B94261"/>
    <w:rsid w:val="00B95AEB"/>
    <w:rsid w:val="00B97370"/>
    <w:rsid w:val="00BA033D"/>
    <w:rsid w:val="00BA0875"/>
    <w:rsid w:val="00BA0AAF"/>
    <w:rsid w:val="00BA2074"/>
    <w:rsid w:val="00BA32AC"/>
    <w:rsid w:val="00BA33E1"/>
    <w:rsid w:val="00BA5AFF"/>
    <w:rsid w:val="00BA68FD"/>
    <w:rsid w:val="00BA6A3A"/>
    <w:rsid w:val="00BA6A7D"/>
    <w:rsid w:val="00BA6E6D"/>
    <w:rsid w:val="00BA76E1"/>
    <w:rsid w:val="00BB0BDA"/>
    <w:rsid w:val="00BB17B3"/>
    <w:rsid w:val="00BB186D"/>
    <w:rsid w:val="00BB1B97"/>
    <w:rsid w:val="00BB2404"/>
    <w:rsid w:val="00BB32AE"/>
    <w:rsid w:val="00BB4A5F"/>
    <w:rsid w:val="00BC0B20"/>
    <w:rsid w:val="00BC1AB6"/>
    <w:rsid w:val="00BC23DB"/>
    <w:rsid w:val="00BC24C8"/>
    <w:rsid w:val="00BC251A"/>
    <w:rsid w:val="00BC2F16"/>
    <w:rsid w:val="00BC356F"/>
    <w:rsid w:val="00BC3B8B"/>
    <w:rsid w:val="00BC50F0"/>
    <w:rsid w:val="00BC60BF"/>
    <w:rsid w:val="00BC6746"/>
    <w:rsid w:val="00BC73C3"/>
    <w:rsid w:val="00BC7476"/>
    <w:rsid w:val="00BD1909"/>
    <w:rsid w:val="00BD57EF"/>
    <w:rsid w:val="00BD667B"/>
    <w:rsid w:val="00BD75D9"/>
    <w:rsid w:val="00BE0BAD"/>
    <w:rsid w:val="00BE0F68"/>
    <w:rsid w:val="00BE14BA"/>
    <w:rsid w:val="00BE19E9"/>
    <w:rsid w:val="00BE1B6E"/>
    <w:rsid w:val="00BE24B7"/>
    <w:rsid w:val="00BE29DA"/>
    <w:rsid w:val="00BE396C"/>
    <w:rsid w:val="00BE4147"/>
    <w:rsid w:val="00BE6354"/>
    <w:rsid w:val="00BE7683"/>
    <w:rsid w:val="00BE7D7D"/>
    <w:rsid w:val="00BF2770"/>
    <w:rsid w:val="00BF359C"/>
    <w:rsid w:val="00BF3602"/>
    <w:rsid w:val="00BF3B3F"/>
    <w:rsid w:val="00BF498B"/>
    <w:rsid w:val="00BF5718"/>
    <w:rsid w:val="00BF5A3B"/>
    <w:rsid w:val="00BF5CAA"/>
    <w:rsid w:val="00BF72B0"/>
    <w:rsid w:val="00C01023"/>
    <w:rsid w:val="00C01B0F"/>
    <w:rsid w:val="00C0229F"/>
    <w:rsid w:val="00C0289F"/>
    <w:rsid w:val="00C035F8"/>
    <w:rsid w:val="00C0573C"/>
    <w:rsid w:val="00C1032A"/>
    <w:rsid w:val="00C13BA5"/>
    <w:rsid w:val="00C167AD"/>
    <w:rsid w:val="00C177E6"/>
    <w:rsid w:val="00C20058"/>
    <w:rsid w:val="00C21B43"/>
    <w:rsid w:val="00C23CFF"/>
    <w:rsid w:val="00C24BC9"/>
    <w:rsid w:val="00C33CD6"/>
    <w:rsid w:val="00C37DB6"/>
    <w:rsid w:val="00C40339"/>
    <w:rsid w:val="00C40EC8"/>
    <w:rsid w:val="00C41BAB"/>
    <w:rsid w:val="00C41E09"/>
    <w:rsid w:val="00C42383"/>
    <w:rsid w:val="00C44875"/>
    <w:rsid w:val="00C44CDE"/>
    <w:rsid w:val="00C4703D"/>
    <w:rsid w:val="00C54B0C"/>
    <w:rsid w:val="00C55534"/>
    <w:rsid w:val="00C55DB3"/>
    <w:rsid w:val="00C579D0"/>
    <w:rsid w:val="00C57F96"/>
    <w:rsid w:val="00C605B7"/>
    <w:rsid w:val="00C61C1A"/>
    <w:rsid w:val="00C61CCF"/>
    <w:rsid w:val="00C61F76"/>
    <w:rsid w:val="00C639E0"/>
    <w:rsid w:val="00C6411E"/>
    <w:rsid w:val="00C6527D"/>
    <w:rsid w:val="00C670AF"/>
    <w:rsid w:val="00C6772E"/>
    <w:rsid w:val="00C67B37"/>
    <w:rsid w:val="00C73020"/>
    <w:rsid w:val="00C762A8"/>
    <w:rsid w:val="00C77769"/>
    <w:rsid w:val="00C777B2"/>
    <w:rsid w:val="00C77ACA"/>
    <w:rsid w:val="00C77F65"/>
    <w:rsid w:val="00C80AF0"/>
    <w:rsid w:val="00C81EC7"/>
    <w:rsid w:val="00C86338"/>
    <w:rsid w:val="00C86B53"/>
    <w:rsid w:val="00C87F23"/>
    <w:rsid w:val="00C90C86"/>
    <w:rsid w:val="00C90EB8"/>
    <w:rsid w:val="00C91DAD"/>
    <w:rsid w:val="00C94113"/>
    <w:rsid w:val="00C94D7B"/>
    <w:rsid w:val="00C950D0"/>
    <w:rsid w:val="00C9535A"/>
    <w:rsid w:val="00C95543"/>
    <w:rsid w:val="00CA07FC"/>
    <w:rsid w:val="00CA221E"/>
    <w:rsid w:val="00CA379A"/>
    <w:rsid w:val="00CA4644"/>
    <w:rsid w:val="00CA4D8D"/>
    <w:rsid w:val="00CA507C"/>
    <w:rsid w:val="00CA550C"/>
    <w:rsid w:val="00CA703C"/>
    <w:rsid w:val="00CA77D6"/>
    <w:rsid w:val="00CB1DD7"/>
    <w:rsid w:val="00CB34EB"/>
    <w:rsid w:val="00CB37CB"/>
    <w:rsid w:val="00CB4CB0"/>
    <w:rsid w:val="00CB5F0A"/>
    <w:rsid w:val="00CB6006"/>
    <w:rsid w:val="00CC3A68"/>
    <w:rsid w:val="00CC4A0A"/>
    <w:rsid w:val="00CC4D56"/>
    <w:rsid w:val="00CC7E74"/>
    <w:rsid w:val="00CD288B"/>
    <w:rsid w:val="00CD2A6F"/>
    <w:rsid w:val="00CD61E6"/>
    <w:rsid w:val="00CD6370"/>
    <w:rsid w:val="00CD6E14"/>
    <w:rsid w:val="00CD738D"/>
    <w:rsid w:val="00CD7609"/>
    <w:rsid w:val="00CE1CA3"/>
    <w:rsid w:val="00CE1FDE"/>
    <w:rsid w:val="00CE6352"/>
    <w:rsid w:val="00CE6B7B"/>
    <w:rsid w:val="00CF160B"/>
    <w:rsid w:val="00CF1610"/>
    <w:rsid w:val="00CF2441"/>
    <w:rsid w:val="00CF2C5B"/>
    <w:rsid w:val="00CF326A"/>
    <w:rsid w:val="00CF409F"/>
    <w:rsid w:val="00CF44FE"/>
    <w:rsid w:val="00CF6D3E"/>
    <w:rsid w:val="00D01C95"/>
    <w:rsid w:val="00D02524"/>
    <w:rsid w:val="00D04149"/>
    <w:rsid w:val="00D06362"/>
    <w:rsid w:val="00D06444"/>
    <w:rsid w:val="00D069B7"/>
    <w:rsid w:val="00D07CC7"/>
    <w:rsid w:val="00D1057E"/>
    <w:rsid w:val="00D117FC"/>
    <w:rsid w:val="00D12BA1"/>
    <w:rsid w:val="00D137A1"/>
    <w:rsid w:val="00D145CC"/>
    <w:rsid w:val="00D1644B"/>
    <w:rsid w:val="00D17D0C"/>
    <w:rsid w:val="00D22BB5"/>
    <w:rsid w:val="00D234D3"/>
    <w:rsid w:val="00D2405B"/>
    <w:rsid w:val="00D24464"/>
    <w:rsid w:val="00D24863"/>
    <w:rsid w:val="00D24890"/>
    <w:rsid w:val="00D24B7E"/>
    <w:rsid w:val="00D266D4"/>
    <w:rsid w:val="00D30890"/>
    <w:rsid w:val="00D335EA"/>
    <w:rsid w:val="00D33B2A"/>
    <w:rsid w:val="00D34231"/>
    <w:rsid w:val="00D34DB6"/>
    <w:rsid w:val="00D35632"/>
    <w:rsid w:val="00D35692"/>
    <w:rsid w:val="00D40A42"/>
    <w:rsid w:val="00D415EC"/>
    <w:rsid w:val="00D422A4"/>
    <w:rsid w:val="00D428E9"/>
    <w:rsid w:val="00D43791"/>
    <w:rsid w:val="00D4379F"/>
    <w:rsid w:val="00D43AAC"/>
    <w:rsid w:val="00D456D4"/>
    <w:rsid w:val="00D4580B"/>
    <w:rsid w:val="00D47BC3"/>
    <w:rsid w:val="00D5027C"/>
    <w:rsid w:val="00D50388"/>
    <w:rsid w:val="00D51EDE"/>
    <w:rsid w:val="00D54BB3"/>
    <w:rsid w:val="00D55203"/>
    <w:rsid w:val="00D5545C"/>
    <w:rsid w:val="00D55CA0"/>
    <w:rsid w:val="00D55CC1"/>
    <w:rsid w:val="00D56F1B"/>
    <w:rsid w:val="00D57143"/>
    <w:rsid w:val="00D574FA"/>
    <w:rsid w:val="00D578A6"/>
    <w:rsid w:val="00D5790B"/>
    <w:rsid w:val="00D57CDA"/>
    <w:rsid w:val="00D60A61"/>
    <w:rsid w:val="00D618CA"/>
    <w:rsid w:val="00D6606A"/>
    <w:rsid w:val="00D66125"/>
    <w:rsid w:val="00D66C39"/>
    <w:rsid w:val="00D72C7F"/>
    <w:rsid w:val="00D73780"/>
    <w:rsid w:val="00D73816"/>
    <w:rsid w:val="00D73B2F"/>
    <w:rsid w:val="00D742F6"/>
    <w:rsid w:val="00D74678"/>
    <w:rsid w:val="00D762F8"/>
    <w:rsid w:val="00D775F7"/>
    <w:rsid w:val="00D77D93"/>
    <w:rsid w:val="00D77DE7"/>
    <w:rsid w:val="00D81696"/>
    <w:rsid w:val="00D83FE9"/>
    <w:rsid w:val="00D85C3C"/>
    <w:rsid w:val="00D86569"/>
    <w:rsid w:val="00D86999"/>
    <w:rsid w:val="00D909C1"/>
    <w:rsid w:val="00D90B03"/>
    <w:rsid w:val="00D90D70"/>
    <w:rsid w:val="00D91237"/>
    <w:rsid w:val="00D912E4"/>
    <w:rsid w:val="00D92DFE"/>
    <w:rsid w:val="00D93D67"/>
    <w:rsid w:val="00D94F41"/>
    <w:rsid w:val="00D9569C"/>
    <w:rsid w:val="00D9670F"/>
    <w:rsid w:val="00D96BEF"/>
    <w:rsid w:val="00D97435"/>
    <w:rsid w:val="00DA0ACD"/>
    <w:rsid w:val="00DA171F"/>
    <w:rsid w:val="00DA3CC9"/>
    <w:rsid w:val="00DA3DBD"/>
    <w:rsid w:val="00DA4028"/>
    <w:rsid w:val="00DA65D5"/>
    <w:rsid w:val="00DB1CF5"/>
    <w:rsid w:val="00DB42F4"/>
    <w:rsid w:val="00DB534C"/>
    <w:rsid w:val="00DB5534"/>
    <w:rsid w:val="00DB5551"/>
    <w:rsid w:val="00DB6E89"/>
    <w:rsid w:val="00DB75FA"/>
    <w:rsid w:val="00DC0086"/>
    <w:rsid w:val="00DC079B"/>
    <w:rsid w:val="00DC2418"/>
    <w:rsid w:val="00DC3C13"/>
    <w:rsid w:val="00DC48CC"/>
    <w:rsid w:val="00DC5AB3"/>
    <w:rsid w:val="00DC5EEE"/>
    <w:rsid w:val="00DC79D9"/>
    <w:rsid w:val="00DC7A63"/>
    <w:rsid w:val="00DD0EA9"/>
    <w:rsid w:val="00DD5FE0"/>
    <w:rsid w:val="00DE1E53"/>
    <w:rsid w:val="00DE285E"/>
    <w:rsid w:val="00DE2979"/>
    <w:rsid w:val="00DE4BD1"/>
    <w:rsid w:val="00DE61F9"/>
    <w:rsid w:val="00DE663F"/>
    <w:rsid w:val="00DE6FA4"/>
    <w:rsid w:val="00DF0137"/>
    <w:rsid w:val="00DF0230"/>
    <w:rsid w:val="00DF32A5"/>
    <w:rsid w:val="00DF3FF8"/>
    <w:rsid w:val="00DF4BDE"/>
    <w:rsid w:val="00DF5F39"/>
    <w:rsid w:val="00DF6F1C"/>
    <w:rsid w:val="00DF7824"/>
    <w:rsid w:val="00E0141A"/>
    <w:rsid w:val="00E01508"/>
    <w:rsid w:val="00E051D3"/>
    <w:rsid w:val="00E05AB1"/>
    <w:rsid w:val="00E05DE9"/>
    <w:rsid w:val="00E10167"/>
    <w:rsid w:val="00E1181A"/>
    <w:rsid w:val="00E11E77"/>
    <w:rsid w:val="00E12A2C"/>
    <w:rsid w:val="00E12AFD"/>
    <w:rsid w:val="00E16363"/>
    <w:rsid w:val="00E167A1"/>
    <w:rsid w:val="00E16951"/>
    <w:rsid w:val="00E173DC"/>
    <w:rsid w:val="00E177B6"/>
    <w:rsid w:val="00E204D8"/>
    <w:rsid w:val="00E20FD7"/>
    <w:rsid w:val="00E21331"/>
    <w:rsid w:val="00E219AF"/>
    <w:rsid w:val="00E21E72"/>
    <w:rsid w:val="00E22371"/>
    <w:rsid w:val="00E22E02"/>
    <w:rsid w:val="00E23346"/>
    <w:rsid w:val="00E23448"/>
    <w:rsid w:val="00E2455F"/>
    <w:rsid w:val="00E27A42"/>
    <w:rsid w:val="00E27C92"/>
    <w:rsid w:val="00E31FA7"/>
    <w:rsid w:val="00E32A21"/>
    <w:rsid w:val="00E3522E"/>
    <w:rsid w:val="00E35999"/>
    <w:rsid w:val="00E35CB9"/>
    <w:rsid w:val="00E36791"/>
    <w:rsid w:val="00E36E46"/>
    <w:rsid w:val="00E42934"/>
    <w:rsid w:val="00E45475"/>
    <w:rsid w:val="00E466C2"/>
    <w:rsid w:val="00E46A91"/>
    <w:rsid w:val="00E46E8A"/>
    <w:rsid w:val="00E50091"/>
    <w:rsid w:val="00E5048C"/>
    <w:rsid w:val="00E50822"/>
    <w:rsid w:val="00E51016"/>
    <w:rsid w:val="00E51B47"/>
    <w:rsid w:val="00E52CFB"/>
    <w:rsid w:val="00E5396D"/>
    <w:rsid w:val="00E543A5"/>
    <w:rsid w:val="00E54950"/>
    <w:rsid w:val="00E54F1C"/>
    <w:rsid w:val="00E554BC"/>
    <w:rsid w:val="00E555B5"/>
    <w:rsid w:val="00E613D8"/>
    <w:rsid w:val="00E648F5"/>
    <w:rsid w:val="00E65104"/>
    <w:rsid w:val="00E65E5E"/>
    <w:rsid w:val="00E735EA"/>
    <w:rsid w:val="00E73952"/>
    <w:rsid w:val="00E75153"/>
    <w:rsid w:val="00E75281"/>
    <w:rsid w:val="00E77FFD"/>
    <w:rsid w:val="00E80D67"/>
    <w:rsid w:val="00E811EE"/>
    <w:rsid w:val="00E81B9E"/>
    <w:rsid w:val="00E81EE0"/>
    <w:rsid w:val="00E846CE"/>
    <w:rsid w:val="00E849FE"/>
    <w:rsid w:val="00E85CA6"/>
    <w:rsid w:val="00E866DD"/>
    <w:rsid w:val="00E86B91"/>
    <w:rsid w:val="00E91971"/>
    <w:rsid w:val="00E92A30"/>
    <w:rsid w:val="00E935B4"/>
    <w:rsid w:val="00E93E5F"/>
    <w:rsid w:val="00E94664"/>
    <w:rsid w:val="00E9575D"/>
    <w:rsid w:val="00E9597B"/>
    <w:rsid w:val="00E95B1C"/>
    <w:rsid w:val="00E95C18"/>
    <w:rsid w:val="00EA06F3"/>
    <w:rsid w:val="00EA0A76"/>
    <w:rsid w:val="00EA0DA5"/>
    <w:rsid w:val="00EA295A"/>
    <w:rsid w:val="00EA4A16"/>
    <w:rsid w:val="00EA5CAE"/>
    <w:rsid w:val="00EB1BC7"/>
    <w:rsid w:val="00EB22E7"/>
    <w:rsid w:val="00EB42C5"/>
    <w:rsid w:val="00EB5041"/>
    <w:rsid w:val="00EB568B"/>
    <w:rsid w:val="00EB72D6"/>
    <w:rsid w:val="00EB7C08"/>
    <w:rsid w:val="00EB7D9A"/>
    <w:rsid w:val="00EC14CE"/>
    <w:rsid w:val="00EC2B7E"/>
    <w:rsid w:val="00EC43F6"/>
    <w:rsid w:val="00EC4AA1"/>
    <w:rsid w:val="00EC537A"/>
    <w:rsid w:val="00EC5728"/>
    <w:rsid w:val="00EC7BE4"/>
    <w:rsid w:val="00ED061E"/>
    <w:rsid w:val="00ED1F8E"/>
    <w:rsid w:val="00ED2306"/>
    <w:rsid w:val="00ED23E7"/>
    <w:rsid w:val="00ED2D5D"/>
    <w:rsid w:val="00ED4033"/>
    <w:rsid w:val="00ED75EA"/>
    <w:rsid w:val="00ED7716"/>
    <w:rsid w:val="00EE2E46"/>
    <w:rsid w:val="00EE3B31"/>
    <w:rsid w:val="00EE5856"/>
    <w:rsid w:val="00EE7297"/>
    <w:rsid w:val="00EF01EB"/>
    <w:rsid w:val="00EF4F3B"/>
    <w:rsid w:val="00EF5466"/>
    <w:rsid w:val="00EF72C5"/>
    <w:rsid w:val="00F027C6"/>
    <w:rsid w:val="00F04160"/>
    <w:rsid w:val="00F04AF3"/>
    <w:rsid w:val="00F05F74"/>
    <w:rsid w:val="00F06D8A"/>
    <w:rsid w:val="00F13C46"/>
    <w:rsid w:val="00F14D62"/>
    <w:rsid w:val="00F150CF"/>
    <w:rsid w:val="00F15291"/>
    <w:rsid w:val="00F16394"/>
    <w:rsid w:val="00F16528"/>
    <w:rsid w:val="00F202C5"/>
    <w:rsid w:val="00F21085"/>
    <w:rsid w:val="00F214AC"/>
    <w:rsid w:val="00F22035"/>
    <w:rsid w:val="00F2325D"/>
    <w:rsid w:val="00F23BAC"/>
    <w:rsid w:val="00F24359"/>
    <w:rsid w:val="00F25E92"/>
    <w:rsid w:val="00F27530"/>
    <w:rsid w:val="00F27798"/>
    <w:rsid w:val="00F30926"/>
    <w:rsid w:val="00F3164D"/>
    <w:rsid w:val="00F347C3"/>
    <w:rsid w:val="00F369DC"/>
    <w:rsid w:val="00F37E78"/>
    <w:rsid w:val="00F4010C"/>
    <w:rsid w:val="00F405EB"/>
    <w:rsid w:val="00F415AB"/>
    <w:rsid w:val="00F41980"/>
    <w:rsid w:val="00F42938"/>
    <w:rsid w:val="00F45BA4"/>
    <w:rsid w:val="00F4685D"/>
    <w:rsid w:val="00F54AB2"/>
    <w:rsid w:val="00F54AB9"/>
    <w:rsid w:val="00F565AF"/>
    <w:rsid w:val="00F57B60"/>
    <w:rsid w:val="00F6008E"/>
    <w:rsid w:val="00F609A5"/>
    <w:rsid w:val="00F60D01"/>
    <w:rsid w:val="00F6126C"/>
    <w:rsid w:val="00F612A4"/>
    <w:rsid w:val="00F61DBA"/>
    <w:rsid w:val="00F65D6D"/>
    <w:rsid w:val="00F65E11"/>
    <w:rsid w:val="00F674E8"/>
    <w:rsid w:val="00F67FE5"/>
    <w:rsid w:val="00F729A2"/>
    <w:rsid w:val="00F72AF8"/>
    <w:rsid w:val="00F73398"/>
    <w:rsid w:val="00F74AC5"/>
    <w:rsid w:val="00F755C6"/>
    <w:rsid w:val="00F76477"/>
    <w:rsid w:val="00F774FF"/>
    <w:rsid w:val="00F80E35"/>
    <w:rsid w:val="00F8159F"/>
    <w:rsid w:val="00F81929"/>
    <w:rsid w:val="00F8195F"/>
    <w:rsid w:val="00F81C4E"/>
    <w:rsid w:val="00F81D27"/>
    <w:rsid w:val="00F82220"/>
    <w:rsid w:val="00F83C28"/>
    <w:rsid w:val="00F843FD"/>
    <w:rsid w:val="00F84814"/>
    <w:rsid w:val="00F84A20"/>
    <w:rsid w:val="00F84EA4"/>
    <w:rsid w:val="00F85103"/>
    <w:rsid w:val="00F85562"/>
    <w:rsid w:val="00F85F96"/>
    <w:rsid w:val="00F903C9"/>
    <w:rsid w:val="00F9066C"/>
    <w:rsid w:val="00F9138F"/>
    <w:rsid w:val="00F92547"/>
    <w:rsid w:val="00F92C43"/>
    <w:rsid w:val="00F95415"/>
    <w:rsid w:val="00F957A3"/>
    <w:rsid w:val="00F9608F"/>
    <w:rsid w:val="00F97030"/>
    <w:rsid w:val="00F970CF"/>
    <w:rsid w:val="00FA036D"/>
    <w:rsid w:val="00FA3425"/>
    <w:rsid w:val="00FA3AD0"/>
    <w:rsid w:val="00FA533A"/>
    <w:rsid w:val="00FB0FA3"/>
    <w:rsid w:val="00FB32B1"/>
    <w:rsid w:val="00FB75A7"/>
    <w:rsid w:val="00FC166D"/>
    <w:rsid w:val="00FC1F7E"/>
    <w:rsid w:val="00FC218B"/>
    <w:rsid w:val="00FD0C0D"/>
    <w:rsid w:val="00FD0F88"/>
    <w:rsid w:val="00FD184C"/>
    <w:rsid w:val="00FD191E"/>
    <w:rsid w:val="00FD1BD0"/>
    <w:rsid w:val="00FD3826"/>
    <w:rsid w:val="00FD4676"/>
    <w:rsid w:val="00FD62E8"/>
    <w:rsid w:val="00FD6A28"/>
    <w:rsid w:val="00FE0A9B"/>
    <w:rsid w:val="00FE1A62"/>
    <w:rsid w:val="00FE2141"/>
    <w:rsid w:val="00FE3F12"/>
    <w:rsid w:val="00FE5477"/>
    <w:rsid w:val="00FE5C15"/>
    <w:rsid w:val="00FE7603"/>
    <w:rsid w:val="00FE78E0"/>
    <w:rsid w:val="00FE7BCD"/>
    <w:rsid w:val="00FF0220"/>
    <w:rsid w:val="00FF05E1"/>
    <w:rsid w:val="00FF079E"/>
    <w:rsid w:val="00FF0D5D"/>
    <w:rsid w:val="00FF1979"/>
    <w:rsid w:val="00FF77A6"/>
    <w:rsid w:val="00FF7F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94EF"/>
  <w15:chartTrackingRefBased/>
  <w15:docId w15:val="{06FE6BCB-6A26-46AF-A47B-A4A4D17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0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
    <w:basedOn w:val="Normal"/>
    <w:link w:val="PrrafodelistaCar"/>
    <w:uiPriority w:val="34"/>
    <w:qFormat/>
    <w:rsid w:val="001B4800"/>
    <w:pPr>
      <w:ind w:left="720"/>
      <w:contextualSpacing/>
    </w:pPr>
  </w:style>
  <w:style w:type="paragraph" w:styleId="Textonotapie">
    <w:name w:val="footnote text"/>
    <w:basedOn w:val="Normal"/>
    <w:link w:val="TextonotapieCar"/>
    <w:uiPriority w:val="99"/>
    <w:semiHidden/>
    <w:unhideWhenUsed/>
    <w:rsid w:val="006F42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420E"/>
    <w:rPr>
      <w:sz w:val="20"/>
      <w:szCs w:val="20"/>
    </w:rPr>
  </w:style>
  <w:style w:type="character" w:styleId="Refdenotaalpie">
    <w:name w:val="footnote reference"/>
    <w:aliases w:val="Ref,de nota al pie,Error-Fußnotenzeichen5,Error-Fußnotenzeichen6,Error-Fußnotenzeichen3"/>
    <w:basedOn w:val="Fuentedeprrafopredeter"/>
    <w:unhideWhenUsed/>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
    <w:basedOn w:val="Fuentedeprrafopredeter"/>
    <w:link w:val="Prrafodelista"/>
    <w:uiPriority w:val="34"/>
    <w:rsid w:val="00BE396C"/>
  </w:style>
  <w:style w:type="paragraph" w:customStyle="1" w:styleId="paragraph">
    <w:name w:val="paragraph"/>
    <w:basedOn w:val="Normal"/>
    <w:rsid w:val="006A63E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A63E5"/>
  </w:style>
  <w:style w:type="character" w:customStyle="1" w:styleId="eop">
    <w:name w:val="eop"/>
    <w:basedOn w:val="Fuentedeprrafopredeter"/>
    <w:rsid w:val="006A63E5"/>
  </w:style>
  <w:style w:type="paragraph" w:styleId="Encabezado">
    <w:name w:val="header"/>
    <w:basedOn w:val="Normal"/>
    <w:link w:val="EncabezadoCar"/>
    <w:uiPriority w:val="99"/>
    <w:unhideWhenUsed/>
    <w:rsid w:val="00F85562"/>
    <w:pPr>
      <w:tabs>
        <w:tab w:val="center" w:pos="4419"/>
        <w:tab w:val="right" w:pos="8838"/>
      </w:tabs>
      <w:spacing w:after="0" w:line="240" w:lineRule="auto"/>
    </w:pPr>
    <w:rPr>
      <w:rFonts w:asciiTheme="minorHAnsi" w:hAnsiTheme="minorHAnsi"/>
      <w:sz w:val="24"/>
      <w:szCs w:val="24"/>
      <w:lang w:val="es-419"/>
    </w:rPr>
  </w:style>
  <w:style w:type="character" w:customStyle="1" w:styleId="EncabezadoCar">
    <w:name w:val="Encabezado Car"/>
    <w:basedOn w:val="Fuentedeprrafopredeter"/>
    <w:link w:val="Encabezado"/>
    <w:uiPriority w:val="99"/>
    <w:rsid w:val="00F85562"/>
    <w:rPr>
      <w:rFonts w:asciiTheme="minorHAnsi" w:hAnsiTheme="minorHAnsi"/>
      <w:sz w:val="24"/>
      <w:szCs w:val="24"/>
      <w:lang w:val="es-419"/>
    </w:rPr>
  </w:style>
  <w:style w:type="table" w:styleId="Tablaconcuadrcula">
    <w:name w:val="Table Grid"/>
    <w:basedOn w:val="Tablanormal"/>
    <w:uiPriority w:val="39"/>
    <w:rsid w:val="0053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
    <w:name w:val="título"/>
    <w:basedOn w:val="Normal"/>
    <w:rsid w:val="001D6F32"/>
    <w:pPr>
      <w:spacing w:after="0" w:line="240" w:lineRule="auto"/>
      <w:jc w:val="center"/>
    </w:pPr>
    <w:rPr>
      <w:rFonts w:ascii="Helvetica" w:eastAsia="Times New Roman" w:hAnsi="Helvetica" w:cs="Times New Roman"/>
      <w:snapToGrid w:val="0"/>
      <w:sz w:val="24"/>
      <w:szCs w:val="20"/>
      <w:lang w:val="es-ES" w:eastAsia="es-ES"/>
    </w:rPr>
  </w:style>
  <w:style w:type="character" w:styleId="Hipervnculo">
    <w:name w:val="Hyperlink"/>
    <w:basedOn w:val="Fuentedeprrafopredeter"/>
    <w:uiPriority w:val="99"/>
    <w:unhideWhenUsed/>
    <w:rsid w:val="00ED7716"/>
    <w:rPr>
      <w:color w:val="0563C1" w:themeColor="hyperlink"/>
      <w:u w:val="single"/>
    </w:rPr>
  </w:style>
  <w:style w:type="character" w:customStyle="1" w:styleId="Mencinsinresolver1">
    <w:name w:val="Mención sin resolver1"/>
    <w:basedOn w:val="Fuentedeprrafopredeter"/>
    <w:uiPriority w:val="99"/>
    <w:semiHidden/>
    <w:unhideWhenUsed/>
    <w:rsid w:val="00ED7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1504">
      <w:bodyDiv w:val="1"/>
      <w:marLeft w:val="0"/>
      <w:marRight w:val="0"/>
      <w:marTop w:val="0"/>
      <w:marBottom w:val="0"/>
      <w:divBdr>
        <w:top w:val="none" w:sz="0" w:space="0" w:color="auto"/>
        <w:left w:val="none" w:sz="0" w:space="0" w:color="auto"/>
        <w:bottom w:val="none" w:sz="0" w:space="0" w:color="auto"/>
        <w:right w:val="none" w:sz="0" w:space="0" w:color="auto"/>
      </w:divBdr>
    </w:div>
    <w:div w:id="675114428">
      <w:bodyDiv w:val="1"/>
      <w:marLeft w:val="0"/>
      <w:marRight w:val="0"/>
      <w:marTop w:val="0"/>
      <w:marBottom w:val="0"/>
      <w:divBdr>
        <w:top w:val="none" w:sz="0" w:space="0" w:color="auto"/>
        <w:left w:val="none" w:sz="0" w:space="0" w:color="auto"/>
        <w:bottom w:val="none" w:sz="0" w:space="0" w:color="auto"/>
        <w:right w:val="none" w:sz="0" w:space="0" w:color="auto"/>
      </w:divBdr>
      <w:divsChild>
        <w:div w:id="2135781695">
          <w:marLeft w:val="0"/>
          <w:marRight w:val="0"/>
          <w:marTop w:val="0"/>
          <w:marBottom w:val="0"/>
          <w:divBdr>
            <w:top w:val="none" w:sz="0" w:space="0" w:color="auto"/>
            <w:left w:val="none" w:sz="0" w:space="0" w:color="auto"/>
            <w:bottom w:val="none" w:sz="0" w:space="0" w:color="auto"/>
            <w:right w:val="none" w:sz="0" w:space="0" w:color="auto"/>
          </w:divBdr>
        </w:div>
        <w:div w:id="811556797">
          <w:marLeft w:val="0"/>
          <w:marRight w:val="0"/>
          <w:marTop w:val="0"/>
          <w:marBottom w:val="0"/>
          <w:divBdr>
            <w:top w:val="none" w:sz="0" w:space="0" w:color="auto"/>
            <w:left w:val="none" w:sz="0" w:space="0" w:color="auto"/>
            <w:bottom w:val="none" w:sz="0" w:space="0" w:color="auto"/>
            <w:right w:val="none" w:sz="0" w:space="0" w:color="auto"/>
          </w:divBdr>
        </w:div>
        <w:div w:id="464005522">
          <w:marLeft w:val="0"/>
          <w:marRight w:val="0"/>
          <w:marTop w:val="0"/>
          <w:marBottom w:val="0"/>
          <w:divBdr>
            <w:top w:val="none" w:sz="0" w:space="0" w:color="auto"/>
            <w:left w:val="none" w:sz="0" w:space="0" w:color="auto"/>
            <w:bottom w:val="none" w:sz="0" w:space="0" w:color="auto"/>
            <w:right w:val="none" w:sz="0" w:space="0" w:color="auto"/>
          </w:divBdr>
        </w:div>
        <w:div w:id="1372879283">
          <w:marLeft w:val="0"/>
          <w:marRight w:val="0"/>
          <w:marTop w:val="0"/>
          <w:marBottom w:val="0"/>
          <w:divBdr>
            <w:top w:val="none" w:sz="0" w:space="0" w:color="auto"/>
            <w:left w:val="none" w:sz="0" w:space="0" w:color="auto"/>
            <w:bottom w:val="none" w:sz="0" w:space="0" w:color="auto"/>
            <w:right w:val="none" w:sz="0" w:space="0" w:color="auto"/>
          </w:divBdr>
        </w:div>
        <w:div w:id="1623999955">
          <w:marLeft w:val="0"/>
          <w:marRight w:val="0"/>
          <w:marTop w:val="0"/>
          <w:marBottom w:val="0"/>
          <w:divBdr>
            <w:top w:val="none" w:sz="0" w:space="0" w:color="auto"/>
            <w:left w:val="none" w:sz="0" w:space="0" w:color="auto"/>
            <w:bottom w:val="none" w:sz="0" w:space="0" w:color="auto"/>
            <w:right w:val="none" w:sz="0" w:space="0" w:color="auto"/>
          </w:divBdr>
        </w:div>
        <w:div w:id="1148933359">
          <w:marLeft w:val="0"/>
          <w:marRight w:val="0"/>
          <w:marTop w:val="0"/>
          <w:marBottom w:val="0"/>
          <w:divBdr>
            <w:top w:val="none" w:sz="0" w:space="0" w:color="auto"/>
            <w:left w:val="none" w:sz="0" w:space="0" w:color="auto"/>
            <w:bottom w:val="none" w:sz="0" w:space="0" w:color="auto"/>
            <w:right w:val="none" w:sz="0" w:space="0" w:color="auto"/>
          </w:divBdr>
        </w:div>
        <w:div w:id="1982809798">
          <w:marLeft w:val="0"/>
          <w:marRight w:val="0"/>
          <w:marTop w:val="0"/>
          <w:marBottom w:val="0"/>
          <w:divBdr>
            <w:top w:val="none" w:sz="0" w:space="0" w:color="auto"/>
            <w:left w:val="none" w:sz="0" w:space="0" w:color="auto"/>
            <w:bottom w:val="none" w:sz="0" w:space="0" w:color="auto"/>
            <w:right w:val="none" w:sz="0" w:space="0" w:color="auto"/>
          </w:divBdr>
        </w:div>
      </w:divsChild>
    </w:div>
    <w:div w:id="1501115469">
      <w:bodyDiv w:val="1"/>
      <w:marLeft w:val="0"/>
      <w:marRight w:val="0"/>
      <w:marTop w:val="0"/>
      <w:marBottom w:val="0"/>
      <w:divBdr>
        <w:top w:val="none" w:sz="0" w:space="0" w:color="auto"/>
        <w:left w:val="none" w:sz="0" w:space="0" w:color="auto"/>
        <w:bottom w:val="none" w:sz="0" w:space="0" w:color="auto"/>
        <w:right w:val="none" w:sz="0" w:space="0" w:color="auto"/>
      </w:divBdr>
    </w:div>
    <w:div w:id="21019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2728-6131-45E7-81DB-67F8B3A9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9596</Words>
  <Characters>52778</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Maria Avila Moreno</cp:lastModifiedBy>
  <cp:revision>2</cp:revision>
  <cp:lastPrinted>2023-02-16T14:39:00Z</cp:lastPrinted>
  <dcterms:created xsi:type="dcterms:W3CDTF">2023-02-16T14:40:00Z</dcterms:created>
  <dcterms:modified xsi:type="dcterms:W3CDTF">2023-02-16T14:40:00Z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591610c0dcf110e457c3f7b8ee6f227a91bc77c0cc1e7fc54a348255e859f02b</vt:lpwstr>
  </property>
</Properties>
</file>