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C6" w:rsidRPr="006E6EA6" w:rsidRDefault="00363C59" w:rsidP="00981727">
      <w:pPr>
        <w:widowControl/>
        <w:spacing w:line="240" w:lineRule="auto"/>
        <w:jc w:val="center"/>
        <w:rPr>
          <w:rFonts w:cs="Arial"/>
          <w:sz w:val="22"/>
          <w:szCs w:val="22"/>
        </w:rPr>
      </w:pPr>
      <w:r>
        <w:rPr>
          <w:rFonts w:cs="Arial"/>
          <w:noProof/>
          <w:sz w:val="22"/>
          <w:szCs w:val="22"/>
        </w:rPr>
        <w:drawing>
          <wp:anchor distT="0" distB="0" distL="114300" distR="114300" simplePos="0" relativeHeight="251658240" behindDoc="0" locked="0" layoutInCell="1" allowOverlap="1">
            <wp:simplePos x="0" y="0"/>
            <wp:positionH relativeFrom="column">
              <wp:posOffset>-670560</wp:posOffset>
            </wp:positionH>
            <wp:positionV relativeFrom="paragraph">
              <wp:posOffset>-638175</wp:posOffset>
            </wp:positionV>
            <wp:extent cx="2353945" cy="561975"/>
            <wp:effectExtent l="19050" t="0" r="8255" b="0"/>
            <wp:wrapSquare wrapText="bothSides"/>
            <wp:docPr id="1" name="0 Imagen" descr="LOGO_SG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GCAN.jpg"/>
                    <pic:cNvPicPr/>
                  </pic:nvPicPr>
                  <pic:blipFill>
                    <a:blip r:embed="rId8" cstate="print"/>
                    <a:stretch>
                      <a:fillRect/>
                    </a:stretch>
                  </pic:blipFill>
                  <pic:spPr>
                    <a:xfrm>
                      <a:off x="0" y="0"/>
                      <a:ext cx="2353945" cy="561975"/>
                    </a:xfrm>
                    <a:prstGeom prst="rect">
                      <a:avLst/>
                    </a:prstGeom>
                  </pic:spPr>
                </pic:pic>
              </a:graphicData>
            </a:graphic>
          </wp:anchor>
        </w:drawing>
      </w:r>
    </w:p>
    <w:p w:rsidR="001E05C6" w:rsidRPr="006E6EA6" w:rsidRDefault="001E05C6" w:rsidP="00981727">
      <w:pPr>
        <w:widowControl/>
        <w:spacing w:line="240" w:lineRule="auto"/>
        <w:jc w:val="center"/>
        <w:rPr>
          <w:rFonts w:cs="Arial"/>
          <w:sz w:val="22"/>
          <w:szCs w:val="22"/>
        </w:rPr>
      </w:pPr>
    </w:p>
    <w:p w:rsidR="001E05C6" w:rsidRPr="006E6EA6" w:rsidRDefault="001E05C6" w:rsidP="00981727">
      <w:pPr>
        <w:widowControl/>
        <w:spacing w:line="240" w:lineRule="auto"/>
        <w:jc w:val="center"/>
        <w:rPr>
          <w:rFonts w:cs="Arial"/>
          <w:sz w:val="22"/>
          <w:szCs w:val="22"/>
        </w:rPr>
      </w:pPr>
    </w:p>
    <w:p w:rsidR="00971FEA" w:rsidRPr="006E6EA6" w:rsidRDefault="00026C1B" w:rsidP="00981727">
      <w:pPr>
        <w:widowControl/>
        <w:spacing w:line="240" w:lineRule="auto"/>
        <w:jc w:val="center"/>
        <w:rPr>
          <w:rFonts w:cs="Arial"/>
          <w:b/>
          <w:sz w:val="22"/>
          <w:szCs w:val="22"/>
          <w:u w:val="single"/>
        </w:rPr>
      </w:pPr>
      <w:r w:rsidRPr="006E6EA6">
        <w:rPr>
          <w:rFonts w:cs="Arial"/>
          <w:b/>
          <w:sz w:val="22"/>
          <w:szCs w:val="22"/>
          <w:u w:val="single"/>
        </w:rPr>
        <w:t>DICTAMEN N</w:t>
      </w:r>
      <w:r w:rsidR="005539C1" w:rsidRPr="006E6EA6">
        <w:rPr>
          <w:rFonts w:cs="Arial"/>
          <w:b/>
          <w:sz w:val="22"/>
          <w:szCs w:val="22"/>
          <w:u w:val="single"/>
        </w:rPr>
        <w:t>°</w:t>
      </w:r>
      <w:r w:rsidR="0072409D" w:rsidRPr="006E6EA6">
        <w:rPr>
          <w:rFonts w:cs="Arial"/>
          <w:b/>
          <w:sz w:val="22"/>
          <w:szCs w:val="22"/>
          <w:u w:val="single"/>
        </w:rPr>
        <w:t xml:space="preserve"> 003-2018</w:t>
      </w:r>
    </w:p>
    <w:p w:rsidR="00BF5F71" w:rsidRPr="006E6EA6" w:rsidRDefault="00BF5F71" w:rsidP="00981727">
      <w:pPr>
        <w:widowControl/>
        <w:spacing w:line="240" w:lineRule="auto"/>
        <w:rPr>
          <w:rFonts w:cs="Arial"/>
          <w:b/>
          <w:sz w:val="22"/>
          <w:szCs w:val="22"/>
        </w:rPr>
      </w:pPr>
    </w:p>
    <w:p w:rsidR="00971FEA" w:rsidRPr="006E6EA6" w:rsidRDefault="001E05C6" w:rsidP="00981727">
      <w:pPr>
        <w:widowControl/>
        <w:spacing w:line="240" w:lineRule="auto"/>
        <w:jc w:val="center"/>
        <w:rPr>
          <w:rFonts w:cs="Arial"/>
          <w:b/>
          <w:sz w:val="22"/>
          <w:szCs w:val="22"/>
        </w:rPr>
      </w:pPr>
      <w:r w:rsidRPr="006E6EA6">
        <w:rPr>
          <w:rFonts w:cs="Arial"/>
          <w:b/>
          <w:sz w:val="22"/>
          <w:szCs w:val="22"/>
        </w:rPr>
        <w:t>DE LA SECRETARÍ</w:t>
      </w:r>
      <w:r w:rsidR="00971FEA" w:rsidRPr="006E6EA6">
        <w:rPr>
          <w:rFonts w:cs="Arial"/>
          <w:b/>
          <w:sz w:val="22"/>
          <w:szCs w:val="22"/>
        </w:rPr>
        <w:t>A GENERAL DE LA COMUNIDAD ANDINA</w:t>
      </w:r>
    </w:p>
    <w:p w:rsidR="00971FEA" w:rsidRPr="006E6EA6" w:rsidRDefault="00971FEA" w:rsidP="00981727">
      <w:pPr>
        <w:spacing w:line="240" w:lineRule="auto"/>
        <w:jc w:val="center"/>
        <w:rPr>
          <w:rFonts w:cs="Arial"/>
          <w:sz w:val="22"/>
          <w:szCs w:val="22"/>
        </w:rPr>
      </w:pPr>
    </w:p>
    <w:p w:rsidR="00734F88" w:rsidRPr="006E6EA6" w:rsidRDefault="00734F88" w:rsidP="00981727">
      <w:pPr>
        <w:spacing w:line="240" w:lineRule="auto"/>
        <w:rPr>
          <w:rFonts w:cs="Arial"/>
          <w:sz w:val="22"/>
          <w:szCs w:val="22"/>
        </w:rPr>
      </w:pPr>
      <w:r w:rsidRPr="006E6EA6">
        <w:rPr>
          <w:rFonts w:cs="Arial"/>
          <w:sz w:val="22"/>
          <w:szCs w:val="22"/>
        </w:rPr>
        <w:t xml:space="preserve">Reclamo interpuesto por </w:t>
      </w:r>
      <w:r w:rsidR="005539C1" w:rsidRPr="006E6EA6">
        <w:rPr>
          <w:rFonts w:cs="Arial"/>
          <w:sz w:val="22"/>
          <w:szCs w:val="22"/>
        </w:rPr>
        <w:t>INDUALCA S.A.</w:t>
      </w:r>
      <w:r w:rsidRPr="006E6EA6">
        <w:rPr>
          <w:rFonts w:cs="Arial"/>
          <w:sz w:val="22"/>
          <w:szCs w:val="22"/>
        </w:rPr>
        <w:t xml:space="preserve"> contra la República de</w:t>
      </w:r>
      <w:r w:rsidR="005539C1" w:rsidRPr="006E6EA6">
        <w:rPr>
          <w:rFonts w:cs="Arial"/>
          <w:sz w:val="22"/>
          <w:szCs w:val="22"/>
        </w:rPr>
        <w:t>l Ecuador</w:t>
      </w:r>
      <w:r w:rsidR="004B3430" w:rsidRPr="006E6EA6">
        <w:rPr>
          <w:rFonts w:cs="Arial"/>
          <w:sz w:val="22"/>
          <w:szCs w:val="22"/>
        </w:rPr>
        <w:t xml:space="preserve"> -</w:t>
      </w:r>
      <w:r w:rsidRPr="006E6EA6">
        <w:rPr>
          <w:rFonts w:cs="Arial"/>
          <w:sz w:val="22"/>
          <w:szCs w:val="22"/>
        </w:rPr>
        <w:t xml:space="preserve"> </w:t>
      </w:r>
      <w:r w:rsidR="005539C1" w:rsidRPr="006E6EA6">
        <w:rPr>
          <w:rFonts w:cs="Arial"/>
          <w:sz w:val="22"/>
          <w:szCs w:val="22"/>
        </w:rPr>
        <w:t>Tribunal Distrital de lo Contencioso Administrativo No. 1</w:t>
      </w:r>
      <w:r w:rsidRPr="006E6EA6">
        <w:rPr>
          <w:rFonts w:cs="Arial"/>
          <w:sz w:val="22"/>
          <w:szCs w:val="22"/>
        </w:rPr>
        <w:t>, por presunto incumpl</w:t>
      </w:r>
      <w:r w:rsidR="005539C1" w:rsidRPr="006E6EA6">
        <w:rPr>
          <w:rFonts w:cs="Arial"/>
          <w:sz w:val="22"/>
          <w:szCs w:val="22"/>
        </w:rPr>
        <w:t xml:space="preserve">imiento de los artículos 4, </w:t>
      </w:r>
      <w:r w:rsidRPr="006E6EA6">
        <w:rPr>
          <w:rFonts w:cs="Arial"/>
          <w:sz w:val="22"/>
          <w:szCs w:val="22"/>
        </w:rPr>
        <w:t>35 y 36 del Tratado de Creación del Tribunal de Justicia de la Comunid</w:t>
      </w:r>
      <w:r w:rsidR="005539C1" w:rsidRPr="006E6EA6">
        <w:rPr>
          <w:rFonts w:cs="Arial"/>
          <w:sz w:val="22"/>
          <w:szCs w:val="22"/>
        </w:rPr>
        <w:t xml:space="preserve">ad Andina; y los artículos </w:t>
      </w:r>
      <w:r w:rsidRPr="006E6EA6">
        <w:rPr>
          <w:rFonts w:cs="Arial"/>
          <w:sz w:val="22"/>
          <w:szCs w:val="22"/>
        </w:rPr>
        <w:t xml:space="preserve">127 y 128 de la Decisión 500, con motivo de la expedición de la </w:t>
      </w:r>
      <w:r w:rsidR="00AA3089" w:rsidRPr="006E6EA6">
        <w:rPr>
          <w:rFonts w:cs="Arial"/>
          <w:sz w:val="22"/>
          <w:szCs w:val="22"/>
        </w:rPr>
        <w:t>S</w:t>
      </w:r>
      <w:r w:rsidRPr="006E6EA6">
        <w:rPr>
          <w:rFonts w:cs="Arial"/>
          <w:sz w:val="22"/>
          <w:szCs w:val="22"/>
        </w:rPr>
        <w:t xml:space="preserve">entencia </w:t>
      </w:r>
      <w:r w:rsidR="00615A6E" w:rsidRPr="006E6EA6">
        <w:rPr>
          <w:rFonts w:cs="Arial"/>
          <w:sz w:val="22"/>
          <w:szCs w:val="22"/>
        </w:rPr>
        <w:t xml:space="preserve">de </w:t>
      </w:r>
      <w:r w:rsidR="00EA4A13" w:rsidRPr="006E6EA6">
        <w:rPr>
          <w:rFonts w:cs="Arial"/>
          <w:sz w:val="22"/>
          <w:szCs w:val="22"/>
        </w:rPr>
        <w:t xml:space="preserve">fecha </w:t>
      </w:r>
      <w:r w:rsidR="00615A6E" w:rsidRPr="006E6EA6">
        <w:rPr>
          <w:rFonts w:cs="Arial"/>
          <w:sz w:val="22"/>
          <w:szCs w:val="22"/>
        </w:rPr>
        <w:t xml:space="preserve">21 de octubre de 2014 y la providencia de </w:t>
      </w:r>
      <w:r w:rsidR="00111917" w:rsidRPr="006E6EA6">
        <w:rPr>
          <w:rFonts w:cs="Arial"/>
          <w:sz w:val="22"/>
          <w:szCs w:val="22"/>
        </w:rPr>
        <w:t xml:space="preserve">fecha </w:t>
      </w:r>
      <w:r w:rsidR="00615A6E" w:rsidRPr="006E6EA6">
        <w:rPr>
          <w:rFonts w:cs="Arial"/>
          <w:sz w:val="22"/>
          <w:szCs w:val="22"/>
        </w:rPr>
        <w:t>16 de enero de 2017, dentro del proceso No. 17811-2013-4415</w:t>
      </w:r>
    </w:p>
    <w:p w:rsidR="00865C09" w:rsidRPr="006E6EA6" w:rsidRDefault="00865C09" w:rsidP="0072409D">
      <w:pPr>
        <w:widowControl/>
        <w:spacing w:line="240" w:lineRule="auto"/>
        <w:jc w:val="left"/>
        <w:rPr>
          <w:rFonts w:cs="Arial"/>
          <w:sz w:val="22"/>
          <w:szCs w:val="22"/>
        </w:rPr>
      </w:pPr>
    </w:p>
    <w:p w:rsidR="00971FEA" w:rsidRPr="006E6EA6" w:rsidRDefault="00971FEA" w:rsidP="00981727">
      <w:pPr>
        <w:widowControl/>
        <w:spacing w:line="240" w:lineRule="auto"/>
        <w:jc w:val="right"/>
        <w:rPr>
          <w:rFonts w:cs="Arial"/>
          <w:sz w:val="22"/>
          <w:szCs w:val="22"/>
        </w:rPr>
      </w:pPr>
      <w:r w:rsidRPr="006E6EA6">
        <w:rPr>
          <w:rFonts w:cs="Arial"/>
          <w:sz w:val="22"/>
          <w:szCs w:val="22"/>
        </w:rPr>
        <w:t>Lima,</w:t>
      </w:r>
      <w:r w:rsidR="005539C1" w:rsidRPr="006E6EA6">
        <w:rPr>
          <w:rFonts w:cs="Arial"/>
          <w:sz w:val="22"/>
          <w:szCs w:val="22"/>
        </w:rPr>
        <w:t xml:space="preserve"> </w:t>
      </w:r>
      <w:r w:rsidR="0072409D" w:rsidRPr="006E6EA6">
        <w:rPr>
          <w:rFonts w:cs="Arial"/>
          <w:sz w:val="22"/>
          <w:szCs w:val="22"/>
        </w:rPr>
        <w:t>20</w:t>
      </w:r>
      <w:r w:rsidR="001E05C6" w:rsidRPr="006E6EA6">
        <w:rPr>
          <w:rFonts w:cs="Arial"/>
          <w:sz w:val="22"/>
          <w:szCs w:val="22"/>
        </w:rPr>
        <w:t xml:space="preserve"> </w:t>
      </w:r>
      <w:r w:rsidRPr="006E6EA6">
        <w:rPr>
          <w:rFonts w:cs="Arial"/>
          <w:sz w:val="22"/>
          <w:szCs w:val="22"/>
        </w:rPr>
        <w:t xml:space="preserve">de </w:t>
      </w:r>
      <w:r w:rsidR="00A97B4B" w:rsidRPr="006E6EA6">
        <w:rPr>
          <w:rFonts w:cs="Arial"/>
          <w:sz w:val="22"/>
          <w:szCs w:val="22"/>
        </w:rPr>
        <w:t>diciembre</w:t>
      </w:r>
      <w:r w:rsidR="005539C1" w:rsidRPr="006E6EA6">
        <w:rPr>
          <w:rFonts w:cs="Arial"/>
          <w:sz w:val="22"/>
          <w:szCs w:val="22"/>
        </w:rPr>
        <w:t xml:space="preserve"> de 201</w:t>
      </w:r>
      <w:r w:rsidR="00A97B4B" w:rsidRPr="006E6EA6">
        <w:rPr>
          <w:rFonts w:cs="Arial"/>
          <w:sz w:val="22"/>
          <w:szCs w:val="22"/>
        </w:rPr>
        <w:t>8</w:t>
      </w:r>
    </w:p>
    <w:p w:rsidR="001E05C6" w:rsidRPr="006E6EA6" w:rsidRDefault="001E05C6" w:rsidP="00981727">
      <w:pPr>
        <w:pStyle w:val="Prrafodelista"/>
        <w:widowControl/>
        <w:adjustRightInd/>
        <w:spacing w:line="240" w:lineRule="auto"/>
        <w:ind w:left="0"/>
        <w:contextualSpacing w:val="0"/>
        <w:textAlignment w:val="auto"/>
        <w:rPr>
          <w:rFonts w:cs="Arial"/>
          <w:sz w:val="22"/>
          <w:szCs w:val="22"/>
        </w:rPr>
      </w:pPr>
    </w:p>
    <w:p w:rsidR="00971FEA" w:rsidRPr="006E6EA6" w:rsidRDefault="003A4773" w:rsidP="006E6EA6">
      <w:pPr>
        <w:pStyle w:val="Prrafodelista"/>
        <w:widowControl/>
        <w:adjustRightInd/>
        <w:spacing w:line="240" w:lineRule="auto"/>
        <w:ind w:left="284" w:hanging="284"/>
        <w:contextualSpacing w:val="0"/>
        <w:textAlignment w:val="auto"/>
        <w:rPr>
          <w:rFonts w:cs="Arial"/>
          <w:b/>
          <w:sz w:val="22"/>
          <w:szCs w:val="22"/>
        </w:rPr>
      </w:pPr>
      <w:r w:rsidRPr="006E6EA6">
        <w:rPr>
          <w:rFonts w:cs="Arial"/>
          <w:b/>
          <w:sz w:val="22"/>
          <w:szCs w:val="22"/>
        </w:rPr>
        <w:t xml:space="preserve">I. </w:t>
      </w:r>
      <w:r w:rsidRPr="006E6EA6">
        <w:rPr>
          <w:rFonts w:cs="Arial"/>
          <w:b/>
          <w:sz w:val="22"/>
          <w:szCs w:val="22"/>
        </w:rPr>
        <w:tab/>
      </w:r>
      <w:r w:rsidR="00971FEA" w:rsidRPr="006E6EA6">
        <w:rPr>
          <w:rFonts w:cs="Arial"/>
          <w:b/>
          <w:sz w:val="22"/>
          <w:szCs w:val="22"/>
        </w:rPr>
        <w:t>SUMILLA.-</w:t>
      </w:r>
    </w:p>
    <w:p w:rsidR="00971FEA" w:rsidRPr="006E6EA6" w:rsidRDefault="00971FEA" w:rsidP="006E6EA6">
      <w:pPr>
        <w:pStyle w:val="Prrafodelista"/>
        <w:spacing w:line="240" w:lineRule="auto"/>
        <w:ind w:left="284" w:hanging="284"/>
        <w:contextualSpacing w:val="0"/>
        <w:rPr>
          <w:rFonts w:cs="Arial"/>
          <w:b/>
          <w:sz w:val="22"/>
          <w:szCs w:val="22"/>
        </w:rPr>
      </w:pPr>
    </w:p>
    <w:p w:rsidR="00AA3089" w:rsidRPr="006E6EA6" w:rsidRDefault="00056A52" w:rsidP="006E6EA6">
      <w:pPr>
        <w:pStyle w:val="Prrafodelista"/>
        <w:widowControl/>
        <w:numPr>
          <w:ilvl w:val="0"/>
          <w:numId w:val="1"/>
        </w:numPr>
        <w:adjustRightInd/>
        <w:spacing w:line="240" w:lineRule="auto"/>
        <w:ind w:left="284" w:hanging="284"/>
        <w:contextualSpacing w:val="0"/>
        <w:textAlignment w:val="auto"/>
        <w:rPr>
          <w:rFonts w:cs="Arial"/>
          <w:sz w:val="22"/>
          <w:szCs w:val="22"/>
        </w:rPr>
      </w:pPr>
      <w:r w:rsidRPr="006E6EA6">
        <w:rPr>
          <w:rFonts w:cs="Arial"/>
          <w:sz w:val="22"/>
          <w:szCs w:val="22"/>
        </w:rPr>
        <w:t>La empresa</w:t>
      </w:r>
      <w:r w:rsidR="00971FEA" w:rsidRPr="006E6EA6">
        <w:rPr>
          <w:rFonts w:cs="Arial"/>
          <w:sz w:val="22"/>
          <w:szCs w:val="22"/>
        </w:rPr>
        <w:t xml:space="preserve"> </w:t>
      </w:r>
      <w:r w:rsidR="00501125" w:rsidRPr="006E6EA6">
        <w:rPr>
          <w:rFonts w:cs="Arial"/>
          <w:sz w:val="22"/>
          <w:szCs w:val="22"/>
        </w:rPr>
        <w:t>INDUALCA S.A.</w:t>
      </w:r>
      <w:r w:rsidR="00971FEA" w:rsidRPr="006E6EA6">
        <w:rPr>
          <w:rFonts w:cs="Arial"/>
          <w:sz w:val="22"/>
          <w:szCs w:val="22"/>
        </w:rPr>
        <w:t xml:space="preserve"> </w:t>
      </w:r>
      <w:r w:rsidRPr="006E6EA6">
        <w:rPr>
          <w:rFonts w:cs="Arial"/>
          <w:sz w:val="22"/>
          <w:szCs w:val="22"/>
        </w:rPr>
        <w:t xml:space="preserve">(en adelante, “la reclamante”) presenta ante la Secretaría General de la Comunidad Andina (en adelante, “SGCAN”) reclamo </w:t>
      </w:r>
      <w:r w:rsidR="00971FEA" w:rsidRPr="006E6EA6">
        <w:rPr>
          <w:rFonts w:cs="Arial"/>
          <w:sz w:val="22"/>
          <w:szCs w:val="22"/>
        </w:rPr>
        <w:t>contra la República de</w:t>
      </w:r>
      <w:r w:rsidR="00501125" w:rsidRPr="006E6EA6">
        <w:rPr>
          <w:rFonts w:cs="Arial"/>
          <w:sz w:val="22"/>
          <w:szCs w:val="22"/>
        </w:rPr>
        <w:t>l</w:t>
      </w:r>
      <w:r w:rsidR="00971FEA" w:rsidRPr="006E6EA6">
        <w:rPr>
          <w:rFonts w:cs="Arial"/>
          <w:sz w:val="22"/>
          <w:szCs w:val="22"/>
        </w:rPr>
        <w:t xml:space="preserve"> </w:t>
      </w:r>
      <w:r w:rsidR="00501125" w:rsidRPr="006E6EA6">
        <w:rPr>
          <w:rFonts w:cs="Arial"/>
          <w:sz w:val="22"/>
          <w:szCs w:val="22"/>
        </w:rPr>
        <w:t>Ecuador</w:t>
      </w:r>
      <w:r w:rsidRPr="006E6EA6">
        <w:rPr>
          <w:rFonts w:cs="Arial"/>
          <w:sz w:val="22"/>
          <w:szCs w:val="22"/>
        </w:rPr>
        <w:t xml:space="preserve"> (en adelante, “la reclamada”)</w:t>
      </w:r>
      <w:r w:rsidR="00971FEA" w:rsidRPr="006E6EA6">
        <w:rPr>
          <w:rFonts w:cs="Arial"/>
          <w:sz w:val="22"/>
          <w:szCs w:val="22"/>
        </w:rPr>
        <w:t xml:space="preserve"> por presunto incumplimiento de los artículos 4, 35 y 36 del Tratado de Creación del Tribunal de Justicia de la Comunidad Andina</w:t>
      </w:r>
      <w:r w:rsidR="00065CD7" w:rsidRPr="006E6EA6">
        <w:rPr>
          <w:rFonts w:cs="Arial"/>
          <w:sz w:val="22"/>
          <w:szCs w:val="22"/>
        </w:rPr>
        <w:t xml:space="preserve"> (en adelante, “TCTJCA”)</w:t>
      </w:r>
      <w:r w:rsidR="00971FEA" w:rsidRPr="006E6EA6">
        <w:rPr>
          <w:rFonts w:cs="Arial"/>
          <w:sz w:val="22"/>
          <w:szCs w:val="22"/>
        </w:rPr>
        <w:t xml:space="preserve"> y los artículos 127 y 128 de la Decisión 500,</w:t>
      </w:r>
      <w:r w:rsidRPr="006E6EA6">
        <w:rPr>
          <w:rFonts w:cs="Arial"/>
          <w:sz w:val="22"/>
          <w:szCs w:val="22"/>
        </w:rPr>
        <w:t xml:space="preserve"> </w:t>
      </w:r>
      <w:r w:rsidR="00971FEA" w:rsidRPr="006E6EA6">
        <w:rPr>
          <w:rFonts w:cs="Arial"/>
          <w:sz w:val="22"/>
          <w:szCs w:val="22"/>
        </w:rPr>
        <w:t xml:space="preserve">con motivo de la </w:t>
      </w:r>
      <w:r w:rsidR="00640ECD" w:rsidRPr="006E6EA6">
        <w:rPr>
          <w:rFonts w:cs="Arial"/>
          <w:sz w:val="22"/>
          <w:szCs w:val="22"/>
        </w:rPr>
        <w:t xml:space="preserve">expedición de la </w:t>
      </w:r>
      <w:r w:rsidR="00AA3089" w:rsidRPr="006E6EA6">
        <w:rPr>
          <w:rFonts w:cs="Arial"/>
          <w:sz w:val="22"/>
          <w:szCs w:val="22"/>
        </w:rPr>
        <w:t xml:space="preserve">Sentencia de </w:t>
      </w:r>
      <w:r w:rsidR="00111917" w:rsidRPr="006E6EA6">
        <w:rPr>
          <w:rFonts w:cs="Arial"/>
          <w:sz w:val="22"/>
          <w:szCs w:val="22"/>
        </w:rPr>
        <w:t xml:space="preserve">fecha </w:t>
      </w:r>
      <w:r w:rsidR="00501125" w:rsidRPr="006E6EA6">
        <w:rPr>
          <w:rFonts w:cs="Arial"/>
          <w:sz w:val="22"/>
          <w:szCs w:val="22"/>
        </w:rPr>
        <w:t xml:space="preserve">21 de octubre de 2014 y la providencia de </w:t>
      </w:r>
      <w:r w:rsidR="00111917" w:rsidRPr="006E6EA6">
        <w:rPr>
          <w:rFonts w:cs="Arial"/>
          <w:sz w:val="22"/>
          <w:szCs w:val="22"/>
        </w:rPr>
        <w:t xml:space="preserve">fecha </w:t>
      </w:r>
      <w:r w:rsidR="00501125" w:rsidRPr="006E6EA6">
        <w:rPr>
          <w:rFonts w:cs="Arial"/>
          <w:sz w:val="22"/>
          <w:szCs w:val="22"/>
        </w:rPr>
        <w:t xml:space="preserve">16 de enero de 2017 </w:t>
      </w:r>
      <w:r w:rsidR="00971FEA" w:rsidRPr="006E6EA6">
        <w:rPr>
          <w:rFonts w:cs="Arial"/>
          <w:sz w:val="22"/>
          <w:szCs w:val="22"/>
        </w:rPr>
        <w:t>de</w:t>
      </w:r>
      <w:r w:rsidR="00501125" w:rsidRPr="006E6EA6">
        <w:rPr>
          <w:rFonts w:cs="Arial"/>
          <w:sz w:val="22"/>
          <w:szCs w:val="22"/>
        </w:rPr>
        <w:t>l</w:t>
      </w:r>
      <w:r w:rsidR="00971FEA" w:rsidRPr="006E6EA6">
        <w:rPr>
          <w:rFonts w:cs="Arial"/>
          <w:sz w:val="22"/>
          <w:szCs w:val="22"/>
        </w:rPr>
        <w:t xml:space="preserve"> </w:t>
      </w:r>
      <w:r w:rsidR="00501125" w:rsidRPr="006E6EA6">
        <w:rPr>
          <w:rFonts w:cs="Arial"/>
          <w:sz w:val="22"/>
          <w:szCs w:val="22"/>
        </w:rPr>
        <w:t>Tribunal Distrital de lo Contencioso Administrativo No.</w:t>
      </w:r>
      <w:r w:rsidR="009E73B9" w:rsidRPr="006E6EA6">
        <w:rPr>
          <w:rFonts w:cs="Arial"/>
          <w:sz w:val="22"/>
          <w:szCs w:val="22"/>
        </w:rPr>
        <w:t xml:space="preserve"> </w:t>
      </w:r>
      <w:r w:rsidR="00501125" w:rsidRPr="006E6EA6">
        <w:rPr>
          <w:rFonts w:cs="Arial"/>
          <w:sz w:val="22"/>
          <w:szCs w:val="22"/>
        </w:rPr>
        <w:t>1, dentro del proceso 17811-2013-4415</w:t>
      </w:r>
      <w:r w:rsidR="001B24B4" w:rsidRPr="006E6EA6">
        <w:rPr>
          <w:rFonts w:cs="Arial"/>
          <w:sz w:val="22"/>
          <w:szCs w:val="22"/>
        </w:rPr>
        <w:t>.</w:t>
      </w:r>
    </w:p>
    <w:p w:rsidR="00AA3089" w:rsidRPr="006E6EA6" w:rsidRDefault="00AA3089" w:rsidP="006E6EA6">
      <w:pPr>
        <w:widowControl/>
        <w:adjustRightInd/>
        <w:spacing w:line="240" w:lineRule="auto"/>
        <w:ind w:left="284" w:hanging="284"/>
        <w:textAlignment w:val="auto"/>
        <w:rPr>
          <w:rFonts w:cs="Arial"/>
          <w:sz w:val="22"/>
          <w:szCs w:val="22"/>
        </w:rPr>
      </w:pPr>
    </w:p>
    <w:p w:rsidR="0013550A" w:rsidRPr="006E6EA6" w:rsidRDefault="00971FEA" w:rsidP="006E6EA6">
      <w:pPr>
        <w:pStyle w:val="Prrafodelista"/>
        <w:widowControl/>
        <w:numPr>
          <w:ilvl w:val="0"/>
          <w:numId w:val="1"/>
        </w:numPr>
        <w:adjustRightInd/>
        <w:spacing w:line="240" w:lineRule="auto"/>
        <w:ind w:left="284" w:hanging="284"/>
        <w:contextualSpacing w:val="0"/>
        <w:textAlignment w:val="auto"/>
        <w:rPr>
          <w:rFonts w:cs="Arial"/>
          <w:sz w:val="22"/>
          <w:szCs w:val="22"/>
        </w:rPr>
      </w:pPr>
      <w:r w:rsidRPr="006E6EA6">
        <w:rPr>
          <w:rFonts w:cs="Arial"/>
          <w:sz w:val="22"/>
          <w:szCs w:val="22"/>
          <w:shd w:val="clear" w:color="auto" w:fill="FFFFFF"/>
        </w:rPr>
        <w:t xml:space="preserve">El presente Dictamen se emite en el marco de lo dispuesto en el artículo 25 del Tratado de Creación del Tribunal de Justicia de la Comunidad Andina y conforme a la estructura señalada en el artículo 21 de </w:t>
      </w:r>
      <w:r w:rsidRPr="006E6EA6">
        <w:rPr>
          <w:rFonts w:cs="Arial"/>
          <w:sz w:val="22"/>
          <w:szCs w:val="22"/>
        </w:rPr>
        <w:t>la Decisión 623.</w:t>
      </w:r>
    </w:p>
    <w:p w:rsidR="000725EA" w:rsidRPr="006E6EA6" w:rsidRDefault="000725EA" w:rsidP="00981727">
      <w:pPr>
        <w:pStyle w:val="Prrafodelista"/>
        <w:spacing w:line="240" w:lineRule="auto"/>
        <w:contextualSpacing w:val="0"/>
        <w:rPr>
          <w:rFonts w:cs="Arial"/>
          <w:b/>
          <w:sz w:val="22"/>
          <w:szCs w:val="22"/>
        </w:rPr>
      </w:pPr>
    </w:p>
    <w:p w:rsidR="00971FEA" w:rsidRPr="006E6EA6" w:rsidRDefault="0013550A" w:rsidP="006E6EA6">
      <w:pPr>
        <w:pStyle w:val="Prrafodelista"/>
        <w:widowControl/>
        <w:adjustRightInd/>
        <w:spacing w:line="240" w:lineRule="auto"/>
        <w:ind w:left="284" w:hanging="284"/>
        <w:contextualSpacing w:val="0"/>
        <w:textAlignment w:val="auto"/>
        <w:rPr>
          <w:rFonts w:cs="Arial"/>
          <w:sz w:val="22"/>
          <w:szCs w:val="22"/>
        </w:rPr>
      </w:pPr>
      <w:r w:rsidRPr="006E6EA6">
        <w:rPr>
          <w:rFonts w:cs="Arial"/>
          <w:b/>
          <w:sz w:val="22"/>
          <w:szCs w:val="22"/>
        </w:rPr>
        <w:t xml:space="preserve">II. </w:t>
      </w:r>
      <w:r w:rsidRPr="006E6EA6">
        <w:rPr>
          <w:rFonts w:cs="Arial"/>
          <w:b/>
          <w:sz w:val="22"/>
          <w:szCs w:val="22"/>
        </w:rPr>
        <w:tab/>
      </w:r>
      <w:r w:rsidR="00971FEA" w:rsidRPr="006E6EA6">
        <w:rPr>
          <w:rFonts w:cs="Arial"/>
          <w:b/>
          <w:sz w:val="22"/>
          <w:szCs w:val="22"/>
        </w:rPr>
        <w:t>RELACIÓN DE LAS ACTUACIONES DEL PROCEDIMIENTO (ANTECEDENTES).-</w:t>
      </w:r>
    </w:p>
    <w:p w:rsidR="00971FEA" w:rsidRPr="006E6EA6" w:rsidRDefault="00971FEA" w:rsidP="00981727">
      <w:pPr>
        <w:widowControl/>
        <w:spacing w:line="240" w:lineRule="auto"/>
        <w:rPr>
          <w:rFonts w:cs="Arial"/>
          <w:b/>
          <w:sz w:val="22"/>
          <w:szCs w:val="22"/>
        </w:rPr>
      </w:pPr>
    </w:p>
    <w:p w:rsidR="00A874F6" w:rsidRPr="006E6EA6" w:rsidRDefault="00971FEA" w:rsidP="006E6EA6">
      <w:pPr>
        <w:pStyle w:val="Prrafodelista"/>
        <w:widowControl/>
        <w:numPr>
          <w:ilvl w:val="0"/>
          <w:numId w:val="1"/>
        </w:numPr>
        <w:adjustRightInd/>
        <w:spacing w:line="240" w:lineRule="auto"/>
        <w:ind w:left="284" w:hanging="284"/>
        <w:contextualSpacing w:val="0"/>
        <w:textAlignment w:val="auto"/>
        <w:rPr>
          <w:rFonts w:cs="Arial"/>
          <w:sz w:val="22"/>
          <w:szCs w:val="22"/>
        </w:rPr>
      </w:pPr>
      <w:r w:rsidRPr="006E6EA6">
        <w:rPr>
          <w:rFonts w:cs="Arial"/>
          <w:sz w:val="22"/>
          <w:szCs w:val="22"/>
        </w:rPr>
        <w:t xml:space="preserve">Con fecha </w:t>
      </w:r>
      <w:r w:rsidR="00D33149" w:rsidRPr="006E6EA6">
        <w:rPr>
          <w:rFonts w:cs="Arial"/>
          <w:sz w:val="22"/>
          <w:szCs w:val="22"/>
        </w:rPr>
        <w:t>3</w:t>
      </w:r>
      <w:r w:rsidR="001A06BA" w:rsidRPr="006E6EA6">
        <w:rPr>
          <w:rFonts w:cs="Arial"/>
          <w:sz w:val="22"/>
          <w:szCs w:val="22"/>
        </w:rPr>
        <w:t xml:space="preserve"> de </w:t>
      </w:r>
      <w:r w:rsidR="00D33149" w:rsidRPr="006E6EA6">
        <w:rPr>
          <w:rFonts w:cs="Arial"/>
          <w:sz w:val="22"/>
          <w:szCs w:val="22"/>
        </w:rPr>
        <w:t>septiembre</w:t>
      </w:r>
      <w:r w:rsidRPr="006E6EA6">
        <w:rPr>
          <w:rFonts w:cs="Arial"/>
          <w:sz w:val="22"/>
          <w:szCs w:val="22"/>
        </w:rPr>
        <w:t xml:space="preserve"> de 201</w:t>
      </w:r>
      <w:r w:rsidR="00C06BD1" w:rsidRPr="006E6EA6">
        <w:rPr>
          <w:rFonts w:cs="Arial"/>
          <w:sz w:val="22"/>
          <w:szCs w:val="22"/>
        </w:rPr>
        <w:t>8</w:t>
      </w:r>
      <w:r w:rsidRPr="006E6EA6">
        <w:rPr>
          <w:rFonts w:cs="Arial"/>
          <w:sz w:val="22"/>
          <w:szCs w:val="22"/>
        </w:rPr>
        <w:t xml:space="preserve"> se recibió por parte de la empresa </w:t>
      </w:r>
      <w:r w:rsidR="00D33149" w:rsidRPr="006E6EA6">
        <w:rPr>
          <w:rFonts w:cs="Arial"/>
          <w:bCs/>
          <w:sz w:val="22"/>
          <w:szCs w:val="22"/>
        </w:rPr>
        <w:t>INDUALCA S.A.</w:t>
      </w:r>
      <w:r w:rsidRPr="006E6EA6">
        <w:rPr>
          <w:rFonts w:cs="Arial"/>
          <w:sz w:val="22"/>
          <w:szCs w:val="22"/>
        </w:rPr>
        <w:t>, el reclamo por</w:t>
      </w:r>
      <w:r w:rsidR="003013F3" w:rsidRPr="006E6EA6">
        <w:rPr>
          <w:rFonts w:cs="Arial"/>
          <w:sz w:val="22"/>
          <w:szCs w:val="22"/>
        </w:rPr>
        <w:t xml:space="preserve"> el</w:t>
      </w:r>
      <w:r w:rsidRPr="006E6EA6">
        <w:rPr>
          <w:rFonts w:cs="Arial"/>
          <w:sz w:val="22"/>
          <w:szCs w:val="22"/>
        </w:rPr>
        <w:t xml:space="preserve"> incumplimiento señalado en el pá</w:t>
      </w:r>
      <w:r w:rsidR="001A06BA" w:rsidRPr="006E6EA6">
        <w:rPr>
          <w:rFonts w:cs="Arial"/>
          <w:sz w:val="22"/>
          <w:szCs w:val="22"/>
        </w:rPr>
        <w:t xml:space="preserve">rrafo [1] del presente Dictamen, </w:t>
      </w:r>
      <w:r w:rsidR="00C06BD1" w:rsidRPr="006E6EA6">
        <w:rPr>
          <w:rFonts w:cs="Arial"/>
          <w:sz w:val="22"/>
          <w:szCs w:val="22"/>
        </w:rPr>
        <w:t xml:space="preserve">así </w:t>
      </w:r>
      <w:r w:rsidR="001A06BA" w:rsidRPr="006E6EA6">
        <w:rPr>
          <w:rFonts w:cs="Arial"/>
          <w:sz w:val="22"/>
          <w:szCs w:val="22"/>
        </w:rPr>
        <w:t>como sus anexos.</w:t>
      </w:r>
      <w:r w:rsidR="00C06BD1" w:rsidRPr="006E6EA6">
        <w:rPr>
          <w:rStyle w:val="Refdenotaalpie"/>
          <w:rFonts w:cs="Arial"/>
          <w:sz w:val="22"/>
          <w:szCs w:val="22"/>
        </w:rPr>
        <w:footnoteReference w:id="2"/>
      </w:r>
    </w:p>
    <w:p w:rsidR="009A4199" w:rsidRPr="006E6EA6" w:rsidRDefault="009A4199" w:rsidP="006E6EA6">
      <w:pPr>
        <w:pStyle w:val="Prrafodelista"/>
        <w:widowControl/>
        <w:adjustRightInd/>
        <w:spacing w:line="240" w:lineRule="auto"/>
        <w:ind w:left="284" w:hanging="284"/>
        <w:contextualSpacing w:val="0"/>
        <w:textAlignment w:val="auto"/>
        <w:rPr>
          <w:rFonts w:cs="Arial"/>
          <w:sz w:val="22"/>
          <w:szCs w:val="22"/>
        </w:rPr>
      </w:pPr>
    </w:p>
    <w:p w:rsidR="004C18DA" w:rsidRPr="006E6EA6" w:rsidRDefault="00A874F6" w:rsidP="006E6EA6">
      <w:pPr>
        <w:pStyle w:val="Prrafodelista"/>
        <w:widowControl/>
        <w:numPr>
          <w:ilvl w:val="0"/>
          <w:numId w:val="1"/>
        </w:numPr>
        <w:adjustRightInd/>
        <w:spacing w:line="240" w:lineRule="auto"/>
        <w:ind w:left="284" w:hanging="284"/>
        <w:contextualSpacing w:val="0"/>
        <w:textAlignment w:val="auto"/>
        <w:rPr>
          <w:rFonts w:cs="Arial"/>
          <w:sz w:val="22"/>
          <w:szCs w:val="22"/>
        </w:rPr>
      </w:pPr>
      <w:r w:rsidRPr="006E6EA6">
        <w:rPr>
          <w:rFonts w:cs="Arial"/>
          <w:sz w:val="22"/>
          <w:szCs w:val="22"/>
        </w:rPr>
        <w:t xml:space="preserve">Mediante </w:t>
      </w:r>
      <w:r w:rsidR="00E1592A" w:rsidRPr="006E6EA6">
        <w:rPr>
          <w:rFonts w:cs="Arial"/>
          <w:sz w:val="22"/>
          <w:szCs w:val="22"/>
        </w:rPr>
        <w:t>Comunicación</w:t>
      </w:r>
      <w:r w:rsidRPr="006E6EA6">
        <w:rPr>
          <w:rFonts w:cs="Arial"/>
          <w:sz w:val="22"/>
          <w:szCs w:val="22"/>
        </w:rPr>
        <w:t xml:space="preserve"> SG/E/SJ/</w:t>
      </w:r>
      <w:r w:rsidR="00806B39" w:rsidRPr="006E6EA6">
        <w:rPr>
          <w:rFonts w:cs="Arial"/>
          <w:sz w:val="22"/>
          <w:szCs w:val="22"/>
        </w:rPr>
        <w:t>1742</w:t>
      </w:r>
      <w:r w:rsidRPr="006E6EA6">
        <w:rPr>
          <w:rFonts w:cs="Arial"/>
          <w:sz w:val="22"/>
          <w:szCs w:val="22"/>
        </w:rPr>
        <w:t>/2018</w:t>
      </w:r>
      <w:r w:rsidR="00067C43" w:rsidRPr="006E6EA6">
        <w:rPr>
          <w:rFonts w:cs="Arial"/>
          <w:sz w:val="22"/>
          <w:szCs w:val="22"/>
        </w:rPr>
        <w:t>,</w:t>
      </w:r>
      <w:r w:rsidR="004C18DA" w:rsidRPr="006E6EA6">
        <w:rPr>
          <w:rFonts w:cs="Arial"/>
          <w:sz w:val="22"/>
          <w:szCs w:val="22"/>
        </w:rPr>
        <w:t xml:space="preserve"> de fecha 10 de </w:t>
      </w:r>
      <w:r w:rsidR="00806B39" w:rsidRPr="006E6EA6">
        <w:rPr>
          <w:rFonts w:cs="Arial"/>
          <w:sz w:val="22"/>
          <w:szCs w:val="22"/>
        </w:rPr>
        <w:t>septiembre</w:t>
      </w:r>
      <w:r w:rsidR="00E1592A" w:rsidRPr="006E6EA6">
        <w:rPr>
          <w:rFonts w:cs="Arial"/>
          <w:sz w:val="22"/>
          <w:szCs w:val="22"/>
        </w:rPr>
        <w:t xml:space="preserve"> de </w:t>
      </w:r>
      <w:r w:rsidR="004C18DA" w:rsidRPr="006E6EA6">
        <w:rPr>
          <w:rFonts w:cs="Arial"/>
          <w:sz w:val="22"/>
          <w:szCs w:val="22"/>
        </w:rPr>
        <w:t xml:space="preserve">2018, se requirió a la reclamante que subsanara los requisitos de admisibilidad referidos a: i) la identificación </w:t>
      </w:r>
      <w:r w:rsidR="00806B39" w:rsidRPr="006E6EA6">
        <w:rPr>
          <w:rFonts w:cs="Arial"/>
          <w:sz w:val="22"/>
          <w:szCs w:val="22"/>
        </w:rPr>
        <w:t xml:space="preserve">o descripción clara de las medidas o conductas que constituyen el presunto incumplimiento al ordenamiento </w:t>
      </w:r>
      <w:r w:rsidR="002B7945" w:rsidRPr="006E6EA6">
        <w:rPr>
          <w:rFonts w:cs="Arial"/>
          <w:sz w:val="22"/>
          <w:szCs w:val="22"/>
        </w:rPr>
        <w:t xml:space="preserve">jurídico </w:t>
      </w:r>
      <w:r w:rsidR="00806B39" w:rsidRPr="006E6EA6">
        <w:rPr>
          <w:rFonts w:cs="Arial"/>
          <w:sz w:val="22"/>
          <w:szCs w:val="22"/>
        </w:rPr>
        <w:t>comunitario</w:t>
      </w:r>
      <w:r w:rsidR="004C18DA" w:rsidRPr="006E6EA6">
        <w:rPr>
          <w:rFonts w:cs="Arial"/>
          <w:sz w:val="22"/>
          <w:szCs w:val="22"/>
        </w:rPr>
        <w:t xml:space="preserve">; ii) </w:t>
      </w:r>
      <w:r w:rsidR="00806B39" w:rsidRPr="006E6EA6">
        <w:rPr>
          <w:rFonts w:cs="Arial"/>
          <w:sz w:val="22"/>
          <w:szCs w:val="22"/>
        </w:rPr>
        <w:t>la identificación de las normas presuntamente incumplidas</w:t>
      </w:r>
      <w:r w:rsidR="004C18DA" w:rsidRPr="006E6EA6">
        <w:rPr>
          <w:rFonts w:cs="Arial"/>
          <w:sz w:val="22"/>
          <w:szCs w:val="22"/>
        </w:rPr>
        <w:t xml:space="preserve">; </w:t>
      </w:r>
      <w:r w:rsidR="00806B39" w:rsidRPr="006E6EA6">
        <w:rPr>
          <w:rFonts w:cs="Arial"/>
          <w:sz w:val="22"/>
          <w:szCs w:val="22"/>
        </w:rPr>
        <w:t xml:space="preserve">iii) la fundamentación de las razones por las que la reclamante considera que las medidas o conductas reclamadas constituyen un incumplimiento de la normativa comunitaria; iv) la representación y mandato legal; </w:t>
      </w:r>
      <w:r w:rsidR="004C18DA" w:rsidRPr="006E6EA6">
        <w:rPr>
          <w:rFonts w:cs="Arial"/>
          <w:sz w:val="22"/>
          <w:szCs w:val="22"/>
        </w:rPr>
        <w:t xml:space="preserve">y, </w:t>
      </w:r>
      <w:r w:rsidR="00806B39" w:rsidRPr="006E6EA6">
        <w:rPr>
          <w:rFonts w:cs="Arial"/>
          <w:sz w:val="22"/>
          <w:szCs w:val="22"/>
        </w:rPr>
        <w:t>v</w:t>
      </w:r>
      <w:r w:rsidR="004C18DA" w:rsidRPr="006E6EA6">
        <w:rPr>
          <w:rFonts w:cs="Arial"/>
          <w:sz w:val="22"/>
          <w:szCs w:val="22"/>
        </w:rPr>
        <w:t xml:space="preserve">) la declaración de no haber acudido simultáneamente y por la misma causa ante un Tribunal </w:t>
      </w:r>
      <w:r w:rsidR="00F5746E" w:rsidRPr="006E6EA6">
        <w:rPr>
          <w:rFonts w:cs="Arial"/>
          <w:sz w:val="22"/>
          <w:szCs w:val="22"/>
        </w:rPr>
        <w:t>Nacional.</w:t>
      </w:r>
      <w:r w:rsidR="00806B39" w:rsidRPr="006E6EA6">
        <w:rPr>
          <w:rFonts w:cs="Arial"/>
          <w:sz w:val="22"/>
          <w:szCs w:val="22"/>
        </w:rPr>
        <w:t xml:space="preserve"> Sin perjuicio de lo anterior, se requirió además que presente copia del Recurso de Casación </w:t>
      </w:r>
      <w:r w:rsidR="00461B1C" w:rsidRPr="006E6EA6">
        <w:rPr>
          <w:rFonts w:cs="Arial"/>
          <w:sz w:val="22"/>
          <w:szCs w:val="22"/>
        </w:rPr>
        <w:t>No.</w:t>
      </w:r>
      <w:r w:rsidR="00806B39" w:rsidRPr="006E6EA6">
        <w:rPr>
          <w:rFonts w:cs="Arial"/>
          <w:sz w:val="22"/>
          <w:szCs w:val="22"/>
        </w:rPr>
        <w:t xml:space="preserve"> 102-2015 de la Corte Nacional de Justicia, copia de </w:t>
      </w:r>
      <w:r w:rsidR="002B7945" w:rsidRPr="006E6EA6">
        <w:rPr>
          <w:rFonts w:cs="Arial"/>
          <w:sz w:val="22"/>
          <w:szCs w:val="22"/>
        </w:rPr>
        <w:t xml:space="preserve">la </w:t>
      </w:r>
      <w:r w:rsidR="002B7945" w:rsidRPr="006E6EA6">
        <w:rPr>
          <w:rFonts w:cs="Arial"/>
          <w:sz w:val="22"/>
          <w:szCs w:val="22"/>
        </w:rPr>
        <w:lastRenderedPageBreak/>
        <w:t>sentencia y la aclaración a e</w:t>
      </w:r>
      <w:r w:rsidR="003C673B" w:rsidRPr="006E6EA6">
        <w:rPr>
          <w:rFonts w:cs="Arial"/>
          <w:sz w:val="22"/>
          <w:szCs w:val="22"/>
        </w:rPr>
        <w:t>sta;</w:t>
      </w:r>
      <w:r w:rsidR="00806B39" w:rsidRPr="006E6EA6">
        <w:rPr>
          <w:rFonts w:cs="Arial"/>
          <w:sz w:val="22"/>
          <w:szCs w:val="22"/>
        </w:rPr>
        <w:t xml:space="preserve"> así como el Auto, Providencia o Sentencia en la cual se verifique que dicho proceso ha concluido y se ha archivado; y, que remita copia de la “Resolución favorable Nro. 371 – 2004 – JP – Tutela Administrativa de los Derechos de Propiedad Intelectual, emitida por la Dirección Nacional de Propiedad Intelectual del IEPI y ratificada por el Tribunal de Apelaciones”, señalada en el numeral 6.10 del acápite de anexos.</w:t>
      </w:r>
      <w:r w:rsidR="00F5746E" w:rsidRPr="006E6EA6">
        <w:rPr>
          <w:rFonts w:cs="Arial"/>
          <w:sz w:val="22"/>
          <w:szCs w:val="22"/>
        </w:rPr>
        <w:t xml:space="preserve"> Para dichos efectos, la SGCAN </w:t>
      </w:r>
      <w:r w:rsidR="006D3880" w:rsidRPr="006E6EA6">
        <w:rPr>
          <w:rFonts w:cs="Arial"/>
          <w:sz w:val="22"/>
          <w:szCs w:val="22"/>
        </w:rPr>
        <w:t>concedió</w:t>
      </w:r>
      <w:r w:rsidR="004C18DA" w:rsidRPr="006E6EA6">
        <w:rPr>
          <w:rFonts w:cs="Arial"/>
          <w:sz w:val="22"/>
          <w:szCs w:val="22"/>
        </w:rPr>
        <w:t xml:space="preserve"> a la reclamante un plazo de quince (15) días hábiles.</w:t>
      </w:r>
    </w:p>
    <w:p w:rsidR="00370EE1" w:rsidRPr="006E6EA6" w:rsidRDefault="00370EE1" w:rsidP="00981727">
      <w:pPr>
        <w:widowControl/>
        <w:adjustRightInd/>
        <w:spacing w:line="240" w:lineRule="auto"/>
        <w:textAlignment w:val="auto"/>
        <w:rPr>
          <w:rFonts w:cs="Arial"/>
          <w:sz w:val="22"/>
          <w:szCs w:val="22"/>
        </w:rPr>
      </w:pPr>
    </w:p>
    <w:p w:rsidR="00710D9A" w:rsidRPr="006E6EA6" w:rsidRDefault="00FE69DB" w:rsidP="006E6EA6">
      <w:pPr>
        <w:pStyle w:val="Prrafodelista"/>
        <w:widowControl/>
        <w:numPr>
          <w:ilvl w:val="0"/>
          <w:numId w:val="1"/>
        </w:numPr>
        <w:adjustRightInd/>
        <w:spacing w:line="240" w:lineRule="auto"/>
        <w:ind w:left="284" w:hanging="284"/>
        <w:contextualSpacing w:val="0"/>
        <w:textAlignment w:val="auto"/>
        <w:rPr>
          <w:rFonts w:cs="Arial"/>
          <w:sz w:val="22"/>
          <w:szCs w:val="22"/>
        </w:rPr>
      </w:pPr>
      <w:r w:rsidRPr="006E6EA6">
        <w:rPr>
          <w:rFonts w:cs="Arial"/>
          <w:sz w:val="22"/>
          <w:szCs w:val="22"/>
        </w:rPr>
        <w:t>Mediante co</w:t>
      </w:r>
      <w:r w:rsidR="00B469D2" w:rsidRPr="006E6EA6">
        <w:rPr>
          <w:rFonts w:cs="Arial"/>
          <w:sz w:val="22"/>
          <w:szCs w:val="22"/>
        </w:rPr>
        <w:t>municación</w:t>
      </w:r>
      <w:r w:rsidRPr="006E6EA6">
        <w:rPr>
          <w:rFonts w:cs="Arial"/>
          <w:sz w:val="22"/>
          <w:szCs w:val="22"/>
        </w:rPr>
        <w:t xml:space="preserve"> de fecha 26 de septiembre de 2018, </w:t>
      </w:r>
      <w:r w:rsidR="007D02CE" w:rsidRPr="006E6EA6">
        <w:rPr>
          <w:rFonts w:cs="Arial"/>
          <w:sz w:val="22"/>
          <w:szCs w:val="22"/>
        </w:rPr>
        <w:t xml:space="preserve">la reclamante </w:t>
      </w:r>
      <w:r w:rsidRPr="006E6EA6">
        <w:rPr>
          <w:rFonts w:cs="Arial"/>
          <w:sz w:val="22"/>
          <w:szCs w:val="22"/>
        </w:rPr>
        <w:t>remitió</w:t>
      </w:r>
      <w:r w:rsidR="003E2537" w:rsidRPr="006E6EA6">
        <w:rPr>
          <w:rFonts w:cs="Arial"/>
          <w:sz w:val="22"/>
          <w:szCs w:val="22"/>
        </w:rPr>
        <w:t xml:space="preserve"> a la </w:t>
      </w:r>
      <w:r w:rsidR="00F164D5" w:rsidRPr="006E6EA6">
        <w:rPr>
          <w:rFonts w:cs="Arial"/>
          <w:sz w:val="22"/>
          <w:szCs w:val="22"/>
        </w:rPr>
        <w:t>SGCAN</w:t>
      </w:r>
      <w:r w:rsidRPr="006E6EA6">
        <w:rPr>
          <w:rFonts w:cs="Arial"/>
          <w:sz w:val="22"/>
          <w:szCs w:val="22"/>
        </w:rPr>
        <w:t xml:space="preserve"> el escrito de</w:t>
      </w:r>
      <w:r w:rsidR="007D02CE" w:rsidRPr="006E6EA6">
        <w:rPr>
          <w:rFonts w:cs="Arial"/>
          <w:sz w:val="22"/>
          <w:szCs w:val="22"/>
        </w:rPr>
        <w:t xml:space="preserve"> respuesta a la comunicación SG/E/SJ/</w:t>
      </w:r>
      <w:r w:rsidRPr="006E6EA6">
        <w:rPr>
          <w:rFonts w:cs="Arial"/>
          <w:sz w:val="22"/>
          <w:szCs w:val="22"/>
        </w:rPr>
        <w:t>1742</w:t>
      </w:r>
      <w:r w:rsidR="007D02CE" w:rsidRPr="006E6EA6">
        <w:rPr>
          <w:rFonts w:cs="Arial"/>
          <w:sz w:val="22"/>
          <w:szCs w:val="22"/>
        </w:rPr>
        <w:t xml:space="preserve">/2018 de fecha 10 de </w:t>
      </w:r>
      <w:r w:rsidRPr="006E6EA6">
        <w:rPr>
          <w:rFonts w:cs="Arial"/>
          <w:sz w:val="22"/>
          <w:szCs w:val="22"/>
        </w:rPr>
        <w:t>septiembre</w:t>
      </w:r>
      <w:r w:rsidR="007D02CE" w:rsidRPr="006E6EA6">
        <w:rPr>
          <w:rFonts w:cs="Arial"/>
          <w:sz w:val="22"/>
          <w:szCs w:val="22"/>
        </w:rPr>
        <w:t xml:space="preserve"> de 2018</w:t>
      </w:r>
      <w:r w:rsidRPr="006E6EA6">
        <w:rPr>
          <w:rFonts w:cs="Arial"/>
          <w:sz w:val="22"/>
          <w:szCs w:val="22"/>
        </w:rPr>
        <w:t xml:space="preserve"> y nueve archivos electrónicos</w:t>
      </w:r>
      <w:r w:rsidRPr="006E6EA6">
        <w:rPr>
          <w:rStyle w:val="Refdenotaalpie"/>
          <w:rFonts w:cs="Arial"/>
          <w:sz w:val="22"/>
          <w:szCs w:val="22"/>
        </w:rPr>
        <w:footnoteReference w:id="3"/>
      </w:r>
      <w:r w:rsidR="007E324C" w:rsidRPr="006E6EA6">
        <w:rPr>
          <w:rFonts w:cs="Arial"/>
          <w:sz w:val="22"/>
          <w:szCs w:val="22"/>
        </w:rPr>
        <w:t>.</w:t>
      </w:r>
    </w:p>
    <w:p w:rsidR="00710D9A" w:rsidRPr="006E6EA6" w:rsidRDefault="00710D9A" w:rsidP="00981727">
      <w:pPr>
        <w:pStyle w:val="Prrafodelista"/>
        <w:spacing w:line="240" w:lineRule="auto"/>
        <w:contextualSpacing w:val="0"/>
        <w:rPr>
          <w:rFonts w:cs="Arial"/>
          <w:sz w:val="22"/>
          <w:szCs w:val="22"/>
        </w:rPr>
      </w:pPr>
    </w:p>
    <w:p w:rsidR="00710D9A" w:rsidRPr="006E6EA6" w:rsidRDefault="001E36E0" w:rsidP="006E6EA6">
      <w:pPr>
        <w:pStyle w:val="Prrafodelista"/>
        <w:widowControl/>
        <w:numPr>
          <w:ilvl w:val="0"/>
          <w:numId w:val="1"/>
        </w:numPr>
        <w:adjustRightInd/>
        <w:spacing w:line="240" w:lineRule="auto"/>
        <w:ind w:left="284" w:hanging="284"/>
        <w:contextualSpacing w:val="0"/>
        <w:textAlignment w:val="auto"/>
        <w:rPr>
          <w:rFonts w:cs="Arial"/>
          <w:sz w:val="22"/>
          <w:szCs w:val="22"/>
        </w:rPr>
      </w:pPr>
      <w:r w:rsidRPr="006E6EA6">
        <w:rPr>
          <w:rFonts w:cs="Arial"/>
          <w:sz w:val="22"/>
          <w:szCs w:val="22"/>
          <w:shd w:val="clear" w:color="auto" w:fill="FFFFFF"/>
        </w:rPr>
        <w:t>Med</w:t>
      </w:r>
      <w:r w:rsidR="00FE69DB" w:rsidRPr="006E6EA6">
        <w:rPr>
          <w:rFonts w:cs="Arial"/>
          <w:sz w:val="22"/>
          <w:szCs w:val="22"/>
          <w:shd w:val="clear" w:color="auto" w:fill="FFFFFF"/>
        </w:rPr>
        <w:t>iante Comunicación SG/E/SJ/1918</w:t>
      </w:r>
      <w:r w:rsidRPr="006E6EA6">
        <w:rPr>
          <w:rFonts w:cs="Arial"/>
          <w:sz w:val="22"/>
          <w:szCs w:val="22"/>
          <w:shd w:val="clear" w:color="auto" w:fill="FFFFFF"/>
        </w:rPr>
        <w:t xml:space="preserve">/2018 </w:t>
      </w:r>
      <w:r w:rsidR="00710D9A" w:rsidRPr="006E6EA6">
        <w:rPr>
          <w:rFonts w:cs="Arial"/>
          <w:sz w:val="22"/>
          <w:szCs w:val="22"/>
          <w:shd w:val="clear" w:color="auto" w:fill="FFFFFF"/>
        </w:rPr>
        <w:t xml:space="preserve">de fecha </w:t>
      </w:r>
      <w:r w:rsidRPr="006E6EA6">
        <w:rPr>
          <w:rFonts w:cs="Arial"/>
          <w:sz w:val="22"/>
          <w:szCs w:val="22"/>
          <w:shd w:val="clear" w:color="auto" w:fill="FFFFFF"/>
        </w:rPr>
        <w:t>3</w:t>
      </w:r>
      <w:r w:rsidR="00710D9A" w:rsidRPr="006E6EA6">
        <w:rPr>
          <w:rFonts w:cs="Arial"/>
          <w:sz w:val="22"/>
          <w:szCs w:val="22"/>
          <w:shd w:val="clear" w:color="auto" w:fill="FFFFFF"/>
        </w:rPr>
        <w:t xml:space="preserve"> de</w:t>
      </w:r>
      <w:r w:rsidRPr="006E6EA6">
        <w:rPr>
          <w:rFonts w:cs="Arial"/>
          <w:sz w:val="22"/>
          <w:szCs w:val="22"/>
          <w:shd w:val="clear" w:color="auto" w:fill="FFFFFF"/>
        </w:rPr>
        <w:t xml:space="preserve"> </w:t>
      </w:r>
      <w:r w:rsidR="00FE69DB" w:rsidRPr="006E6EA6">
        <w:rPr>
          <w:rFonts w:cs="Arial"/>
          <w:sz w:val="22"/>
          <w:szCs w:val="22"/>
          <w:shd w:val="clear" w:color="auto" w:fill="FFFFFF"/>
        </w:rPr>
        <w:t>octubre</w:t>
      </w:r>
      <w:r w:rsidRPr="006E6EA6">
        <w:rPr>
          <w:rFonts w:cs="Arial"/>
          <w:sz w:val="22"/>
          <w:szCs w:val="22"/>
          <w:shd w:val="clear" w:color="auto" w:fill="FFFFFF"/>
        </w:rPr>
        <w:t xml:space="preserve"> de</w:t>
      </w:r>
      <w:r w:rsidR="00710D9A" w:rsidRPr="006E6EA6">
        <w:rPr>
          <w:rFonts w:cs="Arial"/>
          <w:sz w:val="22"/>
          <w:szCs w:val="22"/>
          <w:shd w:val="clear" w:color="auto" w:fill="FFFFFF"/>
        </w:rPr>
        <w:t xml:space="preserve"> 2018, la </w:t>
      </w:r>
      <w:r w:rsidR="003E2537" w:rsidRPr="006E6EA6">
        <w:rPr>
          <w:rFonts w:cs="Arial"/>
          <w:sz w:val="22"/>
          <w:szCs w:val="22"/>
          <w:shd w:val="clear" w:color="auto" w:fill="FFFFFF"/>
        </w:rPr>
        <w:t>SGCAN</w:t>
      </w:r>
      <w:r w:rsidR="00710D9A" w:rsidRPr="006E6EA6">
        <w:rPr>
          <w:rFonts w:cs="Arial"/>
          <w:sz w:val="22"/>
          <w:szCs w:val="22"/>
          <w:shd w:val="clear" w:color="auto" w:fill="FFFFFF"/>
        </w:rPr>
        <w:t xml:space="preserve"> </w:t>
      </w:r>
      <w:r w:rsidR="00380131" w:rsidRPr="006E6EA6">
        <w:rPr>
          <w:rFonts w:cs="Arial"/>
          <w:sz w:val="22"/>
          <w:szCs w:val="22"/>
          <w:shd w:val="clear" w:color="auto" w:fill="FFFFFF"/>
        </w:rPr>
        <w:t xml:space="preserve">determinó, luego de la evaluación correspondiente, que la </w:t>
      </w:r>
      <w:r w:rsidR="00FE69DB" w:rsidRPr="006E6EA6">
        <w:rPr>
          <w:rFonts w:cs="Arial"/>
          <w:sz w:val="22"/>
          <w:szCs w:val="22"/>
          <w:shd w:val="clear" w:color="auto" w:fill="FFFFFF"/>
        </w:rPr>
        <w:t>reclamación presentada por la</w:t>
      </w:r>
      <w:r w:rsidR="00380131" w:rsidRPr="006E6EA6">
        <w:rPr>
          <w:rFonts w:cs="Arial"/>
          <w:sz w:val="22"/>
          <w:szCs w:val="22"/>
          <w:shd w:val="clear" w:color="auto" w:fill="FFFFFF"/>
        </w:rPr>
        <w:t xml:space="preserve"> reclamante se encontraba completa y conforme a lo dispuesto en </w:t>
      </w:r>
      <w:r w:rsidR="0003775F" w:rsidRPr="006E6EA6">
        <w:rPr>
          <w:rFonts w:cs="Arial"/>
          <w:sz w:val="22"/>
          <w:szCs w:val="22"/>
          <w:shd w:val="clear" w:color="auto" w:fill="FFFFFF"/>
        </w:rPr>
        <w:t xml:space="preserve">el </w:t>
      </w:r>
      <w:r w:rsidR="00380131" w:rsidRPr="006E6EA6">
        <w:rPr>
          <w:rFonts w:cs="Arial"/>
          <w:sz w:val="22"/>
          <w:szCs w:val="22"/>
          <w:shd w:val="clear" w:color="auto" w:fill="FFFFFF"/>
        </w:rPr>
        <w:t xml:space="preserve">artículo 16 de la Decisión 623, </w:t>
      </w:r>
      <w:r w:rsidR="00461B1C" w:rsidRPr="006E6EA6">
        <w:rPr>
          <w:rFonts w:cs="Arial"/>
          <w:sz w:val="22"/>
          <w:szCs w:val="22"/>
          <w:shd w:val="clear" w:color="auto" w:fill="FFFFFF"/>
        </w:rPr>
        <w:t xml:space="preserve">y </w:t>
      </w:r>
      <w:r w:rsidR="00710D9A" w:rsidRPr="006E6EA6">
        <w:rPr>
          <w:rFonts w:cs="Arial"/>
          <w:sz w:val="22"/>
          <w:szCs w:val="22"/>
          <w:shd w:val="clear" w:color="auto" w:fill="FFFFFF"/>
        </w:rPr>
        <w:t xml:space="preserve">admitió a trámite </w:t>
      </w:r>
      <w:r w:rsidR="003912B2" w:rsidRPr="006E6EA6">
        <w:rPr>
          <w:rFonts w:cs="Arial"/>
          <w:sz w:val="22"/>
          <w:szCs w:val="22"/>
          <w:shd w:val="clear" w:color="auto" w:fill="FFFFFF"/>
        </w:rPr>
        <w:t>el reclamo</w:t>
      </w:r>
      <w:r w:rsidR="0003775F" w:rsidRPr="006E6EA6">
        <w:rPr>
          <w:rStyle w:val="Refdenotaalpie"/>
          <w:rFonts w:cs="Arial"/>
          <w:sz w:val="22"/>
          <w:szCs w:val="22"/>
          <w:shd w:val="clear" w:color="auto" w:fill="FFFFFF"/>
        </w:rPr>
        <w:footnoteReference w:id="4"/>
      </w:r>
      <w:r w:rsidR="00710D9A" w:rsidRPr="006E6EA6">
        <w:rPr>
          <w:rFonts w:cs="Arial"/>
          <w:sz w:val="22"/>
          <w:szCs w:val="22"/>
          <w:shd w:val="clear" w:color="auto" w:fill="FFFFFF"/>
        </w:rPr>
        <w:t>.</w:t>
      </w:r>
      <w:r w:rsidRPr="006E6EA6">
        <w:rPr>
          <w:rFonts w:cs="Arial"/>
          <w:sz w:val="22"/>
          <w:szCs w:val="22"/>
          <w:shd w:val="clear" w:color="auto" w:fill="FFFFFF"/>
        </w:rPr>
        <w:t xml:space="preserve"> </w:t>
      </w:r>
    </w:p>
    <w:p w:rsidR="00710D9A" w:rsidRPr="006E6EA6" w:rsidRDefault="00710D9A" w:rsidP="00981727">
      <w:pPr>
        <w:pStyle w:val="Prrafodelista"/>
        <w:spacing w:line="240" w:lineRule="auto"/>
        <w:ind w:hanging="414"/>
        <w:contextualSpacing w:val="0"/>
        <w:rPr>
          <w:rFonts w:cs="Arial"/>
          <w:sz w:val="22"/>
          <w:szCs w:val="22"/>
        </w:rPr>
      </w:pPr>
    </w:p>
    <w:p w:rsidR="00710D9A" w:rsidRPr="006E6EA6" w:rsidRDefault="00710D9A" w:rsidP="006E6EA6">
      <w:pPr>
        <w:pStyle w:val="Prrafodelista"/>
        <w:widowControl/>
        <w:numPr>
          <w:ilvl w:val="0"/>
          <w:numId w:val="1"/>
        </w:numPr>
        <w:adjustRightInd/>
        <w:spacing w:line="240" w:lineRule="auto"/>
        <w:ind w:left="284" w:hanging="284"/>
        <w:contextualSpacing w:val="0"/>
        <w:textAlignment w:val="auto"/>
        <w:rPr>
          <w:rFonts w:cs="Arial"/>
          <w:sz w:val="22"/>
          <w:szCs w:val="22"/>
        </w:rPr>
      </w:pPr>
      <w:r w:rsidRPr="006E6EA6">
        <w:rPr>
          <w:rFonts w:cs="Arial"/>
          <w:sz w:val="22"/>
          <w:szCs w:val="22"/>
        </w:rPr>
        <w:t xml:space="preserve">Mediante Comunicación </w:t>
      </w:r>
      <w:r w:rsidR="001E36E0" w:rsidRPr="006E6EA6">
        <w:rPr>
          <w:rFonts w:cs="Arial"/>
          <w:sz w:val="22"/>
          <w:szCs w:val="22"/>
          <w:shd w:val="clear" w:color="auto" w:fill="FFFFFF"/>
        </w:rPr>
        <w:t>SG/E/SJ/</w:t>
      </w:r>
      <w:r w:rsidR="00C64103" w:rsidRPr="006E6EA6">
        <w:rPr>
          <w:rFonts w:cs="Arial"/>
          <w:sz w:val="22"/>
          <w:szCs w:val="22"/>
          <w:shd w:val="clear" w:color="auto" w:fill="FFFFFF"/>
        </w:rPr>
        <w:t>1919</w:t>
      </w:r>
      <w:r w:rsidR="001E36E0" w:rsidRPr="006E6EA6">
        <w:rPr>
          <w:rFonts w:cs="Arial"/>
          <w:sz w:val="22"/>
          <w:szCs w:val="22"/>
          <w:shd w:val="clear" w:color="auto" w:fill="FFFFFF"/>
        </w:rPr>
        <w:t xml:space="preserve">/2018 de fecha </w:t>
      </w:r>
      <w:r w:rsidR="00C64103" w:rsidRPr="006E6EA6">
        <w:rPr>
          <w:rFonts w:cs="Arial"/>
          <w:sz w:val="22"/>
          <w:szCs w:val="22"/>
          <w:shd w:val="clear" w:color="auto" w:fill="FFFFFF"/>
        </w:rPr>
        <w:t>3</w:t>
      </w:r>
      <w:r w:rsidR="001E36E0" w:rsidRPr="006E6EA6">
        <w:rPr>
          <w:rFonts w:cs="Arial"/>
          <w:sz w:val="22"/>
          <w:szCs w:val="22"/>
          <w:shd w:val="clear" w:color="auto" w:fill="FFFFFF"/>
        </w:rPr>
        <w:t xml:space="preserve"> de </w:t>
      </w:r>
      <w:r w:rsidR="00C64103" w:rsidRPr="006E6EA6">
        <w:rPr>
          <w:rFonts w:cs="Arial"/>
          <w:sz w:val="22"/>
          <w:szCs w:val="22"/>
          <w:shd w:val="clear" w:color="auto" w:fill="FFFFFF"/>
        </w:rPr>
        <w:t>octubre</w:t>
      </w:r>
      <w:r w:rsidR="001E36E0" w:rsidRPr="006E6EA6">
        <w:rPr>
          <w:rFonts w:cs="Arial"/>
          <w:sz w:val="22"/>
          <w:szCs w:val="22"/>
          <w:shd w:val="clear" w:color="auto" w:fill="FFFFFF"/>
        </w:rPr>
        <w:t xml:space="preserve"> de 2018, la SGCAN </w:t>
      </w:r>
      <w:r w:rsidRPr="006E6EA6">
        <w:rPr>
          <w:rFonts w:cs="Arial"/>
          <w:sz w:val="22"/>
          <w:szCs w:val="22"/>
        </w:rPr>
        <w:t>corrió tr</w:t>
      </w:r>
      <w:r w:rsidR="001E36E0" w:rsidRPr="006E6EA6">
        <w:rPr>
          <w:rFonts w:cs="Arial"/>
          <w:sz w:val="22"/>
          <w:szCs w:val="22"/>
        </w:rPr>
        <w:t xml:space="preserve">aslado a la República del </w:t>
      </w:r>
      <w:r w:rsidR="00C64103" w:rsidRPr="006E6EA6">
        <w:rPr>
          <w:rFonts w:cs="Arial"/>
          <w:sz w:val="22"/>
          <w:szCs w:val="22"/>
        </w:rPr>
        <w:t>Ecuador</w:t>
      </w:r>
      <w:r w:rsidR="001E36E0" w:rsidRPr="006E6EA6">
        <w:rPr>
          <w:rFonts w:cs="Arial"/>
          <w:sz w:val="22"/>
          <w:szCs w:val="22"/>
        </w:rPr>
        <w:t xml:space="preserve"> </w:t>
      </w:r>
      <w:r w:rsidRPr="006E6EA6">
        <w:rPr>
          <w:rFonts w:cs="Arial"/>
          <w:sz w:val="22"/>
          <w:szCs w:val="22"/>
        </w:rPr>
        <w:t>del reclamo</w:t>
      </w:r>
      <w:r w:rsidR="003912B2" w:rsidRPr="006E6EA6">
        <w:rPr>
          <w:rFonts w:cs="Arial"/>
          <w:sz w:val="22"/>
          <w:szCs w:val="22"/>
        </w:rPr>
        <w:t xml:space="preserve"> presentado por la reclamante</w:t>
      </w:r>
      <w:r w:rsidRPr="006E6EA6">
        <w:rPr>
          <w:rFonts w:cs="Arial"/>
          <w:sz w:val="22"/>
          <w:szCs w:val="22"/>
        </w:rPr>
        <w:t xml:space="preserve">, otorgándole un plazo de </w:t>
      </w:r>
      <w:r w:rsidR="00C64103" w:rsidRPr="006E6EA6">
        <w:rPr>
          <w:rFonts w:cs="Arial"/>
          <w:sz w:val="22"/>
          <w:szCs w:val="22"/>
        </w:rPr>
        <w:t>treinta</w:t>
      </w:r>
      <w:r w:rsidR="003912B2" w:rsidRPr="006E6EA6">
        <w:rPr>
          <w:rFonts w:cs="Arial"/>
          <w:sz w:val="22"/>
          <w:szCs w:val="22"/>
        </w:rPr>
        <w:t xml:space="preserve"> (</w:t>
      </w:r>
      <w:r w:rsidR="00C64103" w:rsidRPr="006E6EA6">
        <w:rPr>
          <w:rFonts w:cs="Arial"/>
          <w:sz w:val="22"/>
          <w:szCs w:val="22"/>
        </w:rPr>
        <w:t>30</w:t>
      </w:r>
      <w:r w:rsidR="003912B2" w:rsidRPr="006E6EA6">
        <w:rPr>
          <w:rFonts w:cs="Arial"/>
          <w:sz w:val="22"/>
          <w:szCs w:val="22"/>
        </w:rPr>
        <w:t>)</w:t>
      </w:r>
      <w:r w:rsidR="001E36E0" w:rsidRPr="006E6EA6">
        <w:rPr>
          <w:rFonts w:cs="Arial"/>
          <w:sz w:val="22"/>
          <w:szCs w:val="22"/>
        </w:rPr>
        <w:t xml:space="preserve"> días</w:t>
      </w:r>
      <w:r w:rsidR="003912B2" w:rsidRPr="006E6EA6">
        <w:rPr>
          <w:rFonts w:cs="Arial"/>
          <w:sz w:val="22"/>
          <w:szCs w:val="22"/>
        </w:rPr>
        <w:t xml:space="preserve"> </w:t>
      </w:r>
      <w:r w:rsidR="00C64103" w:rsidRPr="006E6EA6">
        <w:rPr>
          <w:rFonts w:cs="Arial"/>
          <w:sz w:val="22"/>
          <w:szCs w:val="22"/>
        </w:rPr>
        <w:t>calendario</w:t>
      </w:r>
      <w:r w:rsidR="001E36E0" w:rsidRPr="006E6EA6">
        <w:rPr>
          <w:rFonts w:cs="Arial"/>
          <w:sz w:val="22"/>
          <w:szCs w:val="22"/>
        </w:rPr>
        <w:t xml:space="preserve"> para su contestación. </w:t>
      </w:r>
      <w:r w:rsidR="003912B2" w:rsidRPr="006E6EA6">
        <w:rPr>
          <w:rFonts w:cs="Arial"/>
          <w:sz w:val="22"/>
          <w:szCs w:val="22"/>
        </w:rPr>
        <w:t>A</w:t>
      </w:r>
      <w:r w:rsidRPr="006E6EA6">
        <w:rPr>
          <w:rFonts w:cs="Arial"/>
          <w:sz w:val="22"/>
          <w:szCs w:val="22"/>
        </w:rPr>
        <w:t xml:space="preserve">simismo, mediante Comunicación </w:t>
      </w:r>
      <w:r w:rsidR="003912B2" w:rsidRPr="006E6EA6">
        <w:rPr>
          <w:rFonts w:cs="Arial"/>
          <w:sz w:val="22"/>
          <w:szCs w:val="22"/>
          <w:shd w:val="clear" w:color="auto" w:fill="FFFFFF"/>
        </w:rPr>
        <w:t>SG/E/SJ/</w:t>
      </w:r>
      <w:r w:rsidR="00C64103" w:rsidRPr="006E6EA6">
        <w:rPr>
          <w:rFonts w:cs="Arial"/>
          <w:sz w:val="22"/>
          <w:szCs w:val="22"/>
          <w:shd w:val="clear" w:color="auto" w:fill="FFFFFF"/>
        </w:rPr>
        <w:t>1920</w:t>
      </w:r>
      <w:r w:rsidR="003912B2" w:rsidRPr="006E6EA6">
        <w:rPr>
          <w:rFonts w:cs="Arial"/>
          <w:sz w:val="22"/>
          <w:szCs w:val="22"/>
          <w:shd w:val="clear" w:color="auto" w:fill="FFFFFF"/>
        </w:rPr>
        <w:t xml:space="preserve">/2018 de </w:t>
      </w:r>
      <w:r w:rsidR="00E34496" w:rsidRPr="006E6EA6">
        <w:rPr>
          <w:rFonts w:cs="Arial"/>
          <w:sz w:val="22"/>
          <w:szCs w:val="22"/>
          <w:shd w:val="clear" w:color="auto" w:fill="FFFFFF"/>
        </w:rPr>
        <w:t>la misma fecha</w:t>
      </w:r>
      <w:r w:rsidR="003912B2" w:rsidRPr="006E6EA6">
        <w:rPr>
          <w:rFonts w:cs="Arial"/>
          <w:sz w:val="22"/>
          <w:szCs w:val="22"/>
          <w:shd w:val="clear" w:color="auto" w:fill="FFFFFF"/>
        </w:rPr>
        <w:t xml:space="preserve">, </w:t>
      </w:r>
      <w:r w:rsidR="007E324C" w:rsidRPr="006E6EA6">
        <w:rPr>
          <w:rFonts w:cs="Arial"/>
          <w:sz w:val="22"/>
          <w:szCs w:val="22"/>
        </w:rPr>
        <w:t>la SGCAN</w:t>
      </w:r>
      <w:r w:rsidRPr="006E6EA6">
        <w:rPr>
          <w:rFonts w:cs="Arial"/>
          <w:sz w:val="22"/>
          <w:szCs w:val="22"/>
        </w:rPr>
        <w:t xml:space="preserve"> </w:t>
      </w:r>
      <w:r w:rsidR="003912B2" w:rsidRPr="006E6EA6">
        <w:rPr>
          <w:rFonts w:cs="Arial"/>
          <w:sz w:val="22"/>
          <w:szCs w:val="22"/>
        </w:rPr>
        <w:t>remitió el referido reclamo a los demás Países Miembros</w:t>
      </w:r>
      <w:r w:rsidRPr="006E6EA6">
        <w:rPr>
          <w:rFonts w:cs="Arial"/>
          <w:sz w:val="22"/>
          <w:szCs w:val="22"/>
        </w:rPr>
        <w:t xml:space="preserve">, a fin de que presenten los elementos de información que estimaran pertinentes. </w:t>
      </w:r>
    </w:p>
    <w:p w:rsidR="00710D9A" w:rsidRPr="006E6EA6" w:rsidRDefault="00710D9A" w:rsidP="006E6EA6">
      <w:pPr>
        <w:pStyle w:val="Prrafodelista"/>
        <w:spacing w:line="240" w:lineRule="auto"/>
        <w:ind w:left="284" w:hanging="284"/>
        <w:contextualSpacing w:val="0"/>
        <w:rPr>
          <w:rFonts w:cs="Arial"/>
          <w:sz w:val="22"/>
          <w:szCs w:val="22"/>
        </w:rPr>
      </w:pPr>
    </w:p>
    <w:p w:rsidR="00BE3446" w:rsidRPr="006E6EA6" w:rsidRDefault="00BE3446" w:rsidP="006E6EA6">
      <w:pPr>
        <w:pStyle w:val="Prrafodelista"/>
        <w:widowControl/>
        <w:numPr>
          <w:ilvl w:val="0"/>
          <w:numId w:val="1"/>
        </w:numPr>
        <w:adjustRightInd/>
        <w:spacing w:line="240" w:lineRule="auto"/>
        <w:ind w:left="284" w:hanging="284"/>
        <w:contextualSpacing w:val="0"/>
        <w:textAlignment w:val="auto"/>
        <w:rPr>
          <w:rFonts w:cs="Arial"/>
          <w:sz w:val="22"/>
          <w:szCs w:val="22"/>
        </w:rPr>
      </w:pPr>
      <w:r w:rsidRPr="006E6EA6">
        <w:rPr>
          <w:rFonts w:cs="Arial"/>
          <w:sz w:val="22"/>
          <w:szCs w:val="22"/>
        </w:rPr>
        <w:t xml:space="preserve">Mediante </w:t>
      </w:r>
      <w:r w:rsidR="00710D9A" w:rsidRPr="006E6EA6">
        <w:rPr>
          <w:rFonts w:cs="Arial"/>
          <w:sz w:val="22"/>
          <w:szCs w:val="22"/>
        </w:rPr>
        <w:t>Oficio N</w:t>
      </w:r>
      <w:r w:rsidR="00C64103" w:rsidRPr="006E6EA6">
        <w:rPr>
          <w:rFonts w:cs="Arial"/>
          <w:sz w:val="22"/>
          <w:szCs w:val="22"/>
        </w:rPr>
        <w:t>ro</w:t>
      </w:r>
      <w:r w:rsidR="003912B2" w:rsidRPr="006E6EA6">
        <w:rPr>
          <w:rFonts w:cs="Arial"/>
          <w:sz w:val="22"/>
          <w:szCs w:val="22"/>
        </w:rPr>
        <w:t>.</w:t>
      </w:r>
      <w:r w:rsidR="00710D9A" w:rsidRPr="006E6EA6">
        <w:rPr>
          <w:rFonts w:cs="Arial"/>
          <w:sz w:val="22"/>
          <w:szCs w:val="22"/>
        </w:rPr>
        <w:t xml:space="preserve"> </w:t>
      </w:r>
      <w:r w:rsidR="00C64103" w:rsidRPr="006E6EA6">
        <w:rPr>
          <w:rFonts w:cs="Arial"/>
          <w:sz w:val="22"/>
          <w:szCs w:val="22"/>
        </w:rPr>
        <w:t>MCEI-SDYNC-2018-0117 de 26 de octubre de 2018</w:t>
      </w:r>
      <w:r w:rsidR="00710D9A" w:rsidRPr="006E6EA6">
        <w:rPr>
          <w:rFonts w:cs="Arial"/>
          <w:sz w:val="22"/>
          <w:szCs w:val="22"/>
        </w:rPr>
        <w:t xml:space="preserve">, </w:t>
      </w:r>
      <w:r w:rsidR="00971708" w:rsidRPr="006E6EA6">
        <w:rPr>
          <w:rFonts w:cs="Arial"/>
          <w:sz w:val="22"/>
          <w:szCs w:val="22"/>
        </w:rPr>
        <w:t xml:space="preserve">recibido </w:t>
      </w:r>
      <w:r w:rsidR="00C64103" w:rsidRPr="006E6EA6">
        <w:rPr>
          <w:rFonts w:cs="Arial"/>
          <w:sz w:val="22"/>
          <w:szCs w:val="22"/>
        </w:rPr>
        <w:t>vía electrónica en la misma fecha</w:t>
      </w:r>
      <w:r w:rsidR="00971708" w:rsidRPr="006E6EA6">
        <w:rPr>
          <w:rFonts w:cs="Arial"/>
          <w:sz w:val="22"/>
          <w:szCs w:val="22"/>
        </w:rPr>
        <w:t xml:space="preserve">, </w:t>
      </w:r>
      <w:r w:rsidR="00710D9A" w:rsidRPr="006E6EA6">
        <w:rPr>
          <w:rFonts w:cs="Arial"/>
          <w:sz w:val="22"/>
          <w:szCs w:val="22"/>
        </w:rPr>
        <w:t xml:space="preserve">la República del </w:t>
      </w:r>
      <w:r w:rsidR="00C64103" w:rsidRPr="006E6EA6">
        <w:rPr>
          <w:rFonts w:cs="Arial"/>
          <w:sz w:val="22"/>
          <w:szCs w:val="22"/>
        </w:rPr>
        <w:t>Ecuador</w:t>
      </w:r>
      <w:r w:rsidR="00710D9A" w:rsidRPr="006E6EA6">
        <w:rPr>
          <w:rFonts w:cs="Arial"/>
          <w:sz w:val="22"/>
          <w:szCs w:val="22"/>
        </w:rPr>
        <w:t xml:space="preserve"> solicitó </w:t>
      </w:r>
      <w:r w:rsidR="003912B2" w:rsidRPr="006E6EA6">
        <w:rPr>
          <w:rFonts w:cs="Arial"/>
          <w:sz w:val="22"/>
          <w:szCs w:val="22"/>
        </w:rPr>
        <w:t>una</w:t>
      </w:r>
      <w:r w:rsidR="00710D9A" w:rsidRPr="006E6EA6">
        <w:rPr>
          <w:rFonts w:cs="Arial"/>
          <w:sz w:val="22"/>
          <w:szCs w:val="22"/>
        </w:rPr>
        <w:t xml:space="preserve"> prórroga </w:t>
      </w:r>
      <w:r w:rsidR="003912B2" w:rsidRPr="006E6EA6">
        <w:rPr>
          <w:rFonts w:cs="Arial"/>
          <w:sz w:val="22"/>
          <w:szCs w:val="22"/>
        </w:rPr>
        <w:t>de treinta (30) días calendario</w:t>
      </w:r>
      <w:r w:rsidR="005D3DE4" w:rsidRPr="006E6EA6">
        <w:rPr>
          <w:rFonts w:cs="Arial"/>
          <w:sz w:val="22"/>
          <w:szCs w:val="22"/>
        </w:rPr>
        <w:t>,</w:t>
      </w:r>
      <w:r w:rsidR="003912B2" w:rsidRPr="006E6EA6">
        <w:rPr>
          <w:rFonts w:cs="Arial"/>
          <w:sz w:val="22"/>
          <w:szCs w:val="22"/>
        </w:rPr>
        <w:t xml:space="preserve"> adicionales al</w:t>
      </w:r>
      <w:r w:rsidR="00710D9A" w:rsidRPr="006E6EA6">
        <w:rPr>
          <w:rFonts w:cs="Arial"/>
          <w:sz w:val="22"/>
          <w:szCs w:val="22"/>
        </w:rPr>
        <w:t xml:space="preserve"> plazo </w:t>
      </w:r>
      <w:r w:rsidR="003912B2" w:rsidRPr="006E6EA6">
        <w:rPr>
          <w:rFonts w:cs="Arial"/>
          <w:sz w:val="22"/>
          <w:szCs w:val="22"/>
        </w:rPr>
        <w:t>concedido por la SGCAN</w:t>
      </w:r>
      <w:r w:rsidR="005D3DE4" w:rsidRPr="006E6EA6">
        <w:rPr>
          <w:rFonts w:cs="Arial"/>
          <w:sz w:val="22"/>
          <w:szCs w:val="22"/>
        </w:rPr>
        <w:t>,</w:t>
      </w:r>
      <w:r w:rsidR="003912B2" w:rsidRPr="006E6EA6">
        <w:rPr>
          <w:rFonts w:cs="Arial"/>
          <w:sz w:val="22"/>
          <w:szCs w:val="22"/>
        </w:rPr>
        <w:t xml:space="preserve"> para presentar contestaci</w:t>
      </w:r>
      <w:r w:rsidR="00F93AD6" w:rsidRPr="006E6EA6">
        <w:rPr>
          <w:rFonts w:cs="Arial"/>
          <w:sz w:val="22"/>
          <w:szCs w:val="22"/>
        </w:rPr>
        <w:t>ón al reclamo.</w:t>
      </w:r>
    </w:p>
    <w:p w:rsidR="00BE3446" w:rsidRPr="006E6EA6" w:rsidRDefault="00BE3446" w:rsidP="006E6EA6">
      <w:pPr>
        <w:widowControl/>
        <w:adjustRightInd/>
        <w:spacing w:line="240" w:lineRule="auto"/>
        <w:ind w:left="284" w:hanging="284"/>
        <w:textAlignment w:val="auto"/>
        <w:rPr>
          <w:rFonts w:cs="Arial"/>
          <w:sz w:val="22"/>
          <w:szCs w:val="22"/>
        </w:rPr>
      </w:pPr>
    </w:p>
    <w:p w:rsidR="003D3FA8" w:rsidRPr="006E6EA6" w:rsidRDefault="006D3880" w:rsidP="006E6EA6">
      <w:pPr>
        <w:pStyle w:val="Prrafodelista"/>
        <w:widowControl/>
        <w:numPr>
          <w:ilvl w:val="0"/>
          <w:numId w:val="1"/>
        </w:numPr>
        <w:adjustRightInd/>
        <w:spacing w:line="240" w:lineRule="auto"/>
        <w:ind w:left="284" w:hanging="284"/>
        <w:contextualSpacing w:val="0"/>
        <w:textAlignment w:val="auto"/>
        <w:rPr>
          <w:rFonts w:cs="Arial"/>
          <w:sz w:val="22"/>
          <w:szCs w:val="22"/>
        </w:rPr>
      </w:pPr>
      <w:r w:rsidRPr="006E6EA6">
        <w:rPr>
          <w:rFonts w:cs="Arial"/>
          <w:sz w:val="22"/>
          <w:szCs w:val="22"/>
          <w:shd w:val="clear" w:color="auto" w:fill="FFFFFF"/>
        </w:rPr>
        <w:t xml:space="preserve">Mediante Comunicación </w:t>
      </w:r>
      <w:r w:rsidR="00BE3446" w:rsidRPr="006E6EA6">
        <w:rPr>
          <w:rFonts w:cs="Arial"/>
          <w:sz w:val="22"/>
          <w:szCs w:val="22"/>
          <w:shd w:val="clear" w:color="auto" w:fill="FFFFFF"/>
        </w:rPr>
        <w:t>SG/E/SJ/</w:t>
      </w:r>
      <w:r w:rsidR="00DF1E4B" w:rsidRPr="006E6EA6">
        <w:rPr>
          <w:rFonts w:cs="Arial"/>
          <w:sz w:val="22"/>
          <w:szCs w:val="22"/>
          <w:shd w:val="clear" w:color="auto" w:fill="FFFFFF"/>
        </w:rPr>
        <w:t>2076</w:t>
      </w:r>
      <w:r w:rsidR="00BE3446" w:rsidRPr="006E6EA6">
        <w:rPr>
          <w:rFonts w:cs="Arial"/>
          <w:sz w:val="22"/>
          <w:szCs w:val="22"/>
          <w:shd w:val="clear" w:color="auto" w:fill="FFFFFF"/>
        </w:rPr>
        <w:t xml:space="preserve">/2018 de fecha </w:t>
      </w:r>
      <w:r w:rsidR="008A7554" w:rsidRPr="006E6EA6">
        <w:rPr>
          <w:rFonts w:cs="Arial"/>
          <w:sz w:val="22"/>
          <w:szCs w:val="22"/>
          <w:shd w:val="clear" w:color="auto" w:fill="FFFFFF"/>
        </w:rPr>
        <w:t>30</w:t>
      </w:r>
      <w:r w:rsidR="00BE3446" w:rsidRPr="006E6EA6">
        <w:rPr>
          <w:rFonts w:cs="Arial"/>
          <w:sz w:val="22"/>
          <w:szCs w:val="22"/>
          <w:shd w:val="clear" w:color="auto" w:fill="FFFFFF"/>
        </w:rPr>
        <w:t xml:space="preserve"> de </w:t>
      </w:r>
      <w:r w:rsidR="008A7554" w:rsidRPr="006E6EA6">
        <w:rPr>
          <w:rFonts w:cs="Arial"/>
          <w:sz w:val="22"/>
          <w:szCs w:val="22"/>
          <w:shd w:val="clear" w:color="auto" w:fill="FFFFFF"/>
        </w:rPr>
        <w:t>octubre</w:t>
      </w:r>
      <w:r w:rsidR="00BE3446" w:rsidRPr="006E6EA6">
        <w:rPr>
          <w:rFonts w:cs="Arial"/>
          <w:sz w:val="22"/>
          <w:szCs w:val="22"/>
          <w:shd w:val="clear" w:color="auto" w:fill="FFFFFF"/>
        </w:rPr>
        <w:t xml:space="preserve"> de 2018</w:t>
      </w:r>
      <w:r w:rsidRPr="006E6EA6">
        <w:rPr>
          <w:rFonts w:cs="Arial"/>
          <w:sz w:val="22"/>
          <w:szCs w:val="22"/>
          <w:shd w:val="clear" w:color="auto" w:fill="FFFFFF"/>
        </w:rPr>
        <w:t xml:space="preserve">, la </w:t>
      </w:r>
      <w:r w:rsidR="003E2537" w:rsidRPr="006E6EA6">
        <w:rPr>
          <w:rFonts w:cs="Arial"/>
          <w:sz w:val="22"/>
          <w:szCs w:val="22"/>
          <w:shd w:val="clear" w:color="auto" w:fill="FFFFFF"/>
        </w:rPr>
        <w:t>SGCAN</w:t>
      </w:r>
      <w:r w:rsidRPr="006E6EA6">
        <w:rPr>
          <w:rFonts w:cs="Arial"/>
          <w:sz w:val="22"/>
          <w:szCs w:val="22"/>
          <w:shd w:val="clear" w:color="auto" w:fill="FFFFFF"/>
        </w:rPr>
        <w:t xml:space="preserve"> comunicó a la República del </w:t>
      </w:r>
      <w:r w:rsidR="008A7554" w:rsidRPr="006E6EA6">
        <w:rPr>
          <w:rFonts w:cs="Arial"/>
          <w:sz w:val="22"/>
          <w:szCs w:val="22"/>
          <w:shd w:val="clear" w:color="auto" w:fill="FFFFFF"/>
        </w:rPr>
        <w:t>Ecuador</w:t>
      </w:r>
      <w:r w:rsidRPr="006E6EA6">
        <w:rPr>
          <w:rFonts w:cs="Arial"/>
          <w:sz w:val="22"/>
          <w:szCs w:val="22"/>
          <w:shd w:val="clear" w:color="auto" w:fill="FFFFFF"/>
        </w:rPr>
        <w:t xml:space="preserve"> la con</w:t>
      </w:r>
      <w:r w:rsidR="008A7554" w:rsidRPr="006E6EA6">
        <w:rPr>
          <w:rFonts w:cs="Arial"/>
          <w:sz w:val="22"/>
          <w:szCs w:val="22"/>
          <w:shd w:val="clear" w:color="auto" w:fill="FFFFFF"/>
        </w:rPr>
        <w:t>cesión de la prórroga solicitada; sin perjuicio de lo cual, le solicitó que remita el documento que acredite la designación del funcionario que suscribió el pedido de prórroga</w:t>
      </w:r>
      <w:r w:rsidR="00906C20" w:rsidRPr="006E6EA6">
        <w:rPr>
          <w:rFonts w:cs="Arial"/>
          <w:sz w:val="22"/>
          <w:szCs w:val="22"/>
          <w:shd w:val="clear" w:color="auto" w:fill="FFFFFF"/>
        </w:rPr>
        <w:t xml:space="preserve">. </w:t>
      </w:r>
      <w:r w:rsidRPr="006E6EA6">
        <w:rPr>
          <w:rFonts w:cs="Arial"/>
          <w:sz w:val="22"/>
          <w:szCs w:val="22"/>
          <w:shd w:val="clear" w:color="auto" w:fill="FFFFFF"/>
        </w:rPr>
        <w:t xml:space="preserve">Asimismo, mediante </w:t>
      </w:r>
      <w:r w:rsidR="00E5632C" w:rsidRPr="006E6EA6">
        <w:rPr>
          <w:rFonts w:cs="Arial"/>
          <w:sz w:val="22"/>
          <w:szCs w:val="22"/>
          <w:shd w:val="clear" w:color="auto" w:fill="FFFFFF"/>
        </w:rPr>
        <w:t>Comunicaciones</w:t>
      </w:r>
      <w:r w:rsidR="00BE3446" w:rsidRPr="006E6EA6">
        <w:rPr>
          <w:rFonts w:cs="Arial"/>
          <w:sz w:val="22"/>
          <w:szCs w:val="22"/>
          <w:shd w:val="clear" w:color="auto" w:fill="FFFFFF"/>
        </w:rPr>
        <w:t xml:space="preserve"> SG/E/SJ/</w:t>
      </w:r>
      <w:r w:rsidR="008A7554" w:rsidRPr="006E6EA6">
        <w:rPr>
          <w:rFonts w:cs="Arial"/>
          <w:sz w:val="22"/>
          <w:szCs w:val="22"/>
          <w:shd w:val="clear" w:color="auto" w:fill="FFFFFF"/>
        </w:rPr>
        <w:t>2077</w:t>
      </w:r>
      <w:r w:rsidR="00BE3446" w:rsidRPr="006E6EA6">
        <w:rPr>
          <w:rFonts w:cs="Arial"/>
          <w:sz w:val="22"/>
          <w:szCs w:val="22"/>
          <w:shd w:val="clear" w:color="auto" w:fill="FFFFFF"/>
        </w:rPr>
        <w:t>/2018 y SG/E/SJ/</w:t>
      </w:r>
      <w:r w:rsidR="008A7554" w:rsidRPr="006E6EA6">
        <w:rPr>
          <w:rFonts w:cs="Arial"/>
          <w:sz w:val="22"/>
          <w:szCs w:val="22"/>
          <w:shd w:val="clear" w:color="auto" w:fill="FFFFFF"/>
        </w:rPr>
        <w:t>2078</w:t>
      </w:r>
      <w:r w:rsidR="00BE3446" w:rsidRPr="006E6EA6">
        <w:rPr>
          <w:rFonts w:cs="Arial"/>
          <w:sz w:val="22"/>
          <w:szCs w:val="22"/>
          <w:shd w:val="clear" w:color="auto" w:fill="FFFFFF"/>
        </w:rPr>
        <w:t>/2018</w:t>
      </w:r>
      <w:r w:rsidR="00A9182A" w:rsidRPr="006E6EA6">
        <w:rPr>
          <w:rFonts w:cs="Arial"/>
          <w:sz w:val="22"/>
          <w:szCs w:val="22"/>
          <w:shd w:val="clear" w:color="auto" w:fill="FFFFFF"/>
        </w:rPr>
        <w:t>, ambas de</w:t>
      </w:r>
      <w:r w:rsidR="00132857" w:rsidRPr="006E6EA6">
        <w:rPr>
          <w:rFonts w:cs="Arial"/>
          <w:sz w:val="22"/>
          <w:szCs w:val="22"/>
          <w:shd w:val="clear" w:color="auto" w:fill="FFFFFF"/>
        </w:rPr>
        <w:t>l día</w:t>
      </w:r>
      <w:r w:rsidR="00A9182A" w:rsidRPr="006E6EA6">
        <w:rPr>
          <w:rFonts w:cs="Arial"/>
          <w:sz w:val="22"/>
          <w:szCs w:val="22"/>
          <w:shd w:val="clear" w:color="auto" w:fill="FFFFFF"/>
        </w:rPr>
        <w:t xml:space="preserve"> </w:t>
      </w:r>
      <w:r w:rsidR="00E268BD" w:rsidRPr="006E6EA6">
        <w:rPr>
          <w:rFonts w:cs="Arial"/>
          <w:sz w:val="22"/>
          <w:szCs w:val="22"/>
          <w:shd w:val="clear" w:color="auto" w:fill="FFFFFF"/>
        </w:rPr>
        <w:t>30</w:t>
      </w:r>
      <w:r w:rsidR="00A9182A" w:rsidRPr="006E6EA6">
        <w:rPr>
          <w:rFonts w:cs="Arial"/>
          <w:sz w:val="22"/>
          <w:szCs w:val="22"/>
          <w:shd w:val="clear" w:color="auto" w:fill="FFFFFF"/>
        </w:rPr>
        <w:t xml:space="preserve"> de </w:t>
      </w:r>
      <w:r w:rsidR="00E268BD" w:rsidRPr="006E6EA6">
        <w:rPr>
          <w:rFonts w:cs="Arial"/>
          <w:sz w:val="22"/>
          <w:szCs w:val="22"/>
          <w:shd w:val="clear" w:color="auto" w:fill="FFFFFF"/>
        </w:rPr>
        <w:t>octubre</w:t>
      </w:r>
      <w:r w:rsidR="00A9182A" w:rsidRPr="006E6EA6">
        <w:rPr>
          <w:rFonts w:cs="Arial"/>
          <w:sz w:val="22"/>
          <w:szCs w:val="22"/>
          <w:shd w:val="clear" w:color="auto" w:fill="FFFFFF"/>
        </w:rPr>
        <w:t xml:space="preserve"> de 2018,</w:t>
      </w:r>
      <w:r w:rsidR="00BE3446" w:rsidRPr="006E6EA6">
        <w:rPr>
          <w:rFonts w:cs="Arial"/>
          <w:sz w:val="22"/>
          <w:szCs w:val="22"/>
          <w:shd w:val="clear" w:color="auto" w:fill="FFFFFF"/>
        </w:rPr>
        <w:t xml:space="preserve"> </w:t>
      </w:r>
      <w:r w:rsidR="00E536BF" w:rsidRPr="006E6EA6">
        <w:rPr>
          <w:rFonts w:cs="Arial"/>
          <w:sz w:val="22"/>
          <w:szCs w:val="22"/>
          <w:shd w:val="clear" w:color="auto" w:fill="FFFFFF"/>
        </w:rPr>
        <w:t>la SGCAN</w:t>
      </w:r>
      <w:r w:rsidRPr="006E6EA6">
        <w:rPr>
          <w:rFonts w:cs="Arial"/>
          <w:sz w:val="22"/>
          <w:szCs w:val="22"/>
          <w:shd w:val="clear" w:color="auto" w:fill="FFFFFF"/>
        </w:rPr>
        <w:t xml:space="preserve"> </w:t>
      </w:r>
      <w:r w:rsidR="00E5632C" w:rsidRPr="006E6EA6">
        <w:rPr>
          <w:rFonts w:cs="Arial"/>
          <w:sz w:val="22"/>
          <w:szCs w:val="22"/>
          <w:shd w:val="clear" w:color="auto" w:fill="FFFFFF"/>
        </w:rPr>
        <w:t>informó</w:t>
      </w:r>
      <w:r w:rsidRPr="006E6EA6">
        <w:rPr>
          <w:rFonts w:cs="Arial"/>
          <w:sz w:val="22"/>
          <w:szCs w:val="22"/>
          <w:shd w:val="clear" w:color="auto" w:fill="FFFFFF"/>
        </w:rPr>
        <w:t xml:space="preserve"> a la reclama</w:t>
      </w:r>
      <w:r w:rsidR="00461B1C" w:rsidRPr="006E6EA6">
        <w:rPr>
          <w:rFonts w:cs="Arial"/>
          <w:sz w:val="22"/>
          <w:szCs w:val="22"/>
          <w:shd w:val="clear" w:color="auto" w:fill="FFFFFF"/>
        </w:rPr>
        <w:t>nte</w:t>
      </w:r>
      <w:r w:rsidR="00C41E9A" w:rsidRPr="006E6EA6">
        <w:rPr>
          <w:rFonts w:cs="Arial"/>
          <w:sz w:val="22"/>
          <w:szCs w:val="22"/>
          <w:shd w:val="clear" w:color="auto" w:fill="FFFFFF"/>
        </w:rPr>
        <w:t xml:space="preserve"> </w:t>
      </w:r>
      <w:r w:rsidRPr="006E6EA6">
        <w:rPr>
          <w:rFonts w:cs="Arial"/>
          <w:sz w:val="22"/>
          <w:szCs w:val="22"/>
          <w:shd w:val="clear" w:color="auto" w:fill="FFFFFF"/>
        </w:rPr>
        <w:t>y a los demás Países Miembro</w:t>
      </w:r>
      <w:r w:rsidR="00710D9A" w:rsidRPr="006E6EA6">
        <w:rPr>
          <w:rFonts w:cs="Arial"/>
          <w:sz w:val="22"/>
          <w:szCs w:val="22"/>
          <w:shd w:val="clear" w:color="auto" w:fill="FFFFFF"/>
        </w:rPr>
        <w:t>s</w:t>
      </w:r>
      <w:r w:rsidR="00A9182A" w:rsidRPr="006E6EA6">
        <w:rPr>
          <w:rFonts w:cs="Arial"/>
          <w:sz w:val="22"/>
          <w:szCs w:val="22"/>
          <w:shd w:val="clear" w:color="auto" w:fill="FFFFFF"/>
        </w:rPr>
        <w:t>, respectivamente,</w:t>
      </w:r>
      <w:r w:rsidRPr="006E6EA6">
        <w:rPr>
          <w:rFonts w:cs="Arial"/>
          <w:sz w:val="22"/>
          <w:szCs w:val="22"/>
          <w:shd w:val="clear" w:color="auto" w:fill="FFFFFF"/>
        </w:rPr>
        <w:t xml:space="preserve"> </w:t>
      </w:r>
      <w:r w:rsidR="00E536BF" w:rsidRPr="006E6EA6">
        <w:rPr>
          <w:rFonts w:cs="Arial"/>
          <w:sz w:val="22"/>
          <w:szCs w:val="22"/>
          <w:shd w:val="clear" w:color="auto" w:fill="FFFFFF"/>
        </w:rPr>
        <w:t>sobre</w:t>
      </w:r>
      <w:r w:rsidRPr="006E6EA6">
        <w:rPr>
          <w:rFonts w:cs="Arial"/>
          <w:sz w:val="22"/>
          <w:szCs w:val="22"/>
          <w:shd w:val="clear" w:color="auto" w:fill="FFFFFF"/>
        </w:rPr>
        <w:t xml:space="preserve"> la concesión de la prórroga.</w:t>
      </w:r>
    </w:p>
    <w:p w:rsidR="003D3FA8" w:rsidRPr="006E6EA6" w:rsidRDefault="003D3FA8" w:rsidP="00981727">
      <w:pPr>
        <w:pStyle w:val="Prrafodelista"/>
        <w:spacing w:line="240" w:lineRule="auto"/>
        <w:rPr>
          <w:rFonts w:cs="Arial"/>
          <w:sz w:val="22"/>
          <w:szCs w:val="22"/>
        </w:rPr>
      </w:pPr>
    </w:p>
    <w:p w:rsidR="006D3880" w:rsidRPr="006E6EA6" w:rsidRDefault="006D3880" w:rsidP="006E6EA6">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t xml:space="preserve">Mediante Oficio No. </w:t>
      </w:r>
      <w:r w:rsidR="003D3FA8" w:rsidRPr="006E6EA6">
        <w:rPr>
          <w:rFonts w:cs="Arial"/>
          <w:sz w:val="22"/>
          <w:szCs w:val="22"/>
        </w:rPr>
        <w:t>MCEI-SDYNC-2018-0139</w:t>
      </w:r>
      <w:r w:rsidR="00570523" w:rsidRPr="006E6EA6">
        <w:rPr>
          <w:rFonts w:cs="Arial"/>
          <w:sz w:val="22"/>
          <w:szCs w:val="22"/>
        </w:rPr>
        <w:t xml:space="preserve"> </w:t>
      </w:r>
      <w:r w:rsidR="00370E96" w:rsidRPr="006E6EA6">
        <w:rPr>
          <w:rFonts w:cs="Arial"/>
          <w:sz w:val="22"/>
          <w:szCs w:val="22"/>
        </w:rPr>
        <w:t xml:space="preserve">de </w:t>
      </w:r>
      <w:r w:rsidR="003D3FA8" w:rsidRPr="006E6EA6">
        <w:rPr>
          <w:rFonts w:cs="Arial"/>
          <w:sz w:val="22"/>
          <w:szCs w:val="22"/>
        </w:rPr>
        <w:t>fecha 30</w:t>
      </w:r>
      <w:r w:rsidR="00E268BD" w:rsidRPr="006E6EA6">
        <w:rPr>
          <w:rFonts w:cs="Arial"/>
          <w:sz w:val="22"/>
          <w:szCs w:val="22"/>
        </w:rPr>
        <w:t xml:space="preserve"> de </w:t>
      </w:r>
      <w:r w:rsidR="003D3FA8" w:rsidRPr="006E6EA6">
        <w:rPr>
          <w:rFonts w:cs="Arial"/>
          <w:sz w:val="22"/>
          <w:szCs w:val="22"/>
        </w:rPr>
        <w:t xml:space="preserve">noviembre </w:t>
      </w:r>
      <w:r w:rsidR="00370E96" w:rsidRPr="006E6EA6">
        <w:rPr>
          <w:rFonts w:cs="Arial"/>
          <w:sz w:val="22"/>
          <w:szCs w:val="22"/>
        </w:rPr>
        <w:t>de 2018</w:t>
      </w:r>
      <w:r w:rsidR="00570523" w:rsidRPr="006E6EA6">
        <w:rPr>
          <w:rFonts w:cs="Arial"/>
          <w:sz w:val="22"/>
          <w:szCs w:val="22"/>
        </w:rPr>
        <w:t xml:space="preserve"> y sus Anexos</w:t>
      </w:r>
      <w:r w:rsidR="00570523" w:rsidRPr="006E6EA6">
        <w:rPr>
          <w:rStyle w:val="Refdenotaalpie"/>
          <w:rFonts w:cs="Arial"/>
          <w:sz w:val="22"/>
          <w:szCs w:val="22"/>
        </w:rPr>
        <w:footnoteReference w:id="5"/>
      </w:r>
      <w:r w:rsidR="00EC79F9" w:rsidRPr="006E6EA6">
        <w:rPr>
          <w:rFonts w:cs="Arial"/>
          <w:sz w:val="22"/>
          <w:szCs w:val="22"/>
        </w:rPr>
        <w:t xml:space="preserve">, </w:t>
      </w:r>
      <w:r w:rsidRPr="006E6EA6">
        <w:rPr>
          <w:rFonts w:cs="Arial"/>
          <w:sz w:val="22"/>
          <w:szCs w:val="22"/>
        </w:rPr>
        <w:t xml:space="preserve">recibido </w:t>
      </w:r>
      <w:r w:rsidR="00370E96" w:rsidRPr="006E6EA6">
        <w:rPr>
          <w:rFonts w:cs="Arial"/>
          <w:sz w:val="22"/>
          <w:szCs w:val="22"/>
        </w:rPr>
        <w:t>en</w:t>
      </w:r>
      <w:r w:rsidRPr="006E6EA6">
        <w:rPr>
          <w:rFonts w:cs="Arial"/>
          <w:sz w:val="22"/>
          <w:szCs w:val="22"/>
        </w:rPr>
        <w:t xml:space="preserve"> esta Secretaría General</w:t>
      </w:r>
      <w:r w:rsidR="003D3FA8" w:rsidRPr="006E6EA6">
        <w:rPr>
          <w:rFonts w:cs="Arial"/>
          <w:sz w:val="22"/>
          <w:szCs w:val="22"/>
        </w:rPr>
        <w:t xml:space="preserve"> en la misma fecha</w:t>
      </w:r>
      <w:r w:rsidRPr="006E6EA6">
        <w:rPr>
          <w:rFonts w:cs="Arial"/>
          <w:sz w:val="22"/>
          <w:szCs w:val="22"/>
        </w:rPr>
        <w:t xml:space="preserve">, la República del </w:t>
      </w:r>
      <w:r w:rsidR="00E268BD" w:rsidRPr="006E6EA6">
        <w:rPr>
          <w:rFonts w:cs="Arial"/>
          <w:sz w:val="22"/>
          <w:szCs w:val="22"/>
        </w:rPr>
        <w:lastRenderedPageBreak/>
        <w:t>Ecuador</w:t>
      </w:r>
      <w:r w:rsidRPr="006E6EA6">
        <w:rPr>
          <w:rFonts w:cs="Arial"/>
          <w:sz w:val="22"/>
          <w:szCs w:val="22"/>
        </w:rPr>
        <w:t xml:space="preserve"> presentó su contestación al Reclamo</w:t>
      </w:r>
      <w:r w:rsidR="00370E96" w:rsidRPr="006E6EA6">
        <w:rPr>
          <w:rFonts w:cs="Arial"/>
          <w:sz w:val="22"/>
          <w:szCs w:val="22"/>
        </w:rPr>
        <w:t xml:space="preserve">; la </w:t>
      </w:r>
      <w:r w:rsidR="003D3FA8" w:rsidRPr="006E6EA6">
        <w:rPr>
          <w:rFonts w:cs="Arial"/>
          <w:sz w:val="22"/>
          <w:szCs w:val="22"/>
        </w:rPr>
        <w:t>cual f</w:t>
      </w:r>
      <w:r w:rsidR="00370E96" w:rsidRPr="006E6EA6">
        <w:rPr>
          <w:rFonts w:cs="Arial"/>
          <w:sz w:val="22"/>
          <w:szCs w:val="22"/>
        </w:rPr>
        <w:t xml:space="preserve">ue puesta en conocimiento </w:t>
      </w:r>
      <w:r w:rsidR="003D3FA8" w:rsidRPr="006E6EA6">
        <w:rPr>
          <w:rFonts w:cs="Arial"/>
          <w:sz w:val="22"/>
          <w:szCs w:val="22"/>
        </w:rPr>
        <w:t>a</w:t>
      </w:r>
      <w:r w:rsidR="00370E96" w:rsidRPr="006E6EA6">
        <w:rPr>
          <w:rFonts w:cs="Arial"/>
          <w:sz w:val="22"/>
          <w:szCs w:val="22"/>
        </w:rPr>
        <w:t xml:space="preserve"> la reclamante</w:t>
      </w:r>
      <w:r w:rsidR="003D3FA8" w:rsidRPr="006E6EA6">
        <w:rPr>
          <w:rFonts w:cs="Arial"/>
          <w:sz w:val="22"/>
          <w:szCs w:val="22"/>
        </w:rPr>
        <w:t xml:space="preserve"> y a los demás Países Miembros</w:t>
      </w:r>
      <w:r w:rsidR="00370E96" w:rsidRPr="006E6EA6">
        <w:rPr>
          <w:rFonts w:cs="Arial"/>
          <w:sz w:val="22"/>
          <w:szCs w:val="22"/>
        </w:rPr>
        <w:t xml:space="preserve"> </w:t>
      </w:r>
      <w:r w:rsidR="005C5D3D" w:rsidRPr="006E6EA6">
        <w:rPr>
          <w:rFonts w:cs="Arial"/>
          <w:sz w:val="22"/>
          <w:szCs w:val="22"/>
        </w:rPr>
        <w:t>mediante Comunicaci</w:t>
      </w:r>
      <w:r w:rsidR="003D3FA8" w:rsidRPr="006E6EA6">
        <w:rPr>
          <w:rFonts w:cs="Arial"/>
          <w:sz w:val="22"/>
          <w:szCs w:val="22"/>
        </w:rPr>
        <w:t>ones</w:t>
      </w:r>
      <w:r w:rsidR="005C5D3D" w:rsidRPr="006E6EA6">
        <w:rPr>
          <w:rFonts w:cs="Arial"/>
          <w:sz w:val="22"/>
          <w:szCs w:val="22"/>
        </w:rPr>
        <w:t xml:space="preserve"> </w:t>
      </w:r>
      <w:r w:rsidR="003D3FA8" w:rsidRPr="006E6EA6">
        <w:rPr>
          <w:rFonts w:cs="Arial"/>
          <w:sz w:val="22"/>
          <w:szCs w:val="22"/>
        </w:rPr>
        <w:t>SG/E/SJ/2317/2018</w:t>
      </w:r>
      <w:r w:rsidR="005C5D3D" w:rsidRPr="006E6EA6">
        <w:rPr>
          <w:rFonts w:cs="Arial"/>
          <w:sz w:val="22"/>
          <w:szCs w:val="22"/>
        </w:rPr>
        <w:t xml:space="preserve"> </w:t>
      </w:r>
      <w:r w:rsidR="003D3FA8" w:rsidRPr="006E6EA6">
        <w:rPr>
          <w:rFonts w:cs="Arial"/>
          <w:sz w:val="22"/>
          <w:szCs w:val="22"/>
        </w:rPr>
        <w:t>y SG/E/SJ/2318/2018</w:t>
      </w:r>
      <w:r w:rsidR="009D4F12" w:rsidRPr="006E6EA6">
        <w:rPr>
          <w:rFonts w:cs="Arial"/>
          <w:sz w:val="22"/>
          <w:szCs w:val="22"/>
        </w:rPr>
        <w:t xml:space="preserve">, respectivamente, ambas </w:t>
      </w:r>
      <w:r w:rsidR="00370E96" w:rsidRPr="006E6EA6">
        <w:rPr>
          <w:rFonts w:cs="Arial"/>
          <w:sz w:val="22"/>
          <w:szCs w:val="22"/>
        </w:rPr>
        <w:t xml:space="preserve">de </w:t>
      </w:r>
      <w:r w:rsidR="003D3FA8" w:rsidRPr="006E6EA6">
        <w:rPr>
          <w:rFonts w:cs="Arial"/>
          <w:sz w:val="22"/>
          <w:szCs w:val="22"/>
        </w:rPr>
        <w:t>fecha 3</w:t>
      </w:r>
      <w:r w:rsidR="00370E96" w:rsidRPr="006E6EA6">
        <w:rPr>
          <w:rFonts w:cs="Arial"/>
          <w:sz w:val="22"/>
          <w:szCs w:val="22"/>
        </w:rPr>
        <w:t xml:space="preserve"> de </w:t>
      </w:r>
      <w:r w:rsidR="003D3FA8" w:rsidRPr="006E6EA6">
        <w:rPr>
          <w:rFonts w:cs="Arial"/>
          <w:sz w:val="22"/>
          <w:szCs w:val="22"/>
        </w:rPr>
        <w:t>diciembre</w:t>
      </w:r>
      <w:r w:rsidR="00370E96" w:rsidRPr="006E6EA6">
        <w:rPr>
          <w:rFonts w:cs="Arial"/>
          <w:sz w:val="22"/>
          <w:szCs w:val="22"/>
        </w:rPr>
        <w:t xml:space="preserve"> de 2018</w:t>
      </w:r>
      <w:r w:rsidR="009D4F12" w:rsidRPr="006E6EA6">
        <w:rPr>
          <w:rFonts w:cs="Arial"/>
          <w:sz w:val="22"/>
          <w:szCs w:val="22"/>
        </w:rPr>
        <w:t>.</w:t>
      </w:r>
    </w:p>
    <w:p w:rsidR="001E05C6" w:rsidRPr="006E6EA6" w:rsidRDefault="001E05C6" w:rsidP="00981727">
      <w:pPr>
        <w:spacing w:line="240" w:lineRule="auto"/>
        <w:rPr>
          <w:rFonts w:cs="Arial"/>
          <w:sz w:val="22"/>
          <w:szCs w:val="22"/>
        </w:rPr>
      </w:pPr>
    </w:p>
    <w:p w:rsidR="00971FEA" w:rsidRPr="006E6EA6" w:rsidRDefault="003A4773" w:rsidP="006E6EA6">
      <w:pPr>
        <w:pStyle w:val="Prrafodelista"/>
        <w:widowControl/>
        <w:adjustRightInd/>
        <w:spacing w:line="240" w:lineRule="auto"/>
        <w:ind w:left="426" w:hanging="426"/>
        <w:contextualSpacing w:val="0"/>
        <w:textAlignment w:val="auto"/>
        <w:rPr>
          <w:rFonts w:cs="Arial"/>
          <w:b/>
          <w:sz w:val="22"/>
          <w:szCs w:val="22"/>
        </w:rPr>
      </w:pPr>
      <w:r w:rsidRPr="006E6EA6">
        <w:rPr>
          <w:rFonts w:cs="Arial"/>
          <w:b/>
          <w:sz w:val="22"/>
          <w:szCs w:val="22"/>
        </w:rPr>
        <w:t xml:space="preserve">III. </w:t>
      </w:r>
      <w:r w:rsidRPr="006E6EA6">
        <w:rPr>
          <w:rFonts w:cs="Arial"/>
          <w:b/>
          <w:sz w:val="22"/>
          <w:szCs w:val="22"/>
        </w:rPr>
        <w:tab/>
      </w:r>
      <w:r w:rsidR="00971FEA" w:rsidRPr="006E6EA6">
        <w:rPr>
          <w:rFonts w:cs="Arial"/>
          <w:b/>
          <w:sz w:val="22"/>
          <w:szCs w:val="22"/>
        </w:rPr>
        <w:t xml:space="preserve">IDENTIFICACIÓN </w:t>
      </w:r>
      <w:r w:rsidR="00132FAD" w:rsidRPr="006E6EA6">
        <w:rPr>
          <w:rFonts w:cs="Arial"/>
          <w:b/>
          <w:sz w:val="22"/>
          <w:szCs w:val="22"/>
        </w:rPr>
        <w:t xml:space="preserve">Y DESCRIPCIÓN </w:t>
      </w:r>
      <w:r w:rsidR="00971FEA" w:rsidRPr="006E6EA6">
        <w:rPr>
          <w:rFonts w:cs="Arial"/>
          <w:b/>
          <w:sz w:val="22"/>
          <w:szCs w:val="22"/>
        </w:rPr>
        <w:t xml:space="preserve">DE LAS MEDIDAS </w:t>
      </w:r>
      <w:r w:rsidR="00132FAD" w:rsidRPr="006E6EA6">
        <w:rPr>
          <w:rFonts w:cs="Arial"/>
          <w:b/>
          <w:sz w:val="22"/>
          <w:szCs w:val="22"/>
        </w:rPr>
        <w:t>O CONDUCTAS MATERIA DEL RECLAMO.-</w:t>
      </w:r>
    </w:p>
    <w:p w:rsidR="00971FEA" w:rsidRPr="006E6EA6" w:rsidRDefault="00971FEA" w:rsidP="00981727">
      <w:pPr>
        <w:widowControl/>
        <w:adjustRightInd/>
        <w:spacing w:line="240" w:lineRule="auto"/>
        <w:textAlignment w:val="auto"/>
        <w:rPr>
          <w:rFonts w:cs="Arial"/>
          <w:sz w:val="22"/>
          <w:szCs w:val="22"/>
        </w:rPr>
      </w:pPr>
    </w:p>
    <w:p w:rsidR="00971FEA" w:rsidRPr="006E6EA6" w:rsidRDefault="00EB2789" w:rsidP="006E6EA6">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t xml:space="preserve">La reclamante </w:t>
      </w:r>
      <w:r w:rsidR="00971FEA" w:rsidRPr="006E6EA6">
        <w:rPr>
          <w:rFonts w:cs="Arial"/>
          <w:sz w:val="22"/>
          <w:szCs w:val="22"/>
        </w:rPr>
        <w:t xml:space="preserve">señala </w:t>
      </w:r>
      <w:r w:rsidR="00971FEA" w:rsidRPr="006E6EA6">
        <w:rPr>
          <w:rFonts w:cs="Arial"/>
          <w:bCs/>
          <w:snapToGrid w:val="0"/>
          <w:sz w:val="22"/>
          <w:szCs w:val="22"/>
        </w:rPr>
        <w:t>que</w:t>
      </w:r>
      <w:r w:rsidR="001B2F1C" w:rsidRPr="006E6EA6">
        <w:rPr>
          <w:rFonts w:cs="Arial"/>
          <w:bCs/>
          <w:snapToGrid w:val="0"/>
          <w:sz w:val="22"/>
          <w:szCs w:val="22"/>
        </w:rPr>
        <w:t xml:space="preserve"> la República del Ecuador</w:t>
      </w:r>
      <w:r w:rsidR="004B1907" w:rsidRPr="006E6EA6">
        <w:rPr>
          <w:rFonts w:cs="Arial"/>
          <w:bCs/>
          <w:snapToGrid w:val="0"/>
          <w:sz w:val="22"/>
          <w:szCs w:val="22"/>
        </w:rPr>
        <w:t xml:space="preserve">, específicamente, </w:t>
      </w:r>
      <w:r w:rsidR="001B2F1C" w:rsidRPr="006E6EA6">
        <w:rPr>
          <w:rFonts w:cs="Arial"/>
          <w:bCs/>
          <w:snapToGrid w:val="0"/>
          <w:sz w:val="22"/>
          <w:szCs w:val="22"/>
        </w:rPr>
        <w:t xml:space="preserve">el Tribunal Distrital de </w:t>
      </w:r>
      <w:r w:rsidR="00D56CFC" w:rsidRPr="006E6EA6">
        <w:rPr>
          <w:rFonts w:cs="Arial"/>
          <w:bCs/>
          <w:snapToGrid w:val="0"/>
          <w:sz w:val="22"/>
          <w:szCs w:val="22"/>
        </w:rPr>
        <w:t>lo Contencioso Administrativo No.</w:t>
      </w:r>
      <w:r w:rsidR="001B2F1C" w:rsidRPr="006E6EA6">
        <w:rPr>
          <w:rFonts w:cs="Arial"/>
          <w:bCs/>
          <w:snapToGrid w:val="0"/>
          <w:sz w:val="22"/>
          <w:szCs w:val="22"/>
        </w:rPr>
        <w:t xml:space="preserve"> 1</w:t>
      </w:r>
      <w:r w:rsidR="00416BD1" w:rsidRPr="006E6EA6">
        <w:rPr>
          <w:rFonts w:cs="Arial"/>
          <w:sz w:val="22"/>
          <w:szCs w:val="22"/>
        </w:rPr>
        <w:t>,</w:t>
      </w:r>
      <w:r w:rsidR="00967214" w:rsidRPr="006E6EA6">
        <w:rPr>
          <w:rFonts w:cs="Arial"/>
          <w:sz w:val="22"/>
          <w:szCs w:val="22"/>
        </w:rPr>
        <w:t xml:space="preserve"> </w:t>
      </w:r>
      <w:r w:rsidR="00971FEA" w:rsidRPr="006E6EA6">
        <w:rPr>
          <w:rFonts w:cs="Arial"/>
          <w:bCs/>
          <w:snapToGrid w:val="0"/>
          <w:sz w:val="22"/>
          <w:szCs w:val="22"/>
        </w:rPr>
        <w:t xml:space="preserve">incumplió </w:t>
      </w:r>
      <w:r w:rsidR="001B2F1C" w:rsidRPr="006E6EA6">
        <w:rPr>
          <w:rFonts w:cs="Arial"/>
          <w:bCs/>
          <w:snapToGrid w:val="0"/>
          <w:sz w:val="22"/>
          <w:szCs w:val="22"/>
        </w:rPr>
        <w:t>su obligación de aplicar en la sentencia de fecha 21 de octubre de 2014</w:t>
      </w:r>
      <w:r w:rsidR="00777EBC" w:rsidRPr="006E6EA6">
        <w:rPr>
          <w:rFonts w:cs="Arial"/>
          <w:bCs/>
          <w:snapToGrid w:val="0"/>
          <w:sz w:val="22"/>
          <w:szCs w:val="22"/>
        </w:rPr>
        <w:t xml:space="preserve"> y la providencia de 16 de enero de 2017</w:t>
      </w:r>
      <w:r w:rsidR="00D56CFC" w:rsidRPr="006E6EA6">
        <w:rPr>
          <w:rFonts w:cs="Arial"/>
          <w:bCs/>
          <w:snapToGrid w:val="0"/>
          <w:sz w:val="22"/>
          <w:szCs w:val="22"/>
        </w:rPr>
        <w:t>, dentro del proceso No.</w:t>
      </w:r>
      <w:r w:rsidR="001B2F1C" w:rsidRPr="006E6EA6">
        <w:rPr>
          <w:rFonts w:cs="Arial"/>
          <w:bCs/>
          <w:snapToGrid w:val="0"/>
          <w:sz w:val="22"/>
          <w:szCs w:val="22"/>
        </w:rPr>
        <w:t xml:space="preserve"> 17811-2013-4411, la interpretación prejudicial N</w:t>
      </w:r>
      <w:r w:rsidR="00D56CFC" w:rsidRPr="006E6EA6">
        <w:rPr>
          <w:rFonts w:cs="Arial"/>
          <w:bCs/>
          <w:snapToGrid w:val="0"/>
          <w:sz w:val="22"/>
          <w:szCs w:val="22"/>
        </w:rPr>
        <w:t>o.</w:t>
      </w:r>
      <w:r w:rsidR="001B2F1C" w:rsidRPr="006E6EA6">
        <w:rPr>
          <w:rFonts w:cs="Arial"/>
          <w:bCs/>
          <w:snapToGrid w:val="0"/>
          <w:sz w:val="22"/>
          <w:szCs w:val="22"/>
        </w:rPr>
        <w:t xml:space="preserve"> 04-IP-2013, emitida por el Tribunal de Justicia de la Comunidad Andina (en adelante, “TJCA”), en lo relativo a los elementos que se deben tomar en consideración para la liquidación de daños y perjuicios ocasionados por una conducta de competencia desleal</w:t>
      </w:r>
      <w:r w:rsidR="009305EF" w:rsidRPr="006E6EA6">
        <w:rPr>
          <w:rFonts w:cs="Arial"/>
          <w:bCs/>
          <w:snapToGrid w:val="0"/>
          <w:sz w:val="22"/>
          <w:szCs w:val="22"/>
        </w:rPr>
        <w:t xml:space="preserve"> por parte de ECUAQUÍMICA ECUATORIANA DE PRODUCTOS QUÍMICOS C.A. (en adelante, “ECUAQUÍMICA”)</w:t>
      </w:r>
      <w:r w:rsidR="001B2F1C" w:rsidRPr="006E6EA6">
        <w:rPr>
          <w:rFonts w:cs="Arial"/>
          <w:bCs/>
          <w:snapToGrid w:val="0"/>
          <w:sz w:val="22"/>
          <w:szCs w:val="22"/>
        </w:rPr>
        <w:t xml:space="preserve">. </w:t>
      </w:r>
      <w:r w:rsidR="00777EBC" w:rsidRPr="006E6EA6">
        <w:rPr>
          <w:rFonts w:cs="Arial"/>
          <w:bCs/>
          <w:snapToGrid w:val="0"/>
          <w:sz w:val="22"/>
          <w:szCs w:val="22"/>
        </w:rPr>
        <w:t xml:space="preserve">Por lo anterior, sostiene que se han vulnerado </w:t>
      </w:r>
      <w:r w:rsidR="004B1907" w:rsidRPr="006E6EA6">
        <w:rPr>
          <w:rFonts w:cs="Arial"/>
          <w:bCs/>
          <w:snapToGrid w:val="0"/>
          <w:sz w:val="22"/>
          <w:szCs w:val="22"/>
        </w:rPr>
        <w:t xml:space="preserve">las </w:t>
      </w:r>
      <w:r w:rsidR="00971FEA" w:rsidRPr="006E6EA6">
        <w:rPr>
          <w:rFonts w:cs="Arial"/>
          <w:bCs/>
          <w:snapToGrid w:val="0"/>
          <w:sz w:val="22"/>
          <w:szCs w:val="22"/>
        </w:rPr>
        <w:t>siguientes normas del ordenamiento jurídico andino</w:t>
      </w:r>
      <w:r w:rsidR="00777EBC" w:rsidRPr="006E6EA6">
        <w:rPr>
          <w:rStyle w:val="Refdenotaalpie"/>
          <w:rFonts w:cs="Arial"/>
          <w:sz w:val="22"/>
          <w:szCs w:val="22"/>
        </w:rPr>
        <w:footnoteReference w:id="6"/>
      </w:r>
      <w:r w:rsidR="00971FEA" w:rsidRPr="006E6EA6">
        <w:rPr>
          <w:rFonts w:cs="Arial"/>
          <w:bCs/>
          <w:snapToGrid w:val="0"/>
          <w:sz w:val="22"/>
          <w:szCs w:val="22"/>
        </w:rPr>
        <w:t>:</w:t>
      </w:r>
    </w:p>
    <w:p w:rsidR="00971FEA" w:rsidRPr="006E6EA6" w:rsidRDefault="00971FEA" w:rsidP="006E6EA6">
      <w:pPr>
        <w:tabs>
          <w:tab w:val="left" w:pos="567"/>
        </w:tabs>
        <w:spacing w:line="240" w:lineRule="auto"/>
        <w:ind w:left="426" w:hanging="426"/>
        <w:rPr>
          <w:rFonts w:cs="Arial"/>
          <w:bCs/>
          <w:snapToGrid w:val="0"/>
          <w:sz w:val="22"/>
          <w:szCs w:val="22"/>
        </w:rPr>
      </w:pPr>
    </w:p>
    <w:p w:rsidR="00971FEA" w:rsidRPr="006E6EA6" w:rsidRDefault="00416BD1" w:rsidP="006E6EA6">
      <w:pPr>
        <w:pStyle w:val="Prrafodelista"/>
        <w:widowControl/>
        <w:numPr>
          <w:ilvl w:val="0"/>
          <w:numId w:val="2"/>
        </w:numPr>
        <w:tabs>
          <w:tab w:val="left" w:pos="709"/>
        </w:tabs>
        <w:adjustRightInd/>
        <w:spacing w:line="240" w:lineRule="auto"/>
        <w:ind w:left="709" w:hanging="283"/>
        <w:contextualSpacing w:val="0"/>
        <w:textAlignment w:val="auto"/>
        <w:rPr>
          <w:rFonts w:cs="Arial"/>
          <w:bCs/>
          <w:snapToGrid w:val="0"/>
          <w:sz w:val="22"/>
          <w:szCs w:val="22"/>
        </w:rPr>
      </w:pPr>
      <w:r w:rsidRPr="006E6EA6">
        <w:rPr>
          <w:rFonts w:cs="Arial"/>
          <w:bCs/>
          <w:snapToGrid w:val="0"/>
          <w:sz w:val="22"/>
          <w:szCs w:val="22"/>
        </w:rPr>
        <w:t>los a</w:t>
      </w:r>
      <w:r w:rsidR="00777EBC" w:rsidRPr="006E6EA6">
        <w:rPr>
          <w:rFonts w:cs="Arial"/>
          <w:bCs/>
          <w:snapToGrid w:val="0"/>
          <w:sz w:val="22"/>
          <w:szCs w:val="22"/>
        </w:rPr>
        <w:t>rtículos 4</w:t>
      </w:r>
      <w:r w:rsidR="00971FEA" w:rsidRPr="006E6EA6">
        <w:rPr>
          <w:rFonts w:cs="Arial"/>
          <w:bCs/>
          <w:snapToGrid w:val="0"/>
          <w:sz w:val="22"/>
          <w:szCs w:val="22"/>
        </w:rPr>
        <w:t xml:space="preserve">, </w:t>
      </w:r>
      <w:r w:rsidR="00777EBC" w:rsidRPr="006E6EA6">
        <w:rPr>
          <w:rFonts w:cs="Arial"/>
          <w:bCs/>
          <w:snapToGrid w:val="0"/>
          <w:sz w:val="22"/>
          <w:szCs w:val="22"/>
        </w:rPr>
        <w:t>3</w:t>
      </w:r>
      <w:r w:rsidR="00D56CFC" w:rsidRPr="006E6EA6">
        <w:rPr>
          <w:rFonts w:cs="Arial"/>
          <w:bCs/>
          <w:snapToGrid w:val="0"/>
          <w:sz w:val="22"/>
          <w:szCs w:val="22"/>
        </w:rPr>
        <w:t>5</w:t>
      </w:r>
      <w:r w:rsidR="00971FEA" w:rsidRPr="006E6EA6">
        <w:rPr>
          <w:rFonts w:cs="Arial"/>
          <w:bCs/>
          <w:snapToGrid w:val="0"/>
          <w:sz w:val="22"/>
          <w:szCs w:val="22"/>
        </w:rPr>
        <w:t xml:space="preserve"> y 3</w:t>
      </w:r>
      <w:r w:rsidR="00777EBC" w:rsidRPr="006E6EA6">
        <w:rPr>
          <w:rFonts w:cs="Arial"/>
          <w:bCs/>
          <w:snapToGrid w:val="0"/>
          <w:sz w:val="22"/>
          <w:szCs w:val="22"/>
        </w:rPr>
        <w:t>6</w:t>
      </w:r>
      <w:r w:rsidR="00971FEA" w:rsidRPr="006E6EA6">
        <w:rPr>
          <w:rFonts w:cs="Arial"/>
          <w:bCs/>
          <w:snapToGrid w:val="0"/>
          <w:sz w:val="22"/>
          <w:szCs w:val="22"/>
        </w:rPr>
        <w:t xml:space="preserve"> de</w:t>
      </w:r>
      <w:r w:rsidR="00777EBC" w:rsidRPr="006E6EA6">
        <w:rPr>
          <w:rFonts w:cs="Arial"/>
          <w:bCs/>
          <w:snapToGrid w:val="0"/>
          <w:sz w:val="22"/>
          <w:szCs w:val="22"/>
        </w:rPr>
        <w:t>l Tratado de Creación del Tribunal de Justicia de la Comunidad Andina</w:t>
      </w:r>
      <w:r w:rsidRPr="006E6EA6">
        <w:rPr>
          <w:rFonts w:cs="Arial"/>
          <w:bCs/>
          <w:snapToGrid w:val="0"/>
          <w:sz w:val="22"/>
          <w:szCs w:val="22"/>
        </w:rPr>
        <w:t>; y,</w:t>
      </w:r>
    </w:p>
    <w:p w:rsidR="00971FEA" w:rsidRPr="006E6EA6" w:rsidRDefault="00971FEA" w:rsidP="006E6EA6">
      <w:pPr>
        <w:tabs>
          <w:tab w:val="left" w:pos="709"/>
        </w:tabs>
        <w:spacing w:line="240" w:lineRule="auto"/>
        <w:ind w:left="709" w:hanging="283"/>
        <w:rPr>
          <w:rFonts w:cs="Arial"/>
          <w:bCs/>
          <w:snapToGrid w:val="0"/>
          <w:sz w:val="22"/>
          <w:szCs w:val="22"/>
        </w:rPr>
      </w:pPr>
    </w:p>
    <w:p w:rsidR="00971FEA" w:rsidRPr="006E6EA6" w:rsidRDefault="00416BD1" w:rsidP="006E6EA6">
      <w:pPr>
        <w:pStyle w:val="Prrafodelista"/>
        <w:widowControl/>
        <w:numPr>
          <w:ilvl w:val="0"/>
          <w:numId w:val="2"/>
        </w:numPr>
        <w:tabs>
          <w:tab w:val="left" w:pos="709"/>
        </w:tabs>
        <w:adjustRightInd/>
        <w:spacing w:line="240" w:lineRule="auto"/>
        <w:ind w:left="709" w:hanging="283"/>
        <w:contextualSpacing w:val="0"/>
        <w:textAlignment w:val="auto"/>
        <w:rPr>
          <w:rFonts w:cs="Arial"/>
          <w:bCs/>
          <w:snapToGrid w:val="0"/>
          <w:sz w:val="22"/>
          <w:szCs w:val="22"/>
        </w:rPr>
      </w:pPr>
      <w:r w:rsidRPr="006E6EA6">
        <w:rPr>
          <w:rFonts w:cs="Arial"/>
          <w:bCs/>
          <w:snapToGrid w:val="0"/>
          <w:sz w:val="22"/>
          <w:szCs w:val="22"/>
        </w:rPr>
        <w:t>los a</w:t>
      </w:r>
      <w:r w:rsidR="00971FEA" w:rsidRPr="006E6EA6">
        <w:rPr>
          <w:rFonts w:cs="Arial"/>
          <w:bCs/>
          <w:snapToGrid w:val="0"/>
          <w:sz w:val="22"/>
          <w:szCs w:val="22"/>
        </w:rPr>
        <w:t>rtí</w:t>
      </w:r>
      <w:r w:rsidR="004B1907" w:rsidRPr="006E6EA6">
        <w:rPr>
          <w:rFonts w:cs="Arial"/>
          <w:bCs/>
          <w:snapToGrid w:val="0"/>
          <w:sz w:val="22"/>
          <w:szCs w:val="22"/>
        </w:rPr>
        <w:t>culos 1</w:t>
      </w:r>
      <w:r w:rsidR="00777EBC" w:rsidRPr="006E6EA6">
        <w:rPr>
          <w:rFonts w:cs="Arial"/>
          <w:bCs/>
          <w:snapToGrid w:val="0"/>
          <w:sz w:val="22"/>
          <w:szCs w:val="22"/>
        </w:rPr>
        <w:t xml:space="preserve">27 </w:t>
      </w:r>
      <w:r w:rsidR="004B1907" w:rsidRPr="006E6EA6">
        <w:rPr>
          <w:rFonts w:cs="Arial"/>
          <w:bCs/>
          <w:snapToGrid w:val="0"/>
          <w:sz w:val="22"/>
          <w:szCs w:val="22"/>
        </w:rPr>
        <w:t xml:space="preserve">y </w:t>
      </w:r>
      <w:r w:rsidR="00777EBC" w:rsidRPr="006E6EA6">
        <w:rPr>
          <w:rFonts w:cs="Arial"/>
          <w:bCs/>
          <w:snapToGrid w:val="0"/>
          <w:sz w:val="22"/>
          <w:szCs w:val="22"/>
        </w:rPr>
        <w:t>128</w:t>
      </w:r>
      <w:r w:rsidR="004B1907" w:rsidRPr="006E6EA6">
        <w:rPr>
          <w:rFonts w:cs="Arial"/>
          <w:bCs/>
          <w:snapToGrid w:val="0"/>
          <w:sz w:val="22"/>
          <w:szCs w:val="22"/>
        </w:rPr>
        <w:t xml:space="preserve"> de</w:t>
      </w:r>
      <w:r w:rsidR="00777EBC" w:rsidRPr="006E6EA6">
        <w:rPr>
          <w:rFonts w:cs="Arial"/>
          <w:bCs/>
          <w:snapToGrid w:val="0"/>
          <w:sz w:val="22"/>
          <w:szCs w:val="22"/>
        </w:rPr>
        <w:t>l Estatuto de Creación del Tribunal de Justicia de la Comunidad Andina</w:t>
      </w:r>
      <w:r w:rsidR="00D56CFC" w:rsidRPr="006E6EA6">
        <w:rPr>
          <w:rFonts w:cs="Arial"/>
          <w:bCs/>
          <w:snapToGrid w:val="0"/>
          <w:sz w:val="22"/>
          <w:szCs w:val="22"/>
        </w:rPr>
        <w:t xml:space="preserve"> (Decisión 500)</w:t>
      </w:r>
      <w:r w:rsidR="00971FEA" w:rsidRPr="006E6EA6">
        <w:rPr>
          <w:rFonts w:cs="Arial"/>
          <w:bCs/>
          <w:snapToGrid w:val="0"/>
          <w:sz w:val="22"/>
          <w:szCs w:val="22"/>
        </w:rPr>
        <w:t>.</w:t>
      </w:r>
    </w:p>
    <w:p w:rsidR="000725EA" w:rsidRPr="006E6EA6" w:rsidRDefault="000725EA" w:rsidP="00981727">
      <w:pPr>
        <w:widowControl/>
        <w:adjustRightInd/>
        <w:spacing w:line="240" w:lineRule="auto"/>
        <w:textAlignment w:val="auto"/>
        <w:rPr>
          <w:rFonts w:cs="Arial"/>
          <w:b/>
          <w:bCs/>
          <w:sz w:val="22"/>
          <w:szCs w:val="22"/>
        </w:rPr>
      </w:pPr>
    </w:p>
    <w:p w:rsidR="00C55712" w:rsidRPr="006E6EA6" w:rsidRDefault="00D07C60" w:rsidP="006E6EA6">
      <w:pPr>
        <w:widowControl/>
        <w:adjustRightInd/>
        <w:spacing w:line="240" w:lineRule="auto"/>
        <w:ind w:left="426" w:hanging="426"/>
        <w:textAlignment w:val="auto"/>
        <w:rPr>
          <w:rFonts w:cs="Arial"/>
          <w:b/>
          <w:sz w:val="22"/>
          <w:szCs w:val="22"/>
        </w:rPr>
      </w:pPr>
      <w:r w:rsidRPr="006E6EA6">
        <w:rPr>
          <w:rFonts w:cs="Arial"/>
          <w:b/>
          <w:bCs/>
          <w:sz w:val="22"/>
          <w:szCs w:val="22"/>
        </w:rPr>
        <w:t xml:space="preserve">IV. </w:t>
      </w:r>
      <w:r w:rsidRPr="006E6EA6">
        <w:rPr>
          <w:rFonts w:cs="Arial"/>
          <w:b/>
          <w:bCs/>
          <w:sz w:val="22"/>
          <w:szCs w:val="22"/>
        </w:rPr>
        <w:tab/>
      </w:r>
      <w:r w:rsidR="00971FEA" w:rsidRPr="006E6EA6">
        <w:rPr>
          <w:rFonts w:cs="Arial"/>
          <w:b/>
          <w:sz w:val="22"/>
          <w:szCs w:val="22"/>
        </w:rPr>
        <w:t>ARGUMENTOS DE LAS PARTES</w:t>
      </w:r>
      <w:r w:rsidR="00967214" w:rsidRPr="006E6EA6">
        <w:rPr>
          <w:rFonts w:cs="Arial"/>
          <w:b/>
          <w:sz w:val="22"/>
          <w:szCs w:val="22"/>
        </w:rPr>
        <w:t>.-</w:t>
      </w:r>
    </w:p>
    <w:p w:rsidR="00C55712" w:rsidRPr="006E6EA6" w:rsidRDefault="00C55712" w:rsidP="00981727">
      <w:pPr>
        <w:widowControl/>
        <w:adjustRightInd/>
        <w:spacing w:line="240" w:lineRule="auto"/>
        <w:ind w:hanging="426"/>
        <w:textAlignment w:val="auto"/>
        <w:rPr>
          <w:rFonts w:cs="Arial"/>
          <w:b/>
          <w:sz w:val="22"/>
          <w:szCs w:val="22"/>
        </w:rPr>
      </w:pPr>
    </w:p>
    <w:p w:rsidR="004D1B3C" w:rsidRPr="006E6EA6" w:rsidRDefault="00971FEA" w:rsidP="006E6EA6">
      <w:pPr>
        <w:pStyle w:val="Prrafodelista"/>
        <w:widowControl/>
        <w:numPr>
          <w:ilvl w:val="0"/>
          <w:numId w:val="22"/>
        </w:numPr>
        <w:adjustRightInd/>
        <w:spacing w:line="240" w:lineRule="auto"/>
        <w:ind w:left="426" w:firstLine="0"/>
        <w:textAlignment w:val="auto"/>
        <w:rPr>
          <w:rFonts w:cs="Arial"/>
          <w:b/>
          <w:sz w:val="22"/>
          <w:szCs w:val="22"/>
        </w:rPr>
      </w:pPr>
      <w:r w:rsidRPr="006E6EA6">
        <w:rPr>
          <w:rFonts w:cs="Arial"/>
          <w:b/>
          <w:bCs/>
          <w:sz w:val="22"/>
          <w:szCs w:val="22"/>
        </w:rPr>
        <w:t>Argumentos de la Reclama</w:t>
      </w:r>
      <w:r w:rsidR="0040365A" w:rsidRPr="006E6EA6">
        <w:rPr>
          <w:rFonts w:cs="Arial"/>
          <w:b/>
          <w:bCs/>
          <w:sz w:val="22"/>
          <w:szCs w:val="22"/>
        </w:rPr>
        <w:t>nte</w:t>
      </w:r>
      <w:r w:rsidRPr="006E6EA6">
        <w:rPr>
          <w:rFonts w:cs="Arial"/>
          <w:b/>
          <w:bCs/>
          <w:sz w:val="22"/>
          <w:szCs w:val="22"/>
        </w:rPr>
        <w:t>:</w:t>
      </w:r>
    </w:p>
    <w:p w:rsidR="00FB7B15" w:rsidRPr="006E6EA6" w:rsidRDefault="00FB7B15" w:rsidP="00981727">
      <w:pPr>
        <w:widowControl/>
        <w:adjustRightInd/>
        <w:spacing w:line="240" w:lineRule="auto"/>
        <w:textAlignment w:val="auto"/>
        <w:rPr>
          <w:rFonts w:cs="Arial"/>
          <w:sz w:val="22"/>
          <w:szCs w:val="22"/>
        </w:rPr>
      </w:pPr>
    </w:p>
    <w:p w:rsidR="00FB7B15" w:rsidRPr="006E6EA6" w:rsidRDefault="00FB7B15" w:rsidP="006E6EA6">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t>En el escrito de reclamo</w:t>
      </w:r>
      <w:r w:rsidR="00F14F03" w:rsidRPr="006E6EA6">
        <w:rPr>
          <w:rFonts w:cs="Arial"/>
          <w:sz w:val="22"/>
          <w:szCs w:val="22"/>
        </w:rPr>
        <w:t xml:space="preserve">, recibido el </w:t>
      </w:r>
      <w:r w:rsidR="002531F0" w:rsidRPr="006E6EA6">
        <w:rPr>
          <w:rFonts w:cs="Arial"/>
          <w:sz w:val="22"/>
          <w:szCs w:val="22"/>
        </w:rPr>
        <w:t>3 de septiembre de 2018</w:t>
      </w:r>
      <w:r w:rsidRPr="006E6EA6">
        <w:rPr>
          <w:rFonts w:cs="Arial"/>
          <w:sz w:val="22"/>
          <w:szCs w:val="22"/>
        </w:rPr>
        <w:t xml:space="preserve"> y en el escrito de subsanación</w:t>
      </w:r>
      <w:r w:rsidR="00F14F03" w:rsidRPr="006E6EA6">
        <w:rPr>
          <w:rFonts w:cs="Arial"/>
          <w:sz w:val="22"/>
          <w:szCs w:val="22"/>
        </w:rPr>
        <w:t>, recibido el 26 de se</w:t>
      </w:r>
      <w:r w:rsidR="002531F0" w:rsidRPr="006E6EA6">
        <w:rPr>
          <w:rFonts w:cs="Arial"/>
          <w:sz w:val="22"/>
          <w:szCs w:val="22"/>
        </w:rPr>
        <w:t>p</w:t>
      </w:r>
      <w:r w:rsidR="00F14F03" w:rsidRPr="006E6EA6">
        <w:rPr>
          <w:rFonts w:cs="Arial"/>
          <w:sz w:val="22"/>
          <w:szCs w:val="22"/>
        </w:rPr>
        <w:t>tiembre de 2018,</w:t>
      </w:r>
      <w:r w:rsidRPr="006E6EA6">
        <w:rPr>
          <w:rFonts w:cs="Arial"/>
          <w:sz w:val="22"/>
          <w:szCs w:val="22"/>
        </w:rPr>
        <w:t xml:space="preserve"> la reclamante alegó el incumplimiento de los artículos </w:t>
      </w:r>
      <w:r w:rsidRPr="006E6EA6">
        <w:rPr>
          <w:rFonts w:cs="Arial"/>
          <w:bCs/>
          <w:snapToGrid w:val="0"/>
          <w:sz w:val="22"/>
          <w:szCs w:val="22"/>
        </w:rPr>
        <w:t xml:space="preserve">4, 35 y 36 del Tratado de Creación del Tribunal de Justicia de la Comunidad Andina; y, los artículos 127 y 128 de la </w:t>
      </w:r>
      <w:r w:rsidR="00877B3E" w:rsidRPr="006E6EA6">
        <w:rPr>
          <w:rFonts w:cs="Arial"/>
          <w:bCs/>
          <w:snapToGrid w:val="0"/>
          <w:sz w:val="22"/>
          <w:szCs w:val="22"/>
        </w:rPr>
        <w:t>Decisión 500,</w:t>
      </w:r>
      <w:r w:rsidRPr="006E6EA6">
        <w:rPr>
          <w:rFonts w:cs="Arial"/>
          <w:bCs/>
          <w:snapToGrid w:val="0"/>
          <w:sz w:val="22"/>
          <w:szCs w:val="22"/>
        </w:rPr>
        <w:t xml:space="preserve"> sobre la base de los siguientes argumentos:</w:t>
      </w:r>
    </w:p>
    <w:p w:rsidR="00FB7B15" w:rsidRPr="006E6EA6" w:rsidRDefault="00FB7B15" w:rsidP="00981727">
      <w:pPr>
        <w:widowControl/>
        <w:adjustRightInd/>
        <w:spacing w:line="240" w:lineRule="auto"/>
        <w:textAlignment w:val="auto"/>
        <w:rPr>
          <w:rFonts w:cs="Arial"/>
          <w:sz w:val="22"/>
          <w:szCs w:val="22"/>
        </w:rPr>
      </w:pPr>
    </w:p>
    <w:p w:rsidR="00FB7B15" w:rsidRPr="006E6EA6" w:rsidRDefault="00FB7B15" w:rsidP="006E6EA6">
      <w:pPr>
        <w:pStyle w:val="Prrafodelista"/>
        <w:widowControl/>
        <w:numPr>
          <w:ilvl w:val="1"/>
          <w:numId w:val="22"/>
        </w:numPr>
        <w:adjustRightInd/>
        <w:spacing w:line="240" w:lineRule="auto"/>
        <w:ind w:left="851" w:hanging="425"/>
        <w:textAlignment w:val="auto"/>
        <w:rPr>
          <w:rFonts w:cs="Arial"/>
          <w:b/>
          <w:sz w:val="22"/>
          <w:szCs w:val="22"/>
        </w:rPr>
      </w:pPr>
      <w:r w:rsidRPr="006E6EA6">
        <w:rPr>
          <w:rFonts w:cs="Arial"/>
          <w:b/>
          <w:sz w:val="22"/>
          <w:szCs w:val="22"/>
        </w:rPr>
        <w:t xml:space="preserve">El alegado incumplimiento </w:t>
      </w:r>
      <w:r w:rsidR="008036F4" w:rsidRPr="006E6EA6">
        <w:rPr>
          <w:rFonts w:cs="Arial"/>
          <w:b/>
          <w:sz w:val="22"/>
          <w:szCs w:val="22"/>
        </w:rPr>
        <w:t>del artículo</w:t>
      </w:r>
      <w:r w:rsidRPr="006E6EA6">
        <w:rPr>
          <w:rFonts w:cs="Arial"/>
          <w:b/>
          <w:sz w:val="22"/>
          <w:szCs w:val="22"/>
        </w:rPr>
        <w:t xml:space="preserve"> </w:t>
      </w:r>
      <w:r w:rsidR="00F14F03" w:rsidRPr="006E6EA6">
        <w:rPr>
          <w:rFonts w:cs="Arial"/>
          <w:b/>
          <w:sz w:val="22"/>
          <w:szCs w:val="22"/>
        </w:rPr>
        <w:t>35 del Tratado de Creación del Tribunal de Justicia de la Comunidad Andina</w:t>
      </w:r>
      <w:r w:rsidR="008036F4" w:rsidRPr="006E6EA6">
        <w:rPr>
          <w:rFonts w:cs="Arial"/>
          <w:b/>
          <w:sz w:val="22"/>
          <w:szCs w:val="22"/>
        </w:rPr>
        <w:t xml:space="preserve"> y de</w:t>
      </w:r>
      <w:r w:rsidR="00D506AF" w:rsidRPr="006E6EA6">
        <w:rPr>
          <w:rFonts w:cs="Arial"/>
          <w:b/>
          <w:sz w:val="22"/>
          <w:szCs w:val="22"/>
        </w:rPr>
        <w:t>l</w:t>
      </w:r>
      <w:r w:rsidR="008036F4" w:rsidRPr="006E6EA6">
        <w:rPr>
          <w:rFonts w:cs="Arial"/>
          <w:b/>
          <w:sz w:val="22"/>
          <w:szCs w:val="22"/>
        </w:rPr>
        <w:t xml:space="preserve"> </w:t>
      </w:r>
      <w:r w:rsidR="00D506AF" w:rsidRPr="006E6EA6">
        <w:rPr>
          <w:rFonts w:cs="Arial"/>
          <w:b/>
          <w:sz w:val="22"/>
          <w:szCs w:val="22"/>
        </w:rPr>
        <w:t>artículo 127</w:t>
      </w:r>
      <w:r w:rsidR="008036F4" w:rsidRPr="006E6EA6">
        <w:rPr>
          <w:rFonts w:cs="Arial"/>
          <w:b/>
          <w:sz w:val="22"/>
          <w:szCs w:val="22"/>
        </w:rPr>
        <w:t xml:space="preserve"> de la Decisión 500:</w:t>
      </w:r>
    </w:p>
    <w:p w:rsidR="00FB7B15" w:rsidRPr="006E6EA6" w:rsidRDefault="00FB7B15" w:rsidP="00981727">
      <w:pPr>
        <w:widowControl/>
        <w:adjustRightInd/>
        <w:spacing w:line="240" w:lineRule="auto"/>
        <w:textAlignment w:val="auto"/>
        <w:rPr>
          <w:rFonts w:cs="Arial"/>
          <w:sz w:val="22"/>
          <w:szCs w:val="22"/>
        </w:rPr>
      </w:pPr>
    </w:p>
    <w:p w:rsidR="00E15661" w:rsidRPr="006E6EA6" w:rsidRDefault="002A1668" w:rsidP="006E6EA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6E6EA6">
        <w:rPr>
          <w:rFonts w:cs="Arial"/>
          <w:sz w:val="22"/>
          <w:szCs w:val="22"/>
        </w:rPr>
        <w:t>La</w:t>
      </w:r>
      <w:r w:rsidR="00EB2789" w:rsidRPr="006E6EA6">
        <w:rPr>
          <w:rFonts w:cs="Arial"/>
          <w:sz w:val="22"/>
          <w:szCs w:val="22"/>
        </w:rPr>
        <w:t xml:space="preserve"> reclamante señala que </w:t>
      </w:r>
      <w:r w:rsidR="00E15661" w:rsidRPr="006E6EA6">
        <w:rPr>
          <w:rFonts w:cs="Arial"/>
          <w:sz w:val="22"/>
          <w:szCs w:val="22"/>
        </w:rPr>
        <w:t xml:space="preserve">el Tribunal Distrital de </w:t>
      </w:r>
      <w:r w:rsidR="00E03C05" w:rsidRPr="006E6EA6">
        <w:rPr>
          <w:rFonts w:cs="Arial"/>
          <w:sz w:val="22"/>
          <w:szCs w:val="22"/>
        </w:rPr>
        <w:t>lo Contencioso Administrativo No.</w:t>
      </w:r>
      <w:r w:rsidR="00A63046" w:rsidRPr="006E6EA6">
        <w:rPr>
          <w:rFonts w:cs="Arial"/>
          <w:sz w:val="22"/>
          <w:szCs w:val="22"/>
        </w:rPr>
        <w:t xml:space="preserve"> 1 del Ecuador</w:t>
      </w:r>
      <w:r w:rsidR="00E15661" w:rsidRPr="006E6EA6">
        <w:rPr>
          <w:rFonts w:cs="Arial"/>
          <w:sz w:val="22"/>
          <w:szCs w:val="22"/>
        </w:rPr>
        <w:t xml:space="preserve"> habría incumplido su obligación de aplicar </w:t>
      </w:r>
      <w:r w:rsidR="00E03C05" w:rsidRPr="006E6EA6">
        <w:rPr>
          <w:rFonts w:cs="Arial"/>
          <w:sz w:val="22"/>
          <w:szCs w:val="22"/>
        </w:rPr>
        <w:t>la interpretación prejudicial No.</w:t>
      </w:r>
      <w:r w:rsidR="00E15661" w:rsidRPr="006E6EA6">
        <w:rPr>
          <w:rFonts w:cs="Arial"/>
          <w:sz w:val="22"/>
          <w:szCs w:val="22"/>
        </w:rPr>
        <w:t xml:space="preserve"> 04-IP-2013, emitida por el T</w:t>
      </w:r>
      <w:r w:rsidR="002C4839" w:rsidRPr="006E6EA6">
        <w:rPr>
          <w:rFonts w:cs="Arial"/>
          <w:sz w:val="22"/>
          <w:szCs w:val="22"/>
        </w:rPr>
        <w:t>JCA</w:t>
      </w:r>
      <w:r w:rsidR="00E15661" w:rsidRPr="006E6EA6">
        <w:rPr>
          <w:rFonts w:cs="Arial"/>
          <w:sz w:val="22"/>
          <w:szCs w:val="22"/>
        </w:rPr>
        <w:t>, en</w:t>
      </w:r>
      <w:r w:rsidR="00A63046" w:rsidRPr="006E6EA6">
        <w:rPr>
          <w:rFonts w:cs="Arial"/>
          <w:sz w:val="22"/>
          <w:szCs w:val="22"/>
        </w:rPr>
        <w:t xml:space="preserve"> la sentencia de </w:t>
      </w:r>
      <w:r w:rsidR="00E03C05" w:rsidRPr="006E6EA6">
        <w:rPr>
          <w:rFonts w:cs="Arial"/>
          <w:sz w:val="22"/>
          <w:szCs w:val="22"/>
        </w:rPr>
        <w:t xml:space="preserve">fecha </w:t>
      </w:r>
      <w:r w:rsidR="00A63046" w:rsidRPr="006E6EA6">
        <w:rPr>
          <w:rFonts w:cs="Arial"/>
          <w:sz w:val="22"/>
          <w:szCs w:val="22"/>
        </w:rPr>
        <w:t xml:space="preserve">21 de octubre de 2014 y posteriormente en </w:t>
      </w:r>
      <w:r w:rsidR="00A93795" w:rsidRPr="006E6EA6">
        <w:rPr>
          <w:rFonts w:cs="Arial"/>
          <w:sz w:val="22"/>
          <w:szCs w:val="22"/>
        </w:rPr>
        <w:t>la providencia</w:t>
      </w:r>
      <w:r w:rsidR="00A63046" w:rsidRPr="006E6EA6">
        <w:rPr>
          <w:rFonts w:cs="Arial"/>
          <w:sz w:val="22"/>
          <w:szCs w:val="22"/>
        </w:rPr>
        <w:t xml:space="preserve"> de </w:t>
      </w:r>
      <w:r w:rsidR="00E03C05" w:rsidRPr="006E6EA6">
        <w:rPr>
          <w:rFonts w:cs="Arial"/>
          <w:sz w:val="22"/>
          <w:szCs w:val="22"/>
        </w:rPr>
        <w:t xml:space="preserve">fecha </w:t>
      </w:r>
      <w:r w:rsidR="00A63046" w:rsidRPr="006E6EA6">
        <w:rPr>
          <w:rFonts w:cs="Arial"/>
          <w:sz w:val="22"/>
          <w:szCs w:val="22"/>
        </w:rPr>
        <w:t>16 de enero de 2017, dentro del proceso 17811-2013-4415,</w:t>
      </w:r>
      <w:r w:rsidR="00E15661" w:rsidRPr="006E6EA6">
        <w:rPr>
          <w:rFonts w:cs="Arial"/>
          <w:sz w:val="22"/>
          <w:szCs w:val="22"/>
        </w:rPr>
        <w:t xml:space="preserve"> </w:t>
      </w:r>
      <w:r w:rsidR="00A63046" w:rsidRPr="006E6EA6">
        <w:rPr>
          <w:rFonts w:cs="Arial"/>
          <w:sz w:val="22"/>
          <w:szCs w:val="22"/>
        </w:rPr>
        <w:t xml:space="preserve">en </w:t>
      </w:r>
      <w:r w:rsidR="00E15661" w:rsidRPr="006E6EA6">
        <w:rPr>
          <w:rFonts w:cs="Arial"/>
          <w:sz w:val="22"/>
          <w:szCs w:val="22"/>
        </w:rPr>
        <w:t xml:space="preserve">lo relativo a los elementos que se deben tomar en consideración para la liquidación de daños y perjuicios ocasionados por una conducta de competencia desleal. Así, la reclamante señala: </w:t>
      </w:r>
    </w:p>
    <w:p w:rsidR="00E15661" w:rsidRPr="006E6EA6" w:rsidRDefault="00E15661" w:rsidP="00981727">
      <w:pPr>
        <w:pStyle w:val="Prrafodelista"/>
        <w:spacing w:line="240" w:lineRule="auto"/>
        <w:rPr>
          <w:rFonts w:cs="Arial"/>
          <w:sz w:val="22"/>
          <w:szCs w:val="22"/>
        </w:rPr>
      </w:pPr>
    </w:p>
    <w:p w:rsidR="00E15661" w:rsidRPr="006E6EA6" w:rsidRDefault="00E15661" w:rsidP="006E6EA6">
      <w:pPr>
        <w:pStyle w:val="Sinespaciado"/>
        <w:ind w:left="851" w:right="48"/>
        <w:jc w:val="both"/>
        <w:rPr>
          <w:rFonts w:ascii="Arial" w:hAnsi="Arial" w:cs="Arial"/>
          <w:i/>
        </w:rPr>
      </w:pPr>
      <w:r w:rsidRPr="006E6EA6">
        <w:rPr>
          <w:rFonts w:ascii="Arial" w:hAnsi="Arial" w:cs="Arial"/>
          <w:i/>
        </w:rPr>
        <w:t>“</w:t>
      </w:r>
      <w:r w:rsidR="00EC79F9" w:rsidRPr="006E6EA6">
        <w:rPr>
          <w:rFonts w:ascii="Arial" w:hAnsi="Arial" w:cs="Arial"/>
          <w:i/>
        </w:rPr>
        <w:t>Si bien existen varios cuestionamientos que pueden realizarse a la sentencia emitida por el Tribunal Distrital No. 1 de lo Contencioso Administrativo, no corresponde en esta instancia analizar los mismos, con excepción del que me lleva a la presentación de este reclamo, y que</w:t>
      </w:r>
      <w:r w:rsidR="00545AD2" w:rsidRPr="006E6EA6">
        <w:rPr>
          <w:rFonts w:ascii="Arial" w:hAnsi="Arial" w:cs="Arial"/>
          <w:i/>
        </w:rPr>
        <w:t xml:space="preserve"> </w:t>
      </w:r>
      <w:r w:rsidRPr="006E6EA6">
        <w:rPr>
          <w:rFonts w:ascii="Arial" w:hAnsi="Arial" w:cs="Arial"/>
          <w:i/>
        </w:rPr>
        <w:t xml:space="preserve">tiene que ver con la falta de adopción en la sentencia del juez consultante de la interpretación prejudicial </w:t>
      </w:r>
      <w:r w:rsidRPr="006E6EA6">
        <w:rPr>
          <w:rFonts w:ascii="Arial" w:hAnsi="Arial" w:cs="Arial"/>
          <w:i/>
        </w:rPr>
        <w:lastRenderedPageBreak/>
        <w:t>obligatoria integra o total dictada por el Tribunal de Justicia de la Comunidad Andina en lo relativo a los elementos que se deben tomar en cuenta por parte de Juez para la liquidación de los daños y perjuicios ocasionados.</w:t>
      </w:r>
      <w:r w:rsidRPr="006E6EA6">
        <w:rPr>
          <w:rFonts w:ascii="Arial" w:hAnsi="Arial" w:cs="Arial"/>
        </w:rPr>
        <w:t xml:space="preserve"> </w:t>
      </w:r>
    </w:p>
    <w:p w:rsidR="00E15661" w:rsidRPr="006E6EA6" w:rsidRDefault="00E15661" w:rsidP="00981727">
      <w:pPr>
        <w:pStyle w:val="Sinespaciado"/>
        <w:ind w:left="1134"/>
        <w:jc w:val="both"/>
        <w:rPr>
          <w:rFonts w:ascii="Arial" w:hAnsi="Arial" w:cs="Arial"/>
        </w:rPr>
      </w:pPr>
    </w:p>
    <w:p w:rsidR="00545AD2" w:rsidRPr="006E6EA6" w:rsidRDefault="00545AD2" w:rsidP="006E6EA6">
      <w:pPr>
        <w:pStyle w:val="Sinespaciado"/>
        <w:ind w:left="851" w:right="48"/>
        <w:jc w:val="both"/>
        <w:rPr>
          <w:rFonts w:ascii="Arial" w:hAnsi="Arial" w:cs="Arial"/>
          <w:i/>
        </w:rPr>
      </w:pPr>
      <w:r w:rsidRPr="006E6EA6">
        <w:rPr>
          <w:rFonts w:ascii="Arial" w:hAnsi="Arial" w:cs="Arial"/>
          <w:i/>
        </w:rPr>
        <w:t>(…) el procedimiento para determinar el monto establecido como indemnización de daños y perjuicios, estuvo alejado de los parámetros establecidos por el Tribunal de Justicia de la Comunidad Andina en su interpretación prejudicial, circunstancia que afectó los intereses de la compañía INDUALCA S.A., es decir afectó su patrimonio, al no recibir la indemnización legal y real que le corre</w:t>
      </w:r>
      <w:r w:rsidR="00086279" w:rsidRPr="006E6EA6">
        <w:rPr>
          <w:rFonts w:ascii="Arial" w:hAnsi="Arial" w:cs="Arial"/>
          <w:i/>
        </w:rPr>
        <w:t>spondía por daños y perjuicios.</w:t>
      </w:r>
    </w:p>
    <w:p w:rsidR="00545AD2" w:rsidRPr="006E6EA6" w:rsidRDefault="00545AD2" w:rsidP="006E6EA6">
      <w:pPr>
        <w:pStyle w:val="Sinespaciado"/>
        <w:ind w:left="851" w:right="48"/>
        <w:jc w:val="both"/>
        <w:rPr>
          <w:rFonts w:ascii="Arial" w:hAnsi="Arial" w:cs="Arial"/>
          <w:i/>
        </w:rPr>
      </w:pPr>
    </w:p>
    <w:p w:rsidR="00E15661" w:rsidRPr="006E6EA6" w:rsidRDefault="00545AD2" w:rsidP="006E6EA6">
      <w:pPr>
        <w:pStyle w:val="Sinespaciado"/>
        <w:ind w:left="851" w:right="48"/>
        <w:jc w:val="both"/>
        <w:rPr>
          <w:rFonts w:ascii="Arial" w:hAnsi="Arial" w:cs="Arial"/>
          <w:i/>
        </w:rPr>
      </w:pPr>
      <w:r w:rsidRPr="006E6EA6">
        <w:rPr>
          <w:rFonts w:ascii="Arial" w:hAnsi="Arial" w:cs="Arial"/>
          <w:i/>
        </w:rPr>
        <w:t>(…)</w:t>
      </w:r>
      <w:r w:rsidR="00E15661" w:rsidRPr="006E6EA6">
        <w:rPr>
          <w:rFonts w:ascii="Arial" w:hAnsi="Arial" w:cs="Arial"/>
          <w:i/>
        </w:rPr>
        <w:t xml:space="preserve"> El juez consultante no dispuso como era su deber y omitió en la providencia de fecha 16 de Enero del 2017</w:t>
      </w:r>
      <w:r w:rsidR="00047BA4" w:rsidRPr="006E6EA6">
        <w:rPr>
          <w:rFonts w:ascii="Arial" w:hAnsi="Arial" w:cs="Arial"/>
          <w:i/>
        </w:rPr>
        <w:t xml:space="preserve"> </w:t>
      </w:r>
      <w:r w:rsidR="00A33938" w:rsidRPr="006E6EA6">
        <w:rPr>
          <w:rFonts w:ascii="Arial" w:hAnsi="Arial" w:cs="Arial"/>
        </w:rPr>
        <w:t>(</w:t>
      </w:r>
      <w:r w:rsidR="00047BA4" w:rsidRPr="006E6EA6">
        <w:rPr>
          <w:rFonts w:ascii="Arial" w:hAnsi="Arial" w:cs="Arial"/>
        </w:rPr>
        <w:t>SIC</w:t>
      </w:r>
      <w:r w:rsidR="00A33938" w:rsidRPr="006E6EA6">
        <w:rPr>
          <w:rFonts w:ascii="Arial" w:hAnsi="Arial" w:cs="Arial"/>
        </w:rPr>
        <w:t>)</w:t>
      </w:r>
      <w:r w:rsidR="00E15661" w:rsidRPr="006E6EA6">
        <w:rPr>
          <w:rFonts w:ascii="Arial" w:hAnsi="Arial" w:cs="Arial"/>
          <w:i/>
        </w:rPr>
        <w:t>, disponer que el perito efectúe la liquidación de daños y perjuicios tomando en cuenta los parámetros fijados en la Interpretación</w:t>
      </w:r>
      <w:r w:rsidRPr="006E6EA6">
        <w:rPr>
          <w:rFonts w:ascii="Arial" w:hAnsi="Arial" w:cs="Arial"/>
          <w:i/>
        </w:rPr>
        <w:t xml:space="preserve"> Prejudicial (…)</w:t>
      </w:r>
      <w:r w:rsidR="00E15661" w:rsidRPr="006E6EA6">
        <w:rPr>
          <w:rFonts w:ascii="Arial" w:hAnsi="Arial" w:cs="Arial"/>
          <w:i/>
        </w:rPr>
        <w:t>.”</w:t>
      </w:r>
      <w:r w:rsidR="00E15661" w:rsidRPr="006E6EA6">
        <w:rPr>
          <w:rStyle w:val="Refdenotaalpie"/>
          <w:rFonts w:ascii="Arial" w:hAnsi="Arial" w:cs="Arial"/>
          <w:i/>
        </w:rPr>
        <w:footnoteReference w:id="7"/>
      </w:r>
    </w:p>
    <w:p w:rsidR="00E15661" w:rsidRPr="006E6EA6" w:rsidRDefault="00E15661" w:rsidP="00981727">
      <w:pPr>
        <w:widowControl/>
        <w:adjustRightInd/>
        <w:spacing w:line="240" w:lineRule="auto"/>
        <w:textAlignment w:val="auto"/>
        <w:rPr>
          <w:rFonts w:cs="Arial"/>
          <w:sz w:val="22"/>
          <w:szCs w:val="22"/>
        </w:rPr>
      </w:pPr>
    </w:p>
    <w:p w:rsidR="009075DF" w:rsidRPr="006E6EA6" w:rsidRDefault="009075DF" w:rsidP="006E6EA6">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t>La reclamante manifiesta que si bien “</w:t>
      </w:r>
      <w:r w:rsidRPr="006E6EA6">
        <w:rPr>
          <w:rFonts w:cs="Arial"/>
          <w:i/>
          <w:sz w:val="22"/>
          <w:szCs w:val="22"/>
        </w:rPr>
        <w:t>los criterios señalados en la Decisión 486 para calcular la indemnización de daños y perjuicios, no son taxativos,</w:t>
      </w:r>
      <w:r w:rsidRPr="006E6EA6">
        <w:rPr>
          <w:rFonts w:cs="Arial"/>
          <w:sz w:val="22"/>
          <w:szCs w:val="22"/>
        </w:rPr>
        <w:t xml:space="preserve"> </w:t>
      </w:r>
      <w:r w:rsidRPr="006E6EA6">
        <w:rPr>
          <w:rFonts w:cs="Arial"/>
          <w:i/>
          <w:sz w:val="22"/>
          <w:szCs w:val="22"/>
        </w:rPr>
        <w:t>es importante destacar que aquellos previstos en el Artículo 243 de dicha Decisión Andina, son obligatorios.”</w:t>
      </w:r>
      <w:r w:rsidRPr="006E6EA6">
        <w:rPr>
          <w:rStyle w:val="Refdenotaalpie"/>
          <w:rFonts w:cs="Arial"/>
          <w:i/>
          <w:sz w:val="22"/>
          <w:szCs w:val="22"/>
        </w:rPr>
        <w:t xml:space="preserve"> </w:t>
      </w:r>
      <w:r w:rsidRPr="006E6EA6">
        <w:rPr>
          <w:rStyle w:val="Refdenotaalpie"/>
          <w:rFonts w:cs="Arial"/>
          <w:sz w:val="22"/>
          <w:szCs w:val="22"/>
        </w:rPr>
        <w:footnoteReference w:id="8"/>
      </w:r>
      <w:r w:rsidRPr="006E6EA6">
        <w:rPr>
          <w:rFonts w:cs="Arial"/>
          <w:i/>
          <w:sz w:val="22"/>
          <w:szCs w:val="22"/>
        </w:rPr>
        <w:t xml:space="preserve"> </w:t>
      </w:r>
      <w:r w:rsidRPr="006E6EA6">
        <w:rPr>
          <w:rFonts w:cs="Arial"/>
          <w:sz w:val="22"/>
          <w:szCs w:val="22"/>
        </w:rPr>
        <w:t>Además, que el Tribunal Nacional “</w:t>
      </w:r>
      <w:r w:rsidRPr="006E6EA6">
        <w:rPr>
          <w:rFonts w:cs="Arial"/>
          <w:b/>
          <w:i/>
          <w:sz w:val="22"/>
          <w:szCs w:val="22"/>
        </w:rPr>
        <w:t>NO TÓMO EN CUENTA LA INTERPRETACIÓN PREJUDICIAL DEL TRIBUNAL DE JUSTICIA DE LA COMUNIDAD ANDINA, RESPECTO DE LA CUAL NO HACE NINGUNA REFERENCIA.</w:t>
      </w:r>
      <w:r w:rsidRPr="006E6EA6">
        <w:rPr>
          <w:rFonts w:cs="Arial"/>
          <w:sz w:val="22"/>
          <w:szCs w:val="22"/>
        </w:rPr>
        <w:t>”</w:t>
      </w:r>
      <w:r w:rsidRPr="006E6EA6">
        <w:rPr>
          <w:rStyle w:val="Refdenotaalpie"/>
          <w:rFonts w:cs="Arial"/>
          <w:i/>
          <w:sz w:val="22"/>
          <w:szCs w:val="22"/>
        </w:rPr>
        <w:t xml:space="preserve"> </w:t>
      </w:r>
      <w:r w:rsidRPr="006E6EA6">
        <w:rPr>
          <w:rStyle w:val="Refdenotaalpie"/>
          <w:rFonts w:cs="Arial"/>
          <w:sz w:val="22"/>
          <w:szCs w:val="22"/>
        </w:rPr>
        <w:footnoteReference w:id="9"/>
      </w:r>
      <w:r w:rsidRPr="006E6EA6">
        <w:rPr>
          <w:rFonts w:cs="Arial"/>
          <w:sz w:val="22"/>
          <w:szCs w:val="22"/>
        </w:rPr>
        <w:t xml:space="preserve"> (El énfasis es propio del texto que se cita)</w:t>
      </w:r>
    </w:p>
    <w:p w:rsidR="009075DF" w:rsidRPr="006E6EA6" w:rsidRDefault="009075DF" w:rsidP="00981727">
      <w:pPr>
        <w:widowControl/>
        <w:adjustRightInd/>
        <w:spacing w:line="240" w:lineRule="auto"/>
        <w:textAlignment w:val="auto"/>
        <w:rPr>
          <w:rFonts w:cs="Arial"/>
          <w:sz w:val="22"/>
          <w:szCs w:val="22"/>
        </w:rPr>
      </w:pPr>
    </w:p>
    <w:p w:rsidR="00F84A60" w:rsidRPr="006E6EA6" w:rsidRDefault="00CD7C13" w:rsidP="006E6EA6">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t>Asimismo</w:t>
      </w:r>
      <w:r w:rsidR="009075DF" w:rsidRPr="006E6EA6">
        <w:rPr>
          <w:rFonts w:cs="Arial"/>
          <w:sz w:val="22"/>
          <w:szCs w:val="22"/>
        </w:rPr>
        <w:t>, r</w:t>
      </w:r>
      <w:r w:rsidR="00F84A60" w:rsidRPr="006E6EA6">
        <w:rPr>
          <w:rFonts w:cs="Arial"/>
          <w:sz w:val="22"/>
          <w:szCs w:val="22"/>
        </w:rPr>
        <w:t>especto a los elementos de la Interpretación Prejudicial que el juez nacional no habría tomado en cuenta en la sentencia del 21 de octubre de 2014, la reclamante precisó lo siguiente:</w:t>
      </w:r>
    </w:p>
    <w:p w:rsidR="00F84A60" w:rsidRPr="006E6EA6" w:rsidRDefault="00F84A60" w:rsidP="00981727">
      <w:pPr>
        <w:pStyle w:val="Sinespaciado"/>
        <w:jc w:val="both"/>
        <w:rPr>
          <w:rFonts w:ascii="Arial" w:hAnsi="Arial" w:cs="Arial"/>
        </w:rPr>
      </w:pPr>
    </w:p>
    <w:p w:rsidR="00F84A60" w:rsidRPr="006E6EA6" w:rsidRDefault="00F84A60" w:rsidP="006E6EA6">
      <w:pPr>
        <w:pStyle w:val="Sinespaciado"/>
        <w:ind w:left="709" w:right="140"/>
        <w:jc w:val="both"/>
        <w:rPr>
          <w:rFonts w:ascii="Arial" w:hAnsi="Arial" w:cs="Arial"/>
          <w:i/>
        </w:rPr>
      </w:pPr>
      <w:r w:rsidRPr="006E6EA6">
        <w:rPr>
          <w:rFonts w:ascii="Arial" w:hAnsi="Arial" w:cs="Arial"/>
        </w:rPr>
        <w:t>“</w:t>
      </w:r>
      <w:r w:rsidRPr="006E6EA6">
        <w:rPr>
          <w:rFonts w:ascii="Arial" w:hAnsi="Arial" w:cs="Arial"/>
          <w:i/>
        </w:rPr>
        <w:t>Precisando algunos de los elementos de la interpretación prejudicial no tomados en cuenta por el Tribunal Distrital de los Contencioso Administrativo N° 1 de Ecuador, tenemos que no consideró el análisis realizado por el Tribunal Andino sobre el aprovechamiento de la reputación ajena y la dilución de la marca notoriamente conocida […] El juez nacional no tomó en cuenta el análisis de la interpretación prejudicial sobre el riesgo de dilución, evidenciado cuando en la parte considerativa de la sentencia expresa que el infractor ha realizado actos de competencia desleal al haber comercializado un producto que contiene pentaclorofeno</w:t>
      </w:r>
      <w:r w:rsidR="00794777" w:rsidRPr="006E6EA6">
        <w:rPr>
          <w:rFonts w:ascii="Arial" w:hAnsi="Arial" w:cs="Arial"/>
          <w:i/>
        </w:rPr>
        <w:t>l</w:t>
      </w:r>
      <w:r w:rsidRPr="006E6EA6">
        <w:rPr>
          <w:rFonts w:ascii="Arial" w:hAnsi="Arial" w:cs="Arial"/>
          <w:i/>
        </w:rPr>
        <w:t>, prohibido de importarse y comercializarse en el Ecuador, utilizando la marca MADEROL (…)</w:t>
      </w:r>
      <w:r w:rsidR="00794777" w:rsidRPr="006E6EA6">
        <w:rPr>
          <w:rFonts w:ascii="Arial" w:hAnsi="Arial" w:cs="Arial"/>
        </w:rPr>
        <w:t>.</w:t>
      </w:r>
      <w:r w:rsidRPr="006E6EA6">
        <w:rPr>
          <w:rFonts w:ascii="Arial" w:hAnsi="Arial" w:cs="Arial"/>
        </w:rPr>
        <w:t>”</w:t>
      </w:r>
      <w:r w:rsidRPr="006E6EA6">
        <w:rPr>
          <w:rStyle w:val="Refdenotaalpie"/>
          <w:rFonts w:ascii="Arial" w:hAnsi="Arial" w:cs="Arial"/>
        </w:rPr>
        <w:footnoteReference w:id="10"/>
      </w:r>
      <w:r w:rsidRPr="006E6EA6">
        <w:rPr>
          <w:rFonts w:ascii="Arial" w:hAnsi="Arial" w:cs="Arial"/>
        </w:rPr>
        <w:t xml:space="preserve"> </w:t>
      </w:r>
    </w:p>
    <w:p w:rsidR="00984714" w:rsidRPr="006E6EA6" w:rsidRDefault="00984714" w:rsidP="00981727">
      <w:pPr>
        <w:widowControl/>
        <w:adjustRightInd/>
        <w:spacing w:line="240" w:lineRule="auto"/>
        <w:textAlignment w:val="auto"/>
        <w:rPr>
          <w:rFonts w:cs="Arial"/>
          <w:sz w:val="22"/>
          <w:szCs w:val="22"/>
        </w:rPr>
      </w:pPr>
    </w:p>
    <w:p w:rsidR="00984714" w:rsidRPr="006E6EA6" w:rsidRDefault="00CD7C13" w:rsidP="006E6EA6">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t>L</w:t>
      </w:r>
      <w:r w:rsidR="00984714" w:rsidRPr="006E6EA6">
        <w:rPr>
          <w:rFonts w:cs="Arial"/>
          <w:sz w:val="22"/>
          <w:szCs w:val="22"/>
        </w:rPr>
        <w:t xml:space="preserve">a reclamante indica que la providencia de fecha 16 de enero de 2017, dispuesta a efectos de que, en ejecución de sentencia, se efectúe la liquidación de daños y perjuicios es una continuación del incumplimiento detectado en la sentencia del Tribunal de lo Contencioso Administrativo No. 1 de </w:t>
      </w:r>
      <w:r w:rsidR="00157825" w:rsidRPr="006E6EA6">
        <w:rPr>
          <w:rFonts w:cs="Arial"/>
          <w:sz w:val="22"/>
          <w:szCs w:val="22"/>
        </w:rPr>
        <w:t xml:space="preserve">la República del </w:t>
      </w:r>
      <w:r w:rsidR="00984714" w:rsidRPr="006E6EA6">
        <w:rPr>
          <w:rFonts w:cs="Arial"/>
          <w:sz w:val="22"/>
          <w:szCs w:val="22"/>
        </w:rPr>
        <w:t>Ecuador; puesto que dicha providencia no tomaría en cuenta los parámetros establecidos en la interpretación prejudicial del TJCA.</w:t>
      </w:r>
      <w:r w:rsidR="00984714" w:rsidRPr="006E6EA6">
        <w:rPr>
          <w:rStyle w:val="Refdenotaalpie"/>
          <w:rFonts w:cs="Arial"/>
          <w:sz w:val="22"/>
          <w:szCs w:val="22"/>
        </w:rPr>
        <w:footnoteReference w:id="11"/>
      </w:r>
    </w:p>
    <w:p w:rsidR="00984714" w:rsidRPr="006E6EA6" w:rsidRDefault="00984714" w:rsidP="006E6EA6">
      <w:pPr>
        <w:pStyle w:val="Prrafodelista"/>
        <w:widowControl/>
        <w:adjustRightInd/>
        <w:spacing w:line="240" w:lineRule="auto"/>
        <w:ind w:left="426" w:hanging="426"/>
        <w:contextualSpacing w:val="0"/>
        <w:textAlignment w:val="auto"/>
        <w:rPr>
          <w:rFonts w:cs="Arial"/>
          <w:sz w:val="22"/>
          <w:szCs w:val="22"/>
        </w:rPr>
      </w:pPr>
    </w:p>
    <w:p w:rsidR="00FB6631" w:rsidRPr="006E6EA6" w:rsidRDefault="00F84A60" w:rsidP="006E6EA6">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t>Como consecuencia del incumplimiento alegado, l</w:t>
      </w:r>
      <w:r w:rsidR="00100146" w:rsidRPr="006E6EA6">
        <w:rPr>
          <w:rFonts w:cs="Arial"/>
          <w:sz w:val="22"/>
          <w:szCs w:val="22"/>
        </w:rPr>
        <w:t xml:space="preserve">a reclamante señala que </w:t>
      </w:r>
      <w:r w:rsidR="00421679" w:rsidRPr="006E6EA6">
        <w:rPr>
          <w:rFonts w:cs="Arial"/>
          <w:sz w:val="22"/>
          <w:szCs w:val="22"/>
        </w:rPr>
        <w:t xml:space="preserve">no recibió la cantidad real por concepto de daños y perjuicios, puesto que </w:t>
      </w:r>
      <w:r w:rsidR="00FB6631" w:rsidRPr="006E6EA6">
        <w:rPr>
          <w:rFonts w:cs="Arial"/>
          <w:sz w:val="22"/>
          <w:szCs w:val="22"/>
        </w:rPr>
        <w:t xml:space="preserve">el informe </w:t>
      </w:r>
      <w:r w:rsidR="00E82E73" w:rsidRPr="006E6EA6">
        <w:rPr>
          <w:rFonts w:cs="Arial"/>
          <w:sz w:val="22"/>
          <w:szCs w:val="22"/>
        </w:rPr>
        <w:t>del perito designado</w:t>
      </w:r>
      <w:r w:rsidR="00FB6631" w:rsidRPr="006E6EA6">
        <w:rPr>
          <w:rFonts w:cs="Arial"/>
          <w:sz w:val="22"/>
          <w:szCs w:val="22"/>
        </w:rPr>
        <w:t xml:space="preserve"> por el juez nacional no </w:t>
      </w:r>
      <w:r w:rsidR="00E82E73" w:rsidRPr="006E6EA6">
        <w:rPr>
          <w:rFonts w:cs="Arial"/>
          <w:sz w:val="22"/>
          <w:szCs w:val="22"/>
        </w:rPr>
        <w:t xml:space="preserve">contempla lo ordenado en la Interpretación </w:t>
      </w:r>
      <w:r w:rsidR="00E82E73" w:rsidRPr="006E6EA6">
        <w:rPr>
          <w:rFonts w:cs="Arial"/>
          <w:sz w:val="22"/>
          <w:szCs w:val="22"/>
        </w:rPr>
        <w:lastRenderedPageBreak/>
        <w:t>Prejudicial del Proceso 04-IP-2013.</w:t>
      </w:r>
      <w:r w:rsidR="00524E76" w:rsidRPr="006E6EA6">
        <w:rPr>
          <w:rFonts w:cs="Arial"/>
          <w:sz w:val="22"/>
          <w:szCs w:val="22"/>
        </w:rPr>
        <w:t xml:space="preserve"> Adicionalmente, señala que dicho informe pericial tiene incongruencias de cálculo.</w:t>
      </w:r>
      <w:r w:rsidR="00524E76" w:rsidRPr="006E6EA6">
        <w:rPr>
          <w:rStyle w:val="Refdenotaalpie"/>
          <w:rFonts w:cs="Arial"/>
          <w:sz w:val="22"/>
          <w:szCs w:val="22"/>
        </w:rPr>
        <w:footnoteReference w:id="12"/>
      </w:r>
      <w:r w:rsidR="00E82E73" w:rsidRPr="006E6EA6">
        <w:rPr>
          <w:rFonts w:cs="Arial"/>
          <w:sz w:val="22"/>
          <w:szCs w:val="22"/>
        </w:rPr>
        <w:t xml:space="preserve"> </w:t>
      </w:r>
    </w:p>
    <w:p w:rsidR="00E82E73" w:rsidRPr="006E6EA6" w:rsidRDefault="00E82E73" w:rsidP="00981727">
      <w:pPr>
        <w:pStyle w:val="Prrafodelista"/>
        <w:spacing w:line="240" w:lineRule="auto"/>
        <w:rPr>
          <w:rFonts w:cs="Arial"/>
          <w:sz w:val="22"/>
          <w:szCs w:val="22"/>
        </w:rPr>
      </w:pPr>
    </w:p>
    <w:p w:rsidR="00E82E73" w:rsidRPr="006E6EA6" w:rsidRDefault="00E82E73" w:rsidP="00CA1C9E">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t>Por otro lado, la reclamante alega que el juez consultante no habría dado oportunidad a la reclamante para que aporte información sobre la cuantía de los daños y perjuicios ocasionados; manifestando lo siguiente:</w:t>
      </w:r>
    </w:p>
    <w:p w:rsidR="00E82E73" w:rsidRPr="006E6EA6" w:rsidRDefault="00E82E73" w:rsidP="00981727">
      <w:pPr>
        <w:pStyle w:val="Sinespaciado"/>
        <w:jc w:val="both"/>
        <w:rPr>
          <w:rFonts w:ascii="Arial" w:hAnsi="Arial" w:cs="Arial"/>
        </w:rPr>
      </w:pPr>
    </w:p>
    <w:p w:rsidR="00E82E73" w:rsidRPr="006E6EA6" w:rsidRDefault="00E82E73" w:rsidP="00981727">
      <w:pPr>
        <w:pStyle w:val="Sinespaciado"/>
        <w:tabs>
          <w:tab w:val="left" w:pos="1134"/>
        </w:tabs>
        <w:ind w:left="1134" w:right="48"/>
        <w:jc w:val="both"/>
        <w:rPr>
          <w:rFonts w:ascii="Arial" w:hAnsi="Arial" w:cs="Arial"/>
        </w:rPr>
      </w:pPr>
      <w:r w:rsidRPr="006E6EA6">
        <w:rPr>
          <w:rFonts w:ascii="Arial" w:eastAsia="Times New Roman" w:hAnsi="Arial" w:cs="Arial"/>
          <w:lang w:eastAsia="es-PE"/>
        </w:rPr>
        <w:t>“</w:t>
      </w:r>
      <w:r w:rsidRPr="006E6EA6">
        <w:rPr>
          <w:rFonts w:ascii="Arial" w:hAnsi="Arial" w:cs="Arial"/>
          <w:i/>
        </w:rPr>
        <w:t>[…] el Tribunal de Justicia de la Comunidad Andina expresamente señaló en su sentencia, refiriéndose al afectado por la infracción, que ‘</w:t>
      </w:r>
      <w:r w:rsidRPr="006E6EA6">
        <w:rPr>
          <w:rFonts w:ascii="Arial" w:hAnsi="Arial" w:cs="Arial"/>
          <w:i/>
          <w:u w:val="single"/>
        </w:rPr>
        <w:t>Este deberá aportar igualmente la cuantía de los daños y perjuicios en referencia o, al menos, las bases para fijarla</w:t>
      </w:r>
      <w:r w:rsidRPr="006E6EA6">
        <w:rPr>
          <w:rFonts w:ascii="Arial" w:hAnsi="Arial" w:cs="Arial"/>
          <w:i/>
        </w:rPr>
        <w:t xml:space="preserve">’. Sin embargo, el juez consultante nunca dio la oportunidad a la compañía </w:t>
      </w:r>
      <w:r w:rsidRPr="006E6EA6">
        <w:rPr>
          <w:rFonts w:ascii="Arial" w:hAnsi="Arial" w:cs="Arial"/>
          <w:b/>
          <w:i/>
        </w:rPr>
        <w:t>INDUALCA S.A.</w:t>
      </w:r>
      <w:r w:rsidRPr="006E6EA6">
        <w:rPr>
          <w:rFonts w:ascii="Arial" w:hAnsi="Arial" w:cs="Arial"/>
          <w:i/>
        </w:rPr>
        <w:t>, afectada por los actos de competencia desleal (…), de que aporte información sobre la cuantía de los daños y perjuicios ocasionados, incumpliendo de esta manera la dispuesto en la sentencia de interpretación prejudicial.</w:t>
      </w:r>
      <w:r w:rsidRPr="006E6EA6">
        <w:rPr>
          <w:rFonts w:ascii="Arial" w:hAnsi="Arial" w:cs="Arial"/>
        </w:rPr>
        <w:t>”</w:t>
      </w:r>
      <w:r w:rsidRPr="006E6EA6">
        <w:rPr>
          <w:rStyle w:val="Refdenotaalpie"/>
          <w:rFonts w:ascii="Arial" w:hAnsi="Arial" w:cs="Arial"/>
        </w:rPr>
        <w:footnoteReference w:id="13"/>
      </w:r>
      <w:r w:rsidRPr="006E6EA6">
        <w:rPr>
          <w:rFonts w:ascii="Arial" w:hAnsi="Arial" w:cs="Arial"/>
        </w:rPr>
        <w:t xml:space="preserve"> (El subrayado y las negrillas son propias del texto que se cita)</w:t>
      </w:r>
    </w:p>
    <w:p w:rsidR="004A34F0" w:rsidRPr="006E6EA6" w:rsidRDefault="004A34F0" w:rsidP="00981727">
      <w:pPr>
        <w:widowControl/>
        <w:adjustRightInd/>
        <w:spacing w:line="240" w:lineRule="auto"/>
        <w:textAlignment w:val="auto"/>
        <w:rPr>
          <w:rFonts w:cs="Arial"/>
          <w:sz w:val="22"/>
          <w:szCs w:val="22"/>
        </w:rPr>
      </w:pPr>
    </w:p>
    <w:p w:rsidR="008139E5" w:rsidRPr="006E6EA6" w:rsidRDefault="008139E5" w:rsidP="00CA1C9E">
      <w:pPr>
        <w:pStyle w:val="Prrafodelista"/>
        <w:widowControl/>
        <w:numPr>
          <w:ilvl w:val="1"/>
          <w:numId w:val="22"/>
        </w:numPr>
        <w:adjustRightInd/>
        <w:spacing w:line="240" w:lineRule="auto"/>
        <w:ind w:left="851" w:hanging="425"/>
        <w:textAlignment w:val="auto"/>
        <w:rPr>
          <w:rFonts w:cs="Arial"/>
          <w:b/>
          <w:sz w:val="22"/>
          <w:szCs w:val="22"/>
        </w:rPr>
      </w:pPr>
      <w:r w:rsidRPr="006E6EA6">
        <w:rPr>
          <w:rFonts w:cs="Arial"/>
          <w:b/>
          <w:sz w:val="22"/>
          <w:szCs w:val="22"/>
        </w:rPr>
        <w:t>El alegado incumplimiento de</w:t>
      </w:r>
      <w:r w:rsidR="00D506AF" w:rsidRPr="006E6EA6">
        <w:rPr>
          <w:rFonts w:cs="Arial"/>
          <w:b/>
          <w:sz w:val="22"/>
          <w:szCs w:val="22"/>
        </w:rPr>
        <w:t>l</w:t>
      </w:r>
      <w:r w:rsidRPr="006E6EA6">
        <w:rPr>
          <w:rFonts w:cs="Arial"/>
          <w:b/>
          <w:sz w:val="22"/>
          <w:szCs w:val="22"/>
        </w:rPr>
        <w:t xml:space="preserve"> artículo 4</w:t>
      </w:r>
      <w:r w:rsidR="00D506AF" w:rsidRPr="006E6EA6">
        <w:rPr>
          <w:rFonts w:cs="Arial"/>
          <w:b/>
          <w:sz w:val="22"/>
          <w:szCs w:val="22"/>
        </w:rPr>
        <w:t xml:space="preserve"> y 36</w:t>
      </w:r>
      <w:r w:rsidRPr="006E6EA6">
        <w:rPr>
          <w:rFonts w:cs="Arial"/>
          <w:b/>
          <w:sz w:val="22"/>
          <w:szCs w:val="22"/>
        </w:rPr>
        <w:t xml:space="preserve"> del Tratado de Creación del Tribunal de Justicia de la Comunidad Andina</w:t>
      </w:r>
      <w:r w:rsidR="00D506AF" w:rsidRPr="006E6EA6">
        <w:rPr>
          <w:rFonts w:cs="Arial"/>
          <w:b/>
          <w:sz w:val="22"/>
          <w:szCs w:val="22"/>
        </w:rPr>
        <w:t>, y del artículo 128 de la Decisión 500</w:t>
      </w:r>
      <w:r w:rsidR="00CA1C9E">
        <w:rPr>
          <w:rFonts w:cs="Arial"/>
          <w:b/>
          <w:sz w:val="22"/>
          <w:szCs w:val="22"/>
        </w:rPr>
        <w:t>:</w:t>
      </w:r>
    </w:p>
    <w:p w:rsidR="008139E5" w:rsidRPr="006E6EA6" w:rsidRDefault="008139E5" w:rsidP="00981727">
      <w:pPr>
        <w:pStyle w:val="Prrafodelista"/>
        <w:widowControl/>
        <w:adjustRightInd/>
        <w:spacing w:line="240" w:lineRule="auto"/>
        <w:ind w:left="-12"/>
        <w:contextualSpacing w:val="0"/>
        <w:textAlignment w:val="auto"/>
        <w:rPr>
          <w:rFonts w:cs="Arial"/>
          <w:sz w:val="22"/>
          <w:szCs w:val="22"/>
        </w:rPr>
      </w:pPr>
    </w:p>
    <w:p w:rsidR="00047BA4" w:rsidRPr="006E6EA6" w:rsidRDefault="00CB072B" w:rsidP="00CA1C9E">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t xml:space="preserve">La reclamante alega que la República del Ecuador incumple el artículo 4 del TCTJCA, puesto que dicho artículo establece dos </w:t>
      </w:r>
      <w:r w:rsidR="007A17DA" w:rsidRPr="006E6EA6">
        <w:rPr>
          <w:rFonts w:cs="Arial"/>
          <w:sz w:val="22"/>
          <w:szCs w:val="22"/>
        </w:rPr>
        <w:t xml:space="preserve">tipos </w:t>
      </w:r>
      <w:r w:rsidRPr="006E6EA6">
        <w:rPr>
          <w:rFonts w:cs="Arial"/>
          <w:sz w:val="22"/>
          <w:szCs w:val="22"/>
        </w:rPr>
        <w:t xml:space="preserve">de obligaciones de los Países Miembros, las de hacer y las de no hacer, implicando ambas </w:t>
      </w:r>
      <w:r w:rsidR="007A17DA" w:rsidRPr="006E6EA6">
        <w:rPr>
          <w:rFonts w:cs="Arial"/>
          <w:sz w:val="22"/>
          <w:szCs w:val="22"/>
        </w:rPr>
        <w:t xml:space="preserve">la </w:t>
      </w:r>
      <w:r w:rsidRPr="006E6EA6">
        <w:rPr>
          <w:rFonts w:cs="Arial"/>
          <w:sz w:val="22"/>
          <w:szCs w:val="22"/>
        </w:rPr>
        <w:t xml:space="preserve">obligación de los Países Miembros de respetar el ordenamiento jurídico andino. Así, el Tribunal de lo Contencioso Administrativo No. 1 estaba obligado a adoptar la interpretación prejudicial 04-IP-2013, conforme a lo dispuesto en </w:t>
      </w:r>
      <w:r w:rsidR="00D506AF" w:rsidRPr="006E6EA6">
        <w:rPr>
          <w:rFonts w:cs="Arial"/>
          <w:sz w:val="22"/>
          <w:szCs w:val="22"/>
        </w:rPr>
        <w:t>los</w:t>
      </w:r>
      <w:r w:rsidRPr="006E6EA6">
        <w:rPr>
          <w:rFonts w:cs="Arial"/>
          <w:sz w:val="22"/>
          <w:szCs w:val="22"/>
        </w:rPr>
        <w:t xml:space="preserve"> artículo</w:t>
      </w:r>
      <w:r w:rsidR="00D506AF" w:rsidRPr="006E6EA6">
        <w:rPr>
          <w:rFonts w:cs="Arial"/>
          <w:sz w:val="22"/>
          <w:szCs w:val="22"/>
        </w:rPr>
        <w:t>s</w:t>
      </w:r>
      <w:r w:rsidRPr="006E6EA6">
        <w:rPr>
          <w:rFonts w:cs="Arial"/>
          <w:sz w:val="22"/>
          <w:szCs w:val="22"/>
        </w:rPr>
        <w:t xml:space="preserve"> </w:t>
      </w:r>
      <w:r w:rsidR="002C4839" w:rsidRPr="006E6EA6">
        <w:rPr>
          <w:rFonts w:cs="Arial"/>
          <w:sz w:val="22"/>
          <w:szCs w:val="22"/>
        </w:rPr>
        <w:t xml:space="preserve">4 </w:t>
      </w:r>
      <w:r w:rsidR="00D506AF" w:rsidRPr="006E6EA6">
        <w:rPr>
          <w:rFonts w:cs="Arial"/>
          <w:sz w:val="22"/>
          <w:szCs w:val="22"/>
        </w:rPr>
        <w:t>y 36</w:t>
      </w:r>
      <w:r w:rsidRPr="006E6EA6">
        <w:rPr>
          <w:rFonts w:cs="Arial"/>
          <w:sz w:val="22"/>
          <w:szCs w:val="22"/>
        </w:rPr>
        <w:t xml:space="preserve"> del TCTJCA</w:t>
      </w:r>
      <w:r w:rsidR="004A34F0" w:rsidRPr="006E6EA6">
        <w:rPr>
          <w:rFonts w:cs="Arial"/>
          <w:sz w:val="22"/>
          <w:szCs w:val="22"/>
        </w:rPr>
        <w:t xml:space="preserve"> y en </w:t>
      </w:r>
      <w:r w:rsidR="007A17DA" w:rsidRPr="006E6EA6">
        <w:rPr>
          <w:rFonts w:cs="Arial"/>
          <w:sz w:val="22"/>
          <w:szCs w:val="22"/>
        </w:rPr>
        <w:t xml:space="preserve">el artículo </w:t>
      </w:r>
      <w:r w:rsidR="004A34F0" w:rsidRPr="006E6EA6">
        <w:rPr>
          <w:rFonts w:cs="Arial"/>
          <w:sz w:val="22"/>
          <w:szCs w:val="22"/>
        </w:rPr>
        <w:t xml:space="preserve"> 128 de la Decisión 500.</w:t>
      </w:r>
    </w:p>
    <w:p w:rsidR="003F0AEB" w:rsidRPr="006E6EA6" w:rsidRDefault="003F0AEB" w:rsidP="00981727">
      <w:pPr>
        <w:pStyle w:val="NormalWeb"/>
        <w:spacing w:before="0" w:beforeAutospacing="0" w:after="0" w:afterAutospacing="0"/>
        <w:jc w:val="both"/>
        <w:rPr>
          <w:rFonts w:ascii="Arial" w:hAnsi="Arial" w:cs="Arial"/>
          <w:color w:val="auto"/>
          <w:sz w:val="22"/>
          <w:szCs w:val="22"/>
          <w:lang w:eastAsia="es-PE"/>
        </w:rPr>
      </w:pPr>
    </w:p>
    <w:p w:rsidR="00C238F7" w:rsidRPr="006E6EA6" w:rsidRDefault="00971FEA" w:rsidP="00CA1C9E">
      <w:pPr>
        <w:pStyle w:val="NormalWeb"/>
        <w:numPr>
          <w:ilvl w:val="0"/>
          <w:numId w:val="22"/>
        </w:numPr>
        <w:spacing w:before="0" w:beforeAutospacing="0" w:after="0" w:afterAutospacing="0"/>
        <w:ind w:left="426" w:hanging="426"/>
        <w:jc w:val="both"/>
        <w:rPr>
          <w:rFonts w:ascii="Arial" w:hAnsi="Arial" w:cs="Arial"/>
          <w:b/>
          <w:bCs/>
          <w:color w:val="auto"/>
          <w:sz w:val="22"/>
          <w:szCs w:val="22"/>
        </w:rPr>
      </w:pPr>
      <w:r w:rsidRPr="006E6EA6">
        <w:rPr>
          <w:rFonts w:ascii="Arial" w:hAnsi="Arial" w:cs="Arial"/>
          <w:b/>
          <w:bCs/>
          <w:color w:val="auto"/>
          <w:sz w:val="22"/>
          <w:szCs w:val="22"/>
        </w:rPr>
        <w:t>Argumentos de la Reclamada:</w:t>
      </w:r>
    </w:p>
    <w:p w:rsidR="00146EF3" w:rsidRPr="006E6EA6" w:rsidRDefault="00146EF3" w:rsidP="00CA1C9E">
      <w:pPr>
        <w:widowControl/>
        <w:adjustRightInd/>
        <w:spacing w:line="240" w:lineRule="auto"/>
        <w:ind w:left="426" w:hanging="426"/>
        <w:textAlignment w:val="auto"/>
        <w:rPr>
          <w:rFonts w:cs="Arial"/>
          <w:sz w:val="22"/>
          <w:szCs w:val="22"/>
        </w:rPr>
      </w:pPr>
    </w:p>
    <w:p w:rsidR="00286714" w:rsidRPr="006E6EA6" w:rsidRDefault="00286714" w:rsidP="00CA1C9E">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En el escrito de contestación al reclamo, la reclamada señaló que “</w:t>
      </w:r>
      <w:r w:rsidRPr="006E6EA6">
        <w:rPr>
          <w:rFonts w:cs="Arial"/>
          <w:i/>
          <w:sz w:val="22"/>
          <w:szCs w:val="22"/>
          <w:lang w:val="es-ES"/>
        </w:rPr>
        <w:t xml:space="preserve">(…) el Tribunal de Justicia de la Comunidad Andina de Naciones </w:t>
      </w:r>
      <w:r w:rsidRPr="006E6EA6">
        <w:rPr>
          <w:rFonts w:cs="Arial"/>
          <w:sz w:val="22"/>
          <w:szCs w:val="22"/>
          <w:lang w:val="es-ES"/>
        </w:rPr>
        <w:t xml:space="preserve">(SIC) </w:t>
      </w:r>
      <w:r w:rsidRPr="006E6EA6">
        <w:rPr>
          <w:rFonts w:cs="Arial"/>
          <w:i/>
          <w:sz w:val="22"/>
          <w:szCs w:val="22"/>
          <w:lang w:val="es-ES"/>
        </w:rPr>
        <w:t>interpreta las normas consultadas sin referirse ni analizar el caso específico del cual emana la consulta, y que el Juez Nacional en este caso nosotros, el Tribunal Distrital de lo Contencioso Administrativo debemos utilizar esa interpretación de la norma comunitaria en la emisión de la sentencia. Mientras este precepto se cumpla, el artículo 4 del Tratado de creación del Tribunal no será violentado</w:t>
      </w:r>
      <w:r w:rsidRPr="006E6EA6">
        <w:rPr>
          <w:rFonts w:cs="Arial"/>
          <w:sz w:val="22"/>
          <w:szCs w:val="22"/>
          <w:lang w:val="es-ES"/>
        </w:rPr>
        <w:t>”</w:t>
      </w:r>
      <w:r w:rsidRPr="006E6EA6">
        <w:rPr>
          <w:rFonts w:cs="Arial"/>
          <w:sz w:val="22"/>
          <w:szCs w:val="22"/>
          <w:vertAlign w:val="superscript"/>
        </w:rPr>
        <w:footnoteReference w:id="14"/>
      </w:r>
      <w:r w:rsidRPr="006E6EA6">
        <w:rPr>
          <w:rFonts w:cs="Arial"/>
          <w:sz w:val="22"/>
          <w:szCs w:val="22"/>
          <w:lang w:val="es-ES"/>
        </w:rPr>
        <w:t xml:space="preserve">. </w:t>
      </w:r>
    </w:p>
    <w:p w:rsidR="00286714" w:rsidRPr="006E6EA6" w:rsidRDefault="00286714" w:rsidP="00CA1C9E">
      <w:pPr>
        <w:pStyle w:val="Prrafodelista"/>
        <w:widowControl/>
        <w:adjustRightInd/>
        <w:spacing w:line="240" w:lineRule="auto"/>
        <w:ind w:left="426" w:hanging="426"/>
        <w:contextualSpacing w:val="0"/>
        <w:textAlignment w:val="auto"/>
        <w:rPr>
          <w:rFonts w:cs="Arial"/>
          <w:sz w:val="22"/>
          <w:szCs w:val="22"/>
        </w:rPr>
      </w:pPr>
    </w:p>
    <w:p w:rsidR="00146EF3" w:rsidRPr="006E6EA6" w:rsidRDefault="00146EF3" w:rsidP="00CA1C9E">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t xml:space="preserve">La </w:t>
      </w:r>
      <w:r w:rsidR="00107394" w:rsidRPr="006E6EA6">
        <w:rPr>
          <w:rFonts w:cs="Arial"/>
          <w:sz w:val="22"/>
          <w:szCs w:val="22"/>
        </w:rPr>
        <w:t>reclamada señala que la s</w:t>
      </w:r>
      <w:r w:rsidRPr="006E6EA6">
        <w:rPr>
          <w:rFonts w:cs="Arial"/>
          <w:sz w:val="22"/>
          <w:szCs w:val="22"/>
        </w:rPr>
        <w:t>entencia emitida por el juez nacional ordena que se liquiden los daños y perjuicios, de acuerdo a lo previsto en el artículo 303 de la ley de propiedad intelectual ecuatoriana. Dicho artículo incluye la norma comunitaria y va más allá</w:t>
      </w:r>
      <w:r w:rsidR="00435E41" w:rsidRPr="006E6EA6">
        <w:rPr>
          <w:rFonts w:cs="Arial"/>
          <w:sz w:val="22"/>
          <w:szCs w:val="22"/>
        </w:rPr>
        <w:t>,</w:t>
      </w:r>
      <w:r w:rsidRPr="006E6EA6">
        <w:rPr>
          <w:rFonts w:cs="Arial"/>
          <w:sz w:val="22"/>
          <w:szCs w:val="22"/>
        </w:rPr>
        <w:t xml:space="preserve"> con parámetros más amplios para el cálculo de la indemnización de daños y perjuicios</w:t>
      </w:r>
      <w:r w:rsidR="00435E41" w:rsidRPr="006E6EA6">
        <w:rPr>
          <w:rFonts w:cs="Arial"/>
          <w:sz w:val="22"/>
          <w:szCs w:val="22"/>
        </w:rPr>
        <w:t>, en comparación con</w:t>
      </w:r>
      <w:r w:rsidRPr="006E6EA6">
        <w:rPr>
          <w:rFonts w:cs="Arial"/>
          <w:sz w:val="22"/>
          <w:szCs w:val="22"/>
        </w:rPr>
        <w:t xml:space="preserve"> la norma comunitaria.</w:t>
      </w:r>
    </w:p>
    <w:p w:rsidR="00146EF3" w:rsidRPr="006E6EA6" w:rsidRDefault="00146EF3" w:rsidP="00CA1C9E">
      <w:pPr>
        <w:pStyle w:val="Prrafodelista"/>
        <w:spacing w:line="240" w:lineRule="auto"/>
        <w:ind w:left="426" w:hanging="426"/>
        <w:rPr>
          <w:rFonts w:cs="Arial"/>
          <w:sz w:val="22"/>
          <w:szCs w:val="22"/>
        </w:rPr>
      </w:pPr>
    </w:p>
    <w:p w:rsidR="00371A91" w:rsidRPr="006E6EA6" w:rsidRDefault="00107394" w:rsidP="00CA1C9E">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t xml:space="preserve">Asimismo, la </w:t>
      </w:r>
      <w:r w:rsidR="00C862D3" w:rsidRPr="006E6EA6">
        <w:rPr>
          <w:rFonts w:cs="Arial"/>
          <w:sz w:val="22"/>
          <w:szCs w:val="22"/>
        </w:rPr>
        <w:t>República del Ecuador</w:t>
      </w:r>
      <w:r w:rsidRPr="006E6EA6">
        <w:rPr>
          <w:rFonts w:cs="Arial"/>
          <w:sz w:val="22"/>
          <w:szCs w:val="22"/>
        </w:rPr>
        <w:t xml:space="preserve"> señala que l</w:t>
      </w:r>
      <w:r w:rsidR="00146EF3" w:rsidRPr="006E6EA6">
        <w:rPr>
          <w:rFonts w:cs="Arial"/>
          <w:sz w:val="22"/>
          <w:szCs w:val="22"/>
        </w:rPr>
        <w:t xml:space="preserve">a </w:t>
      </w:r>
      <w:r w:rsidR="00371A91" w:rsidRPr="006E6EA6">
        <w:rPr>
          <w:rFonts w:cs="Arial"/>
          <w:sz w:val="22"/>
          <w:szCs w:val="22"/>
        </w:rPr>
        <w:t>reclamante estuvo conforme con la sentencia que acogió la inter</w:t>
      </w:r>
      <w:r w:rsidRPr="006E6EA6">
        <w:rPr>
          <w:rFonts w:cs="Arial"/>
          <w:sz w:val="22"/>
          <w:szCs w:val="22"/>
        </w:rPr>
        <w:t>pretación prejudicial emitida, puesto</w:t>
      </w:r>
      <w:r w:rsidR="00371A91" w:rsidRPr="006E6EA6">
        <w:rPr>
          <w:rFonts w:cs="Arial"/>
          <w:sz w:val="22"/>
          <w:szCs w:val="22"/>
        </w:rPr>
        <w:t xml:space="preserve"> que no interpuso recurso de casación. </w:t>
      </w:r>
    </w:p>
    <w:p w:rsidR="00371A91" w:rsidRPr="006E6EA6" w:rsidRDefault="00371A91" w:rsidP="00981727">
      <w:pPr>
        <w:widowControl/>
        <w:adjustRightInd/>
        <w:spacing w:line="240" w:lineRule="auto"/>
        <w:textAlignment w:val="auto"/>
        <w:rPr>
          <w:rFonts w:cs="Arial"/>
          <w:sz w:val="22"/>
          <w:szCs w:val="22"/>
        </w:rPr>
      </w:pPr>
    </w:p>
    <w:p w:rsidR="00A73CCC" w:rsidRPr="006E6EA6" w:rsidRDefault="00A73CCC" w:rsidP="00CA1C9E">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lastRenderedPageBreak/>
        <w:t>Respecto a la providencia de fecha 16 de enero de 2017, la reclamada indica lo siguiente:</w:t>
      </w:r>
    </w:p>
    <w:p w:rsidR="00F83EA5" w:rsidRPr="006E6EA6" w:rsidRDefault="00F83EA5" w:rsidP="00CA1C9E">
      <w:pPr>
        <w:widowControl/>
        <w:adjustRightInd/>
        <w:spacing w:line="240" w:lineRule="auto"/>
        <w:ind w:left="426" w:hanging="426"/>
        <w:textAlignment w:val="auto"/>
        <w:rPr>
          <w:rFonts w:cs="Arial"/>
          <w:sz w:val="22"/>
          <w:szCs w:val="22"/>
        </w:rPr>
      </w:pPr>
    </w:p>
    <w:p w:rsidR="00A73CCC" w:rsidRPr="006E6EA6" w:rsidRDefault="00A73CCC" w:rsidP="00CA1C9E">
      <w:pPr>
        <w:widowControl/>
        <w:adjustRightInd/>
        <w:spacing w:line="240" w:lineRule="auto"/>
        <w:ind w:left="426"/>
        <w:textAlignment w:val="auto"/>
        <w:rPr>
          <w:rFonts w:cs="Arial"/>
          <w:i/>
          <w:sz w:val="22"/>
          <w:szCs w:val="22"/>
        </w:rPr>
      </w:pPr>
      <w:r w:rsidRPr="006E6EA6">
        <w:rPr>
          <w:rFonts w:cs="Arial"/>
          <w:sz w:val="22"/>
          <w:szCs w:val="22"/>
        </w:rPr>
        <w:t>“</w:t>
      </w:r>
      <w:r w:rsidRPr="006E6EA6">
        <w:rPr>
          <w:rFonts w:cs="Arial"/>
          <w:i/>
          <w:sz w:val="22"/>
          <w:szCs w:val="22"/>
        </w:rPr>
        <w:t xml:space="preserve">La providencia de fecha 16 de enero de 2017, ordena literalmente ‘…Designase en </w:t>
      </w:r>
      <w:r w:rsidR="00F83EA5" w:rsidRPr="006E6EA6">
        <w:rPr>
          <w:rFonts w:cs="Arial"/>
          <w:i/>
          <w:sz w:val="22"/>
          <w:szCs w:val="22"/>
        </w:rPr>
        <w:t>calidad</w:t>
      </w:r>
      <w:r w:rsidRPr="006E6EA6">
        <w:rPr>
          <w:rFonts w:cs="Arial"/>
          <w:i/>
          <w:sz w:val="22"/>
          <w:szCs w:val="22"/>
        </w:rPr>
        <w:t xml:space="preserve"> de perito calificado por el Consejo de la Judicatura a Méndez Jarrín Yolanda (…) qu</w:t>
      </w:r>
      <w:r w:rsidR="00F83EA5" w:rsidRPr="006E6EA6">
        <w:rPr>
          <w:rFonts w:cs="Arial"/>
          <w:i/>
          <w:sz w:val="22"/>
          <w:szCs w:val="22"/>
        </w:rPr>
        <w:t>ién tomara posesión de su cargo el día 19 de enero del presente año, a las 10h00, concediéndole el termino de 15 días para que presente su respectivo informe, conforme lo solicitado en sentencia emitida el 21 de octubre del 2014 por el Tribunal Contencioso Administrativo, (…)’.</w:t>
      </w:r>
      <w:r w:rsidR="00F83EA5" w:rsidRPr="006E6EA6">
        <w:rPr>
          <w:rFonts w:cs="Arial"/>
          <w:sz w:val="22"/>
          <w:szCs w:val="22"/>
        </w:rPr>
        <w:t>” (SIC)</w:t>
      </w:r>
    </w:p>
    <w:p w:rsidR="00A73CCC" w:rsidRPr="006E6EA6" w:rsidRDefault="00A73CCC" w:rsidP="00981727">
      <w:pPr>
        <w:pStyle w:val="Prrafodelista"/>
        <w:spacing w:line="240" w:lineRule="auto"/>
        <w:rPr>
          <w:rFonts w:cs="Arial"/>
          <w:sz w:val="22"/>
          <w:szCs w:val="22"/>
        </w:rPr>
      </w:pPr>
    </w:p>
    <w:p w:rsidR="00893E05" w:rsidRPr="006E6EA6" w:rsidRDefault="00107394" w:rsidP="00CA1C9E">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t>Por otro lado, r</w:t>
      </w:r>
      <w:r w:rsidR="00893E05" w:rsidRPr="006E6EA6">
        <w:rPr>
          <w:rFonts w:cs="Arial"/>
          <w:sz w:val="22"/>
          <w:szCs w:val="22"/>
        </w:rPr>
        <w:t>especto a los informes periciales, la reclamada señal</w:t>
      </w:r>
      <w:r w:rsidR="00B12D4E" w:rsidRPr="006E6EA6">
        <w:rPr>
          <w:rFonts w:cs="Arial"/>
          <w:sz w:val="22"/>
          <w:szCs w:val="22"/>
        </w:rPr>
        <w:t>ó</w:t>
      </w:r>
      <w:r w:rsidR="00893E05" w:rsidRPr="006E6EA6">
        <w:rPr>
          <w:rFonts w:cs="Arial"/>
          <w:sz w:val="22"/>
          <w:szCs w:val="22"/>
        </w:rPr>
        <w:t xml:space="preserve"> lo siguiente:</w:t>
      </w:r>
    </w:p>
    <w:p w:rsidR="001860E4" w:rsidRPr="006E6EA6" w:rsidRDefault="001860E4" w:rsidP="00981727">
      <w:pPr>
        <w:widowControl/>
        <w:adjustRightInd/>
        <w:spacing w:line="240" w:lineRule="auto"/>
        <w:textAlignment w:val="auto"/>
        <w:rPr>
          <w:rFonts w:cs="Arial"/>
          <w:sz w:val="22"/>
          <w:szCs w:val="22"/>
        </w:rPr>
      </w:pPr>
    </w:p>
    <w:p w:rsidR="00893E05" w:rsidRPr="006E6EA6" w:rsidRDefault="00893E05" w:rsidP="00CA1C9E">
      <w:pPr>
        <w:widowControl/>
        <w:adjustRightInd/>
        <w:spacing w:line="240" w:lineRule="auto"/>
        <w:ind w:left="426"/>
        <w:textAlignment w:val="auto"/>
        <w:rPr>
          <w:rFonts w:cs="Arial"/>
          <w:i/>
          <w:sz w:val="22"/>
          <w:szCs w:val="22"/>
        </w:rPr>
      </w:pPr>
      <w:r w:rsidRPr="006E6EA6">
        <w:rPr>
          <w:rFonts w:cs="Arial"/>
          <w:sz w:val="22"/>
          <w:szCs w:val="22"/>
        </w:rPr>
        <w:t>“</w:t>
      </w:r>
      <w:r w:rsidRPr="006E6EA6">
        <w:rPr>
          <w:rFonts w:cs="Arial"/>
          <w:i/>
          <w:sz w:val="22"/>
          <w:szCs w:val="22"/>
        </w:rPr>
        <w:t xml:space="preserve">10. Respecto de los informes periciales a los que INDUALCA hace referencia en su demanda de Incumplimiento es importante anotar que el peritaje de la perito Yolanda del Carmen Méndez Jarrín, fue objeto de error esencial por parte de INDUALCA </w:t>
      </w:r>
      <w:r w:rsidR="001860E4" w:rsidRPr="006E6EA6">
        <w:rPr>
          <w:rFonts w:cs="Arial"/>
          <w:i/>
          <w:sz w:val="22"/>
          <w:szCs w:val="22"/>
        </w:rPr>
        <w:t>con</w:t>
      </w:r>
      <w:r w:rsidRPr="006E6EA6">
        <w:rPr>
          <w:rFonts w:cs="Arial"/>
          <w:i/>
          <w:sz w:val="22"/>
          <w:szCs w:val="22"/>
        </w:rPr>
        <w:t xml:space="preserve"> alegaciones que se concentraron en impugnar </w:t>
      </w:r>
      <w:r w:rsidR="001860E4" w:rsidRPr="006E6EA6">
        <w:rPr>
          <w:rFonts w:cs="Arial"/>
          <w:i/>
          <w:sz w:val="22"/>
          <w:szCs w:val="22"/>
        </w:rPr>
        <w:t>el porcentaje con el que se debe calcular el valor de las regalías, y no en ninguna otra alegación, como las que ahora se traen en la demanda de Incumplimiento.</w:t>
      </w:r>
    </w:p>
    <w:p w:rsidR="001860E4" w:rsidRPr="006E6EA6" w:rsidRDefault="001860E4" w:rsidP="00CA1C9E">
      <w:pPr>
        <w:widowControl/>
        <w:adjustRightInd/>
        <w:spacing w:line="240" w:lineRule="auto"/>
        <w:ind w:left="426"/>
        <w:textAlignment w:val="auto"/>
        <w:rPr>
          <w:rFonts w:cs="Arial"/>
          <w:i/>
          <w:sz w:val="22"/>
          <w:szCs w:val="22"/>
        </w:rPr>
      </w:pPr>
    </w:p>
    <w:p w:rsidR="001860E4" w:rsidRPr="006E6EA6" w:rsidRDefault="001860E4" w:rsidP="00CA1C9E">
      <w:pPr>
        <w:widowControl/>
        <w:adjustRightInd/>
        <w:spacing w:line="240" w:lineRule="auto"/>
        <w:ind w:left="426"/>
        <w:textAlignment w:val="auto"/>
        <w:rPr>
          <w:rFonts w:cs="Arial"/>
          <w:i/>
          <w:sz w:val="22"/>
          <w:szCs w:val="22"/>
        </w:rPr>
      </w:pPr>
      <w:r w:rsidRPr="006E6EA6">
        <w:rPr>
          <w:rFonts w:cs="Arial"/>
          <w:i/>
          <w:sz w:val="22"/>
          <w:szCs w:val="22"/>
        </w:rPr>
        <w:t>En el proceso correspondiente del error esencial, dentro de la prueba INDUALCA no probó dicho error esencial en el peritaje y ampliación como le correspondía hacerlo, por lo que el peritaje de Yolanda del Carmen Méndez Jarrín se aceptó como válido ya que la mencionada profesional si justificó ampliamente su informe pericial y su ampliación. Contra el auto correspondiente INDUALCA no ejerció ninguno de los recursos previstos por la Ley.</w:t>
      </w:r>
    </w:p>
    <w:p w:rsidR="001860E4" w:rsidRPr="006E6EA6" w:rsidRDefault="001860E4" w:rsidP="00CA1C9E">
      <w:pPr>
        <w:widowControl/>
        <w:adjustRightInd/>
        <w:spacing w:line="240" w:lineRule="auto"/>
        <w:ind w:left="426"/>
        <w:textAlignment w:val="auto"/>
        <w:rPr>
          <w:rFonts w:cs="Arial"/>
          <w:i/>
          <w:sz w:val="22"/>
          <w:szCs w:val="22"/>
        </w:rPr>
      </w:pPr>
    </w:p>
    <w:p w:rsidR="001860E4" w:rsidRPr="006E6EA6" w:rsidRDefault="001860E4" w:rsidP="00CA1C9E">
      <w:pPr>
        <w:widowControl/>
        <w:adjustRightInd/>
        <w:spacing w:line="240" w:lineRule="auto"/>
        <w:ind w:left="426"/>
        <w:textAlignment w:val="auto"/>
        <w:rPr>
          <w:rFonts w:cs="Arial"/>
          <w:sz w:val="22"/>
          <w:szCs w:val="22"/>
        </w:rPr>
      </w:pPr>
      <w:r w:rsidRPr="006E6EA6">
        <w:rPr>
          <w:rFonts w:cs="Arial"/>
          <w:i/>
          <w:sz w:val="22"/>
          <w:szCs w:val="22"/>
        </w:rPr>
        <w:t xml:space="preserve">Cabe </w:t>
      </w:r>
      <w:r w:rsidR="00B12D4E" w:rsidRPr="006E6EA6">
        <w:rPr>
          <w:rFonts w:cs="Arial"/>
          <w:i/>
          <w:sz w:val="22"/>
          <w:szCs w:val="22"/>
        </w:rPr>
        <w:t>mencionar</w:t>
      </w:r>
      <w:r w:rsidRPr="006E6EA6">
        <w:rPr>
          <w:rFonts w:cs="Arial"/>
          <w:i/>
          <w:sz w:val="22"/>
          <w:szCs w:val="22"/>
        </w:rPr>
        <w:t xml:space="preserve"> que el peritaje del Dr. Marco Vinicio Guerra al que hace referencia INDUALCA en su demanda de Incumplimiento es un peritaje privado, que no había </w:t>
      </w:r>
      <w:r w:rsidR="00B12D4E" w:rsidRPr="006E6EA6">
        <w:rPr>
          <w:rFonts w:cs="Arial"/>
          <w:i/>
          <w:sz w:val="22"/>
          <w:szCs w:val="22"/>
        </w:rPr>
        <w:t>por</w:t>
      </w:r>
      <w:r w:rsidRPr="006E6EA6">
        <w:rPr>
          <w:rFonts w:cs="Arial"/>
          <w:i/>
          <w:sz w:val="22"/>
          <w:szCs w:val="22"/>
        </w:rPr>
        <w:t xml:space="preserve"> </w:t>
      </w:r>
      <w:r w:rsidR="00CA1C9E" w:rsidRPr="006E6EA6">
        <w:rPr>
          <w:rFonts w:cs="Arial"/>
          <w:i/>
          <w:sz w:val="22"/>
          <w:szCs w:val="22"/>
        </w:rPr>
        <w:t>qué</w:t>
      </w:r>
      <w:r w:rsidRPr="006E6EA6">
        <w:rPr>
          <w:rFonts w:cs="Arial"/>
          <w:i/>
          <w:sz w:val="22"/>
          <w:szCs w:val="22"/>
        </w:rPr>
        <w:t xml:space="preserve"> analizar ni acatar mucho más aun cuando en el error esencial INDUALCA no pudo probar lo que el peritaje del Dr. Marco Vinicio Guerra sostiene</w:t>
      </w:r>
      <w:r w:rsidRPr="006E6EA6">
        <w:rPr>
          <w:rFonts w:cs="Arial"/>
          <w:sz w:val="22"/>
          <w:szCs w:val="22"/>
        </w:rPr>
        <w:t>.” (SIC)</w:t>
      </w:r>
    </w:p>
    <w:p w:rsidR="001218DC" w:rsidRPr="006E6EA6" w:rsidRDefault="001218DC" w:rsidP="00981727">
      <w:pPr>
        <w:widowControl/>
        <w:adjustRightInd/>
        <w:spacing w:line="240" w:lineRule="auto"/>
        <w:textAlignment w:val="auto"/>
        <w:rPr>
          <w:rFonts w:cs="Arial"/>
          <w:sz w:val="22"/>
          <w:szCs w:val="22"/>
        </w:rPr>
      </w:pPr>
    </w:p>
    <w:p w:rsidR="00B52F7D" w:rsidRPr="006E6EA6" w:rsidRDefault="0040365A" w:rsidP="00CA1C9E">
      <w:pPr>
        <w:widowControl/>
        <w:adjustRightInd/>
        <w:spacing w:line="240" w:lineRule="auto"/>
        <w:ind w:left="426" w:hanging="426"/>
        <w:textAlignment w:val="auto"/>
        <w:rPr>
          <w:rFonts w:cs="Arial"/>
          <w:b/>
          <w:sz w:val="22"/>
          <w:szCs w:val="22"/>
        </w:rPr>
      </w:pPr>
      <w:r w:rsidRPr="006E6EA6">
        <w:rPr>
          <w:rFonts w:cs="Arial"/>
          <w:b/>
          <w:sz w:val="22"/>
          <w:szCs w:val="22"/>
        </w:rPr>
        <w:t xml:space="preserve">V. </w:t>
      </w:r>
      <w:r w:rsidR="00FD283D" w:rsidRPr="006E6EA6">
        <w:rPr>
          <w:rFonts w:cs="Arial"/>
          <w:b/>
          <w:sz w:val="22"/>
          <w:szCs w:val="22"/>
        </w:rPr>
        <w:tab/>
      </w:r>
      <w:r w:rsidR="00B52F7D" w:rsidRPr="006E6EA6">
        <w:rPr>
          <w:rFonts w:cs="Arial"/>
          <w:b/>
          <w:sz w:val="22"/>
          <w:szCs w:val="22"/>
        </w:rPr>
        <w:t>EXPOSICIÓN DE LOS MOTIVOS DE LA SECRETARÍA GENERAL SOBRE EL ESTADO DE CUMPLIMIENTO DE LAS OBLIGACIONES COMUNITARIAS.-</w:t>
      </w:r>
    </w:p>
    <w:p w:rsidR="00CE2229" w:rsidRPr="006E6EA6" w:rsidRDefault="00CE2229" w:rsidP="00981727">
      <w:pPr>
        <w:spacing w:line="240" w:lineRule="auto"/>
        <w:rPr>
          <w:rFonts w:cs="Arial"/>
          <w:b/>
          <w:bCs/>
          <w:sz w:val="22"/>
          <w:szCs w:val="22"/>
        </w:rPr>
      </w:pPr>
    </w:p>
    <w:p w:rsidR="00B52F7D" w:rsidRPr="006E6EA6" w:rsidRDefault="007C7BF9" w:rsidP="00CA1C9E">
      <w:pPr>
        <w:pStyle w:val="Prrafodelista"/>
        <w:numPr>
          <w:ilvl w:val="0"/>
          <w:numId w:val="25"/>
        </w:numPr>
        <w:tabs>
          <w:tab w:val="left" w:pos="426"/>
        </w:tabs>
        <w:spacing w:line="240" w:lineRule="auto"/>
        <w:ind w:left="0" w:firstLine="0"/>
        <w:rPr>
          <w:rFonts w:cs="Arial"/>
          <w:b/>
          <w:bCs/>
          <w:sz w:val="22"/>
          <w:szCs w:val="22"/>
        </w:rPr>
      </w:pPr>
      <w:r w:rsidRPr="006E6EA6">
        <w:rPr>
          <w:rFonts w:cs="Arial"/>
          <w:b/>
          <w:bCs/>
          <w:sz w:val="22"/>
          <w:szCs w:val="22"/>
        </w:rPr>
        <w:t>Respecto a</w:t>
      </w:r>
      <w:r w:rsidR="00B52F7D" w:rsidRPr="006E6EA6">
        <w:rPr>
          <w:rFonts w:cs="Arial"/>
          <w:b/>
          <w:bCs/>
          <w:sz w:val="22"/>
          <w:szCs w:val="22"/>
        </w:rPr>
        <w:t xml:space="preserve"> las cuestiones de procedimiento</w:t>
      </w:r>
      <w:r w:rsidR="00245FFF" w:rsidRPr="006E6EA6">
        <w:rPr>
          <w:rFonts w:cs="Arial"/>
          <w:b/>
          <w:bCs/>
          <w:sz w:val="22"/>
          <w:szCs w:val="22"/>
        </w:rPr>
        <w:t>.-</w:t>
      </w:r>
    </w:p>
    <w:p w:rsidR="00B52F7D" w:rsidRPr="006E6EA6" w:rsidRDefault="00B52F7D" w:rsidP="00981727">
      <w:pPr>
        <w:spacing w:line="240" w:lineRule="auto"/>
        <w:rPr>
          <w:rFonts w:cs="Arial"/>
          <w:b/>
          <w:bCs/>
          <w:sz w:val="22"/>
          <w:szCs w:val="22"/>
        </w:rPr>
      </w:pPr>
    </w:p>
    <w:p w:rsidR="00B52F7D" w:rsidRPr="006E6EA6" w:rsidRDefault="00B52F7D" w:rsidP="00CA1C9E">
      <w:pPr>
        <w:pStyle w:val="Prrafodelista"/>
        <w:numPr>
          <w:ilvl w:val="1"/>
          <w:numId w:val="25"/>
        </w:numPr>
        <w:spacing w:line="240" w:lineRule="auto"/>
        <w:ind w:left="426" w:hanging="426"/>
        <w:rPr>
          <w:rFonts w:cs="Arial"/>
          <w:sz w:val="22"/>
          <w:szCs w:val="22"/>
        </w:rPr>
      </w:pPr>
      <w:r w:rsidRPr="006E6EA6">
        <w:rPr>
          <w:rFonts w:cs="Arial"/>
          <w:b/>
          <w:bCs/>
          <w:sz w:val="22"/>
          <w:szCs w:val="22"/>
        </w:rPr>
        <w:t>Competencia de la Secretaría General para conocer del presente asunto:</w:t>
      </w:r>
    </w:p>
    <w:p w:rsidR="00B52F7D" w:rsidRPr="006E6EA6" w:rsidRDefault="00B52F7D" w:rsidP="00981727">
      <w:pPr>
        <w:spacing w:line="240" w:lineRule="auto"/>
        <w:rPr>
          <w:rFonts w:cs="Arial"/>
          <w:sz w:val="22"/>
          <w:szCs w:val="22"/>
        </w:rPr>
      </w:pPr>
    </w:p>
    <w:p w:rsidR="00B52F7D" w:rsidRPr="006E6EA6" w:rsidRDefault="00B52F7D" w:rsidP="00CA1C9E">
      <w:pPr>
        <w:widowControl/>
        <w:numPr>
          <w:ilvl w:val="0"/>
          <w:numId w:val="1"/>
        </w:numPr>
        <w:adjustRightInd/>
        <w:spacing w:line="240" w:lineRule="auto"/>
        <w:ind w:left="426" w:hanging="426"/>
        <w:textAlignment w:val="auto"/>
        <w:rPr>
          <w:rFonts w:cs="Arial"/>
          <w:sz w:val="22"/>
          <w:szCs w:val="22"/>
        </w:rPr>
      </w:pPr>
      <w:r w:rsidRPr="006E6EA6">
        <w:rPr>
          <w:rFonts w:cs="Arial"/>
          <w:sz w:val="22"/>
          <w:szCs w:val="22"/>
        </w:rPr>
        <w:t>De conformidad con lo señalado en el artículo 25 del Tratado de Creación del Tribunal de J</w:t>
      </w:r>
      <w:r w:rsidR="00037F4C" w:rsidRPr="006E6EA6">
        <w:rPr>
          <w:rFonts w:cs="Arial"/>
          <w:sz w:val="22"/>
          <w:szCs w:val="22"/>
        </w:rPr>
        <w:t xml:space="preserve">usticia de la Comunidad Andina </w:t>
      </w:r>
      <w:r w:rsidRPr="006E6EA6">
        <w:rPr>
          <w:rFonts w:cs="Arial"/>
          <w:sz w:val="22"/>
          <w:szCs w:val="22"/>
        </w:rPr>
        <w:t>y el artículo 13 de la Decisión 623</w:t>
      </w:r>
      <w:r w:rsidR="000904EB" w:rsidRPr="006E6EA6">
        <w:rPr>
          <w:rFonts w:cs="Arial"/>
          <w:sz w:val="22"/>
          <w:szCs w:val="22"/>
        </w:rPr>
        <w:t xml:space="preserve"> (Reglamento de la Fase Prejudicial de la Acción de Incumplimiento)</w:t>
      </w:r>
      <w:r w:rsidRPr="006E6EA6">
        <w:rPr>
          <w:rFonts w:cs="Arial"/>
          <w:sz w:val="22"/>
          <w:szCs w:val="22"/>
        </w:rPr>
        <w:t xml:space="preserve">, la </w:t>
      </w:r>
      <w:r w:rsidR="00037F4C" w:rsidRPr="006E6EA6">
        <w:rPr>
          <w:rFonts w:cs="Arial"/>
          <w:sz w:val="22"/>
          <w:szCs w:val="22"/>
        </w:rPr>
        <w:t>SGCAN</w:t>
      </w:r>
      <w:r w:rsidRPr="006E6EA6">
        <w:rPr>
          <w:rFonts w:cs="Arial"/>
          <w:sz w:val="22"/>
          <w:szCs w:val="22"/>
        </w:rPr>
        <w:t xml:space="preserve">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rsidR="00B52F7D" w:rsidRPr="006E6EA6" w:rsidRDefault="00B52F7D" w:rsidP="00CA1C9E">
      <w:pPr>
        <w:widowControl/>
        <w:adjustRightInd/>
        <w:spacing w:line="240" w:lineRule="auto"/>
        <w:ind w:left="426" w:hanging="426"/>
        <w:textAlignment w:val="auto"/>
        <w:rPr>
          <w:rFonts w:cs="Arial"/>
          <w:sz w:val="22"/>
          <w:szCs w:val="22"/>
        </w:rPr>
      </w:pPr>
    </w:p>
    <w:p w:rsidR="005813E0" w:rsidRPr="006E6EA6" w:rsidRDefault="00B52F7D" w:rsidP="00CA1C9E">
      <w:pPr>
        <w:widowControl/>
        <w:numPr>
          <w:ilvl w:val="0"/>
          <w:numId w:val="1"/>
        </w:numPr>
        <w:adjustRightInd/>
        <w:spacing w:line="240" w:lineRule="auto"/>
        <w:ind w:left="426" w:hanging="426"/>
        <w:textAlignment w:val="auto"/>
        <w:rPr>
          <w:rFonts w:cs="Arial"/>
          <w:sz w:val="22"/>
          <w:szCs w:val="22"/>
        </w:rPr>
      </w:pPr>
      <w:r w:rsidRPr="006E6EA6">
        <w:rPr>
          <w:rFonts w:cs="Arial"/>
          <w:sz w:val="22"/>
          <w:szCs w:val="22"/>
        </w:rPr>
        <w:t>E</w:t>
      </w:r>
      <w:r w:rsidRPr="006E6EA6">
        <w:rPr>
          <w:rFonts w:cs="Arial"/>
          <w:bCs/>
          <w:sz w:val="22"/>
          <w:szCs w:val="22"/>
        </w:rPr>
        <w:t>stá reconocid</w:t>
      </w:r>
      <w:r w:rsidR="009075DF" w:rsidRPr="006E6EA6">
        <w:rPr>
          <w:rFonts w:cs="Arial"/>
          <w:bCs/>
          <w:sz w:val="22"/>
          <w:szCs w:val="22"/>
        </w:rPr>
        <w:t>o en el ordenamiento jurídico andino</w:t>
      </w:r>
      <w:r w:rsidRPr="006E6EA6">
        <w:rPr>
          <w:rFonts w:cs="Arial"/>
          <w:bCs/>
          <w:sz w:val="22"/>
          <w:szCs w:val="22"/>
        </w:rPr>
        <w:t xml:space="preserve"> y la jurisprudencia andina que en la acción de incumplimiento se verifica </w:t>
      </w:r>
      <w:r w:rsidRPr="006E6EA6">
        <w:rPr>
          <w:rFonts w:cs="Arial"/>
          <w:snapToGrid w:val="0"/>
          <w:sz w:val="22"/>
          <w:szCs w:val="22"/>
          <w:lang w:eastAsia="es-ES"/>
        </w:rPr>
        <w:t>cualquier medida, “</w:t>
      </w:r>
      <w:r w:rsidRPr="006E6EA6">
        <w:rPr>
          <w:rFonts w:cs="Arial"/>
          <w:i/>
          <w:snapToGrid w:val="0"/>
          <w:sz w:val="22"/>
          <w:szCs w:val="22"/>
          <w:lang w:eastAsia="es-ES"/>
        </w:rPr>
        <w:t>sea legislativa, judicial, ejecutiva</w:t>
      </w:r>
      <w:r w:rsidR="00BF48F7" w:rsidRPr="006E6EA6">
        <w:rPr>
          <w:rFonts w:cs="Arial"/>
          <w:i/>
          <w:snapToGrid w:val="0"/>
          <w:sz w:val="22"/>
          <w:szCs w:val="22"/>
          <w:lang w:eastAsia="es-ES"/>
        </w:rPr>
        <w:t>,</w:t>
      </w:r>
      <w:r w:rsidRPr="006E6EA6">
        <w:rPr>
          <w:rFonts w:cs="Arial"/>
          <w:i/>
          <w:snapToGrid w:val="0"/>
          <w:sz w:val="22"/>
          <w:szCs w:val="22"/>
          <w:lang w:eastAsia="es-ES"/>
        </w:rPr>
        <w:t xml:space="preserve"> o administrativa</w:t>
      </w:r>
      <w:r w:rsidRPr="006E6EA6">
        <w:rPr>
          <w:rFonts w:cs="Arial"/>
          <w:b/>
          <w:i/>
          <w:snapToGrid w:val="0"/>
          <w:sz w:val="22"/>
          <w:szCs w:val="22"/>
          <w:lang w:eastAsia="es-ES"/>
        </w:rPr>
        <w:t xml:space="preserve"> </w:t>
      </w:r>
      <w:r w:rsidRPr="006E6EA6">
        <w:rPr>
          <w:rFonts w:cs="Arial"/>
          <w:i/>
          <w:snapToGrid w:val="0"/>
          <w:sz w:val="22"/>
          <w:szCs w:val="22"/>
          <w:lang w:eastAsia="es-ES"/>
        </w:rPr>
        <w:t>del orden central o descentralizado geográficamente o por servicios, lláme</w:t>
      </w:r>
      <w:r w:rsidR="00BF48F7" w:rsidRPr="006E6EA6">
        <w:rPr>
          <w:rFonts w:cs="Arial"/>
          <w:i/>
          <w:snapToGrid w:val="0"/>
          <w:sz w:val="22"/>
          <w:szCs w:val="22"/>
          <w:lang w:eastAsia="es-ES"/>
        </w:rPr>
        <w:t>n</w:t>
      </w:r>
      <w:r w:rsidRPr="006E6EA6">
        <w:rPr>
          <w:rFonts w:cs="Arial"/>
          <w:i/>
          <w:snapToGrid w:val="0"/>
          <w:sz w:val="22"/>
          <w:szCs w:val="22"/>
          <w:lang w:eastAsia="es-ES"/>
        </w:rPr>
        <w:t>se (…)</w:t>
      </w:r>
      <w:r w:rsidR="00BF48F7" w:rsidRPr="006E6EA6">
        <w:rPr>
          <w:rFonts w:cs="Arial"/>
          <w:i/>
          <w:snapToGrid w:val="0"/>
          <w:sz w:val="22"/>
          <w:szCs w:val="22"/>
          <w:lang w:eastAsia="es-ES"/>
        </w:rPr>
        <w:t xml:space="preserve"> sentencias o providencias</w:t>
      </w:r>
      <w:r w:rsidRPr="006E6EA6">
        <w:rPr>
          <w:rFonts w:cs="Arial"/>
          <w:i/>
          <w:snapToGrid w:val="0"/>
          <w:sz w:val="22"/>
          <w:szCs w:val="22"/>
          <w:lang w:eastAsia="es-ES"/>
        </w:rPr>
        <w:t xml:space="preserve"> que puedan obstaculizar la aplicación del ordenamiento jurídico andino</w:t>
      </w:r>
      <w:r w:rsidRPr="006E6EA6">
        <w:rPr>
          <w:rFonts w:cs="Arial"/>
          <w:snapToGrid w:val="0"/>
          <w:sz w:val="22"/>
          <w:szCs w:val="22"/>
          <w:lang w:eastAsia="es-ES"/>
        </w:rPr>
        <w:t>”</w:t>
      </w:r>
      <w:r w:rsidRPr="006E6EA6">
        <w:rPr>
          <w:rStyle w:val="Refdenotaalpie"/>
          <w:rFonts w:cs="Arial"/>
          <w:snapToGrid w:val="0"/>
          <w:sz w:val="22"/>
          <w:szCs w:val="22"/>
          <w:lang w:eastAsia="es-ES"/>
        </w:rPr>
        <w:footnoteReference w:id="15"/>
      </w:r>
      <w:r w:rsidRPr="006E6EA6">
        <w:rPr>
          <w:rFonts w:cs="Arial"/>
          <w:snapToGrid w:val="0"/>
          <w:sz w:val="22"/>
          <w:szCs w:val="22"/>
          <w:lang w:eastAsia="es-ES"/>
        </w:rPr>
        <w:t>.</w:t>
      </w:r>
    </w:p>
    <w:p w:rsidR="005813E0" w:rsidRPr="006E6EA6" w:rsidRDefault="005813E0" w:rsidP="00981727">
      <w:pPr>
        <w:pStyle w:val="Prrafodelista"/>
        <w:spacing w:line="240" w:lineRule="auto"/>
        <w:rPr>
          <w:rFonts w:cs="Arial"/>
          <w:sz w:val="22"/>
          <w:szCs w:val="22"/>
        </w:rPr>
      </w:pPr>
    </w:p>
    <w:p w:rsidR="00401516" w:rsidRPr="006E6EA6" w:rsidRDefault="00401516" w:rsidP="00CA1C9E">
      <w:pPr>
        <w:widowControl/>
        <w:numPr>
          <w:ilvl w:val="0"/>
          <w:numId w:val="1"/>
        </w:numPr>
        <w:adjustRightInd/>
        <w:spacing w:line="240" w:lineRule="auto"/>
        <w:ind w:left="426" w:hanging="426"/>
        <w:textAlignment w:val="auto"/>
        <w:rPr>
          <w:rFonts w:cs="Arial"/>
          <w:sz w:val="22"/>
          <w:szCs w:val="22"/>
        </w:rPr>
      </w:pPr>
      <w:r w:rsidRPr="006E6EA6">
        <w:rPr>
          <w:rFonts w:cs="Arial"/>
          <w:sz w:val="22"/>
          <w:szCs w:val="22"/>
        </w:rPr>
        <w:lastRenderedPageBreak/>
        <w:t xml:space="preserve">Asimismo, el TJCA ha señalado que el juez nacional debe </w:t>
      </w:r>
      <w:r w:rsidR="005813E0" w:rsidRPr="006E6EA6">
        <w:rPr>
          <w:rFonts w:cs="Arial"/>
          <w:sz w:val="22"/>
          <w:szCs w:val="22"/>
        </w:rPr>
        <w:t xml:space="preserve">aplicar, </w:t>
      </w:r>
      <w:r w:rsidR="00EB7971" w:rsidRPr="006E6EA6">
        <w:rPr>
          <w:rFonts w:cs="Arial"/>
          <w:sz w:val="22"/>
          <w:szCs w:val="22"/>
        </w:rPr>
        <w:t>al emitir su fallo en el proceso interno</w:t>
      </w:r>
      <w:r w:rsidR="005813E0" w:rsidRPr="006E6EA6">
        <w:rPr>
          <w:rFonts w:cs="Arial"/>
          <w:sz w:val="22"/>
          <w:szCs w:val="22"/>
        </w:rPr>
        <w:t>, la interpretación prejudicial que sea emitida por el TJCA</w:t>
      </w:r>
      <w:r w:rsidR="00EB7971" w:rsidRPr="006E6EA6">
        <w:rPr>
          <w:rFonts w:cs="Arial"/>
          <w:sz w:val="22"/>
          <w:szCs w:val="22"/>
        </w:rPr>
        <w:t>, de acuerdo con lo dispuesto en el artículo 127 del Estatuto del TJCA</w:t>
      </w:r>
      <w:r w:rsidR="005813E0" w:rsidRPr="006E6EA6">
        <w:rPr>
          <w:rFonts w:cs="Arial"/>
          <w:sz w:val="22"/>
          <w:szCs w:val="22"/>
        </w:rPr>
        <w:t>. Si el juez nacional incumple dicha obligación, los sujetos legitimados para el efecto podrán acudir al T</w:t>
      </w:r>
      <w:r w:rsidR="005C6DEA" w:rsidRPr="006E6EA6">
        <w:rPr>
          <w:rFonts w:cs="Arial"/>
          <w:sz w:val="22"/>
          <w:szCs w:val="22"/>
        </w:rPr>
        <w:t>JCA</w:t>
      </w:r>
      <w:r w:rsidR="005813E0" w:rsidRPr="006E6EA6">
        <w:rPr>
          <w:rFonts w:cs="Arial"/>
          <w:sz w:val="22"/>
          <w:szCs w:val="22"/>
        </w:rPr>
        <w:t>, mediante la acción de incumplimiento.</w:t>
      </w:r>
      <w:r w:rsidR="005813E0" w:rsidRPr="006E6EA6">
        <w:rPr>
          <w:rStyle w:val="Refdenotaalpie"/>
          <w:rFonts w:cs="Arial"/>
          <w:sz w:val="22"/>
          <w:szCs w:val="22"/>
        </w:rPr>
        <w:footnoteReference w:id="16"/>
      </w:r>
    </w:p>
    <w:p w:rsidR="00401516" w:rsidRPr="006E6EA6" w:rsidRDefault="00401516" w:rsidP="00981727">
      <w:pPr>
        <w:widowControl/>
        <w:adjustRightInd/>
        <w:spacing w:line="240" w:lineRule="auto"/>
        <w:textAlignment w:val="auto"/>
        <w:rPr>
          <w:rFonts w:cs="Arial"/>
          <w:sz w:val="22"/>
          <w:szCs w:val="22"/>
        </w:rPr>
      </w:pPr>
    </w:p>
    <w:p w:rsidR="00EB6CD2" w:rsidRPr="006E6EA6" w:rsidRDefault="005813E0" w:rsidP="00CA1C9E">
      <w:pPr>
        <w:widowControl/>
        <w:numPr>
          <w:ilvl w:val="0"/>
          <w:numId w:val="1"/>
        </w:numPr>
        <w:adjustRightInd/>
        <w:spacing w:line="240" w:lineRule="auto"/>
        <w:ind w:left="426" w:hanging="426"/>
        <w:textAlignment w:val="auto"/>
        <w:rPr>
          <w:rFonts w:cs="Arial"/>
          <w:sz w:val="22"/>
          <w:szCs w:val="22"/>
        </w:rPr>
      </w:pPr>
      <w:r w:rsidRPr="006E6EA6">
        <w:rPr>
          <w:rFonts w:cs="Arial"/>
          <w:sz w:val="22"/>
          <w:szCs w:val="22"/>
        </w:rPr>
        <w:t>Al respecto</w:t>
      </w:r>
      <w:r w:rsidR="00EB6CD2" w:rsidRPr="006E6EA6">
        <w:rPr>
          <w:rFonts w:cs="Arial"/>
          <w:sz w:val="22"/>
          <w:szCs w:val="22"/>
        </w:rPr>
        <w:t xml:space="preserve">, con fecha </w:t>
      </w:r>
      <w:r w:rsidR="00322F54" w:rsidRPr="006E6EA6">
        <w:rPr>
          <w:rFonts w:cs="Arial"/>
          <w:sz w:val="22"/>
          <w:szCs w:val="22"/>
        </w:rPr>
        <w:t>3</w:t>
      </w:r>
      <w:r w:rsidR="00EB6CD2" w:rsidRPr="006E6EA6">
        <w:rPr>
          <w:rFonts w:cs="Arial"/>
          <w:sz w:val="22"/>
          <w:szCs w:val="22"/>
        </w:rPr>
        <w:t xml:space="preserve"> de </w:t>
      </w:r>
      <w:r w:rsidR="00322F54" w:rsidRPr="006E6EA6">
        <w:rPr>
          <w:rFonts w:cs="Arial"/>
          <w:sz w:val="22"/>
          <w:szCs w:val="22"/>
        </w:rPr>
        <w:t>septiembre</w:t>
      </w:r>
      <w:r w:rsidR="00EB6CD2" w:rsidRPr="006E6EA6">
        <w:rPr>
          <w:rFonts w:cs="Arial"/>
          <w:sz w:val="22"/>
          <w:szCs w:val="22"/>
        </w:rPr>
        <w:t xml:space="preserve"> de 2018, se recibió por parte de la empresa</w:t>
      </w:r>
      <w:r w:rsidR="00322F54" w:rsidRPr="006E6EA6">
        <w:rPr>
          <w:rFonts w:cs="Arial"/>
          <w:sz w:val="22"/>
          <w:szCs w:val="22"/>
        </w:rPr>
        <w:t xml:space="preserve"> INDUALCA S.A.</w:t>
      </w:r>
      <w:r w:rsidR="00EB6CD2" w:rsidRPr="006E6EA6">
        <w:rPr>
          <w:rFonts w:cs="Arial"/>
          <w:sz w:val="22"/>
          <w:szCs w:val="22"/>
        </w:rPr>
        <w:t xml:space="preserve"> un reclamo contra la República del </w:t>
      </w:r>
      <w:r w:rsidR="00322F54" w:rsidRPr="006E6EA6">
        <w:rPr>
          <w:rFonts w:cs="Arial"/>
          <w:sz w:val="22"/>
          <w:szCs w:val="22"/>
        </w:rPr>
        <w:t>Ecuador</w:t>
      </w:r>
      <w:r w:rsidR="00EB6CD2" w:rsidRPr="006E6EA6">
        <w:rPr>
          <w:rFonts w:cs="Arial"/>
          <w:sz w:val="22"/>
          <w:szCs w:val="22"/>
        </w:rPr>
        <w:t>, por el presunto incumpl</w:t>
      </w:r>
      <w:r w:rsidR="00C760BA" w:rsidRPr="006E6EA6">
        <w:rPr>
          <w:rFonts w:cs="Arial"/>
          <w:sz w:val="22"/>
          <w:szCs w:val="22"/>
        </w:rPr>
        <w:t xml:space="preserve">imiento de los artículos 4, </w:t>
      </w:r>
      <w:r w:rsidR="00EB6CD2" w:rsidRPr="006E6EA6">
        <w:rPr>
          <w:rFonts w:cs="Arial"/>
          <w:sz w:val="22"/>
          <w:szCs w:val="22"/>
        </w:rPr>
        <w:t xml:space="preserve">35 y 36 </w:t>
      </w:r>
      <w:r w:rsidR="00C760BA" w:rsidRPr="006E6EA6">
        <w:rPr>
          <w:rFonts w:cs="Arial"/>
          <w:sz w:val="22"/>
          <w:szCs w:val="22"/>
        </w:rPr>
        <w:t xml:space="preserve">del TCTJCA y los artículos </w:t>
      </w:r>
      <w:r w:rsidR="00EB6CD2" w:rsidRPr="006E6EA6">
        <w:rPr>
          <w:rFonts w:cs="Arial"/>
          <w:sz w:val="22"/>
          <w:szCs w:val="22"/>
        </w:rPr>
        <w:t xml:space="preserve">127 y 128 de la Decisión 500, </w:t>
      </w:r>
      <w:r w:rsidR="00C760BA" w:rsidRPr="006E6EA6">
        <w:rPr>
          <w:rFonts w:cs="Arial"/>
          <w:sz w:val="22"/>
          <w:szCs w:val="22"/>
        </w:rPr>
        <w:t xml:space="preserve">con motivo de la expedición de la Sentencia de </w:t>
      </w:r>
      <w:r w:rsidR="00E4615D" w:rsidRPr="006E6EA6">
        <w:rPr>
          <w:rFonts w:cs="Arial"/>
          <w:sz w:val="22"/>
          <w:szCs w:val="22"/>
        </w:rPr>
        <w:t xml:space="preserve">fecha </w:t>
      </w:r>
      <w:r w:rsidR="00C760BA" w:rsidRPr="006E6EA6">
        <w:rPr>
          <w:rFonts w:cs="Arial"/>
          <w:sz w:val="22"/>
          <w:szCs w:val="22"/>
        </w:rPr>
        <w:t xml:space="preserve">21 de octubre de 2014 y la providencia de </w:t>
      </w:r>
      <w:r w:rsidR="00E4615D" w:rsidRPr="006E6EA6">
        <w:rPr>
          <w:rFonts w:cs="Arial"/>
          <w:sz w:val="22"/>
          <w:szCs w:val="22"/>
        </w:rPr>
        <w:t xml:space="preserve">fecha </w:t>
      </w:r>
      <w:r w:rsidR="00C760BA" w:rsidRPr="006E6EA6">
        <w:rPr>
          <w:rFonts w:cs="Arial"/>
          <w:sz w:val="22"/>
          <w:szCs w:val="22"/>
        </w:rPr>
        <w:t>16 de enero de 2017 del Tribunal Distrital de lo Contencioso Administrativo No.</w:t>
      </w:r>
      <w:r w:rsidR="00E4615D" w:rsidRPr="006E6EA6">
        <w:rPr>
          <w:rFonts w:cs="Arial"/>
          <w:sz w:val="22"/>
          <w:szCs w:val="22"/>
        </w:rPr>
        <w:t xml:space="preserve"> </w:t>
      </w:r>
      <w:r w:rsidR="00C760BA" w:rsidRPr="006E6EA6">
        <w:rPr>
          <w:rFonts w:cs="Arial"/>
          <w:sz w:val="22"/>
          <w:szCs w:val="22"/>
        </w:rPr>
        <w:t>1, dentro del proceso 17811-2013-4415, en las cuales no se habría considerado la Interpretación Prejudicial N</w:t>
      </w:r>
      <w:r w:rsidR="00E4615D" w:rsidRPr="006E6EA6">
        <w:rPr>
          <w:rFonts w:cs="Arial"/>
          <w:sz w:val="22"/>
          <w:szCs w:val="22"/>
        </w:rPr>
        <w:t>o.</w:t>
      </w:r>
      <w:r w:rsidR="00C760BA" w:rsidRPr="006E6EA6">
        <w:rPr>
          <w:rFonts w:cs="Arial"/>
          <w:sz w:val="22"/>
          <w:szCs w:val="22"/>
        </w:rPr>
        <w:t xml:space="preserve"> 04-IP-2013</w:t>
      </w:r>
      <w:r w:rsidR="00F87E55" w:rsidRPr="006E6EA6">
        <w:rPr>
          <w:rStyle w:val="Refdenotaalpie"/>
          <w:rFonts w:cs="Arial"/>
          <w:sz w:val="22"/>
          <w:szCs w:val="22"/>
        </w:rPr>
        <w:footnoteReference w:id="17"/>
      </w:r>
      <w:r w:rsidR="00904328" w:rsidRPr="006E6EA6">
        <w:rPr>
          <w:rFonts w:cs="Arial"/>
          <w:sz w:val="22"/>
          <w:szCs w:val="22"/>
        </w:rPr>
        <w:t>.</w:t>
      </w:r>
    </w:p>
    <w:p w:rsidR="00EB6CD2" w:rsidRPr="006E6EA6" w:rsidRDefault="00EB6CD2" w:rsidP="00CA1C9E">
      <w:pPr>
        <w:widowControl/>
        <w:adjustRightInd/>
        <w:spacing w:line="240" w:lineRule="auto"/>
        <w:ind w:left="426" w:hanging="426"/>
        <w:textAlignment w:val="auto"/>
        <w:rPr>
          <w:rFonts w:cs="Arial"/>
          <w:sz w:val="22"/>
          <w:szCs w:val="22"/>
        </w:rPr>
      </w:pPr>
    </w:p>
    <w:p w:rsidR="00B52F7D" w:rsidRPr="006E6EA6" w:rsidRDefault="00B52F7D" w:rsidP="00CA1C9E">
      <w:pPr>
        <w:widowControl/>
        <w:numPr>
          <w:ilvl w:val="0"/>
          <w:numId w:val="1"/>
        </w:numPr>
        <w:adjustRightInd/>
        <w:spacing w:line="240" w:lineRule="auto"/>
        <w:ind w:left="426" w:hanging="426"/>
        <w:textAlignment w:val="auto"/>
        <w:rPr>
          <w:rFonts w:cs="Arial"/>
          <w:sz w:val="22"/>
          <w:szCs w:val="22"/>
        </w:rPr>
      </w:pPr>
      <w:r w:rsidRPr="006E6EA6">
        <w:rPr>
          <w:rFonts w:cs="Arial"/>
          <w:sz w:val="22"/>
          <w:szCs w:val="22"/>
        </w:rPr>
        <w:t xml:space="preserve">En </w:t>
      </w:r>
      <w:r w:rsidR="0092474C" w:rsidRPr="006E6EA6">
        <w:rPr>
          <w:rFonts w:cs="Arial"/>
          <w:sz w:val="22"/>
          <w:szCs w:val="22"/>
        </w:rPr>
        <w:t>ese</w:t>
      </w:r>
      <w:r w:rsidRPr="006E6EA6">
        <w:rPr>
          <w:rFonts w:cs="Arial"/>
          <w:sz w:val="22"/>
          <w:szCs w:val="22"/>
        </w:rPr>
        <w:t xml:space="preserve"> sentido, de conformidad con lo expuesto, se advierte que la Secretaría General es competente para conocer </w:t>
      </w:r>
      <w:r w:rsidR="00CF0F3C" w:rsidRPr="006E6EA6">
        <w:rPr>
          <w:rFonts w:cs="Arial"/>
          <w:sz w:val="22"/>
          <w:szCs w:val="22"/>
        </w:rPr>
        <w:t>el reclamo planteado</w:t>
      </w:r>
      <w:r w:rsidR="0092474C" w:rsidRPr="006E6EA6">
        <w:rPr>
          <w:rFonts w:cs="Arial"/>
          <w:sz w:val="22"/>
          <w:szCs w:val="22"/>
        </w:rPr>
        <w:t>.</w:t>
      </w:r>
    </w:p>
    <w:p w:rsidR="00B52F7D" w:rsidRPr="006E6EA6" w:rsidRDefault="00B52F7D" w:rsidP="00981727">
      <w:pPr>
        <w:spacing w:line="240" w:lineRule="auto"/>
        <w:rPr>
          <w:rFonts w:cs="Arial"/>
          <w:sz w:val="22"/>
          <w:szCs w:val="22"/>
        </w:rPr>
      </w:pPr>
    </w:p>
    <w:p w:rsidR="00DE7892" w:rsidRPr="006E6EA6" w:rsidRDefault="007C7BF9" w:rsidP="00981727">
      <w:pPr>
        <w:pStyle w:val="Prrafodelista"/>
        <w:numPr>
          <w:ilvl w:val="1"/>
          <w:numId w:val="25"/>
        </w:numPr>
        <w:spacing w:line="240" w:lineRule="auto"/>
        <w:ind w:left="567" w:hanging="567"/>
        <w:rPr>
          <w:rFonts w:cs="Arial"/>
          <w:b/>
          <w:sz w:val="22"/>
          <w:szCs w:val="22"/>
        </w:rPr>
      </w:pPr>
      <w:r w:rsidRPr="006E6EA6">
        <w:rPr>
          <w:rFonts w:cs="Arial"/>
          <w:b/>
          <w:bCs/>
          <w:sz w:val="22"/>
          <w:szCs w:val="22"/>
        </w:rPr>
        <w:t xml:space="preserve">Sobre </w:t>
      </w:r>
      <w:r w:rsidR="00EF5799" w:rsidRPr="006E6EA6">
        <w:rPr>
          <w:rFonts w:cs="Arial"/>
          <w:b/>
          <w:bCs/>
          <w:sz w:val="22"/>
          <w:szCs w:val="22"/>
        </w:rPr>
        <w:t>si</w:t>
      </w:r>
      <w:r w:rsidR="00DE7892" w:rsidRPr="006E6EA6">
        <w:rPr>
          <w:rFonts w:cs="Arial"/>
          <w:b/>
          <w:bCs/>
          <w:sz w:val="22"/>
          <w:szCs w:val="22"/>
        </w:rPr>
        <w:t xml:space="preserve"> el reclamo cumple los requisitos del artículo 14 de la Decisión 623:</w:t>
      </w:r>
    </w:p>
    <w:p w:rsidR="00B52F7D" w:rsidRPr="006E6EA6" w:rsidRDefault="00B52F7D" w:rsidP="00981727">
      <w:pPr>
        <w:spacing w:line="240" w:lineRule="auto"/>
        <w:rPr>
          <w:rFonts w:cs="Arial"/>
          <w:sz w:val="22"/>
          <w:szCs w:val="22"/>
        </w:rPr>
      </w:pPr>
    </w:p>
    <w:p w:rsidR="008A4B23" w:rsidRPr="006E6EA6" w:rsidRDefault="009B289F" w:rsidP="00CA1C9E">
      <w:pPr>
        <w:widowControl/>
        <w:numPr>
          <w:ilvl w:val="0"/>
          <w:numId w:val="1"/>
        </w:numPr>
        <w:adjustRightInd/>
        <w:spacing w:line="240" w:lineRule="auto"/>
        <w:ind w:left="426" w:hanging="426"/>
        <w:textAlignment w:val="auto"/>
        <w:rPr>
          <w:rFonts w:cs="Arial"/>
          <w:sz w:val="22"/>
          <w:szCs w:val="22"/>
        </w:rPr>
      </w:pPr>
      <w:r w:rsidRPr="006E6EA6">
        <w:rPr>
          <w:rFonts w:cs="Arial"/>
          <w:sz w:val="22"/>
          <w:szCs w:val="22"/>
        </w:rPr>
        <w:t>De acuerdo con lo señalado en las Comunicaciones SG/E/SJ/1742/2018 de fecha 10 de septiembre de 2018</w:t>
      </w:r>
      <w:r w:rsidRPr="006E6EA6">
        <w:rPr>
          <w:rFonts w:cs="Arial"/>
          <w:sz w:val="22"/>
          <w:szCs w:val="22"/>
          <w:shd w:val="clear" w:color="auto" w:fill="FFFFFF"/>
        </w:rPr>
        <w:t xml:space="preserve"> y SG/E/SJ/1918/2018 de fecha 3 de octubre de 2018, el reclamo cumple con los requisitos </w:t>
      </w:r>
      <w:r w:rsidR="00AF67F3" w:rsidRPr="006E6EA6">
        <w:rPr>
          <w:rFonts w:cs="Arial"/>
          <w:sz w:val="22"/>
          <w:szCs w:val="22"/>
          <w:shd w:val="clear" w:color="auto" w:fill="FFFFFF"/>
        </w:rPr>
        <w:t xml:space="preserve">de admisibilidad </w:t>
      </w:r>
      <w:r w:rsidRPr="006E6EA6">
        <w:rPr>
          <w:rFonts w:cs="Arial"/>
          <w:sz w:val="22"/>
          <w:szCs w:val="22"/>
          <w:shd w:val="clear" w:color="auto" w:fill="FFFFFF"/>
        </w:rPr>
        <w:t xml:space="preserve">establecidos en el artículo 14 de la Decisión 623. </w:t>
      </w:r>
    </w:p>
    <w:p w:rsidR="008A4B23" w:rsidRPr="006E6EA6" w:rsidRDefault="008A4B23" w:rsidP="00CA1C9E">
      <w:pPr>
        <w:widowControl/>
        <w:adjustRightInd/>
        <w:spacing w:line="240" w:lineRule="auto"/>
        <w:ind w:left="426" w:hanging="426"/>
        <w:textAlignment w:val="auto"/>
        <w:rPr>
          <w:rFonts w:cs="Arial"/>
          <w:sz w:val="22"/>
          <w:szCs w:val="22"/>
        </w:rPr>
      </w:pPr>
    </w:p>
    <w:p w:rsidR="008A4B23" w:rsidRPr="006E6EA6" w:rsidRDefault="008A4B23" w:rsidP="00CA1C9E">
      <w:pPr>
        <w:widowControl/>
        <w:numPr>
          <w:ilvl w:val="0"/>
          <w:numId w:val="1"/>
        </w:numPr>
        <w:adjustRightInd/>
        <w:spacing w:line="240" w:lineRule="auto"/>
        <w:ind w:left="426" w:hanging="426"/>
        <w:textAlignment w:val="auto"/>
        <w:rPr>
          <w:rFonts w:cs="Arial"/>
          <w:sz w:val="22"/>
          <w:szCs w:val="22"/>
        </w:rPr>
      </w:pPr>
      <w:r w:rsidRPr="006E6EA6">
        <w:rPr>
          <w:rFonts w:cs="Arial"/>
          <w:sz w:val="22"/>
          <w:szCs w:val="22"/>
          <w:shd w:val="clear" w:color="auto" w:fill="FFFFFF"/>
        </w:rPr>
        <w:t>Por otro lado</w:t>
      </w:r>
      <w:r w:rsidR="009B289F" w:rsidRPr="006E6EA6">
        <w:rPr>
          <w:rFonts w:cs="Arial"/>
          <w:sz w:val="22"/>
          <w:szCs w:val="22"/>
          <w:shd w:val="clear" w:color="auto" w:fill="FFFFFF"/>
        </w:rPr>
        <w:t>,</w:t>
      </w:r>
      <w:r w:rsidRPr="006E6EA6">
        <w:rPr>
          <w:rFonts w:cs="Arial"/>
          <w:sz w:val="22"/>
          <w:szCs w:val="22"/>
          <w:shd w:val="clear" w:color="auto" w:fill="FFFFFF"/>
        </w:rPr>
        <w:t xml:space="preserve"> si bien la</w:t>
      </w:r>
      <w:r w:rsidR="00AF67F3" w:rsidRPr="006E6EA6">
        <w:rPr>
          <w:rFonts w:cs="Arial"/>
          <w:sz w:val="22"/>
          <w:szCs w:val="22"/>
          <w:shd w:val="clear" w:color="auto" w:fill="FFFFFF"/>
        </w:rPr>
        <w:t xml:space="preserve"> reclamada ha solicitado que “se desestime la denuncia infundada por improcedente y se ordene el archivo de la misma”</w:t>
      </w:r>
      <w:r w:rsidR="00477126" w:rsidRPr="006E6EA6">
        <w:rPr>
          <w:rStyle w:val="Refdenotaalpie"/>
          <w:rFonts w:cs="Arial"/>
          <w:sz w:val="22"/>
          <w:szCs w:val="22"/>
          <w:shd w:val="clear" w:color="auto" w:fill="FFFFFF"/>
        </w:rPr>
        <w:footnoteReference w:id="18"/>
      </w:r>
      <w:r w:rsidR="00AF67F3" w:rsidRPr="006E6EA6">
        <w:rPr>
          <w:rFonts w:cs="Arial"/>
          <w:sz w:val="22"/>
          <w:szCs w:val="22"/>
          <w:shd w:val="clear" w:color="auto" w:fill="FFFFFF"/>
        </w:rPr>
        <w:t>; no ha objetado el cumplimiento de algún requisito de admisibilidad en específico.</w:t>
      </w:r>
      <w:r w:rsidR="00101DB9" w:rsidRPr="006E6EA6">
        <w:rPr>
          <w:rFonts w:cs="Arial"/>
          <w:sz w:val="22"/>
          <w:szCs w:val="22"/>
          <w:shd w:val="clear" w:color="auto" w:fill="FFFFFF"/>
        </w:rPr>
        <w:t xml:space="preserve"> En virtud a ello, esta SGCAN entiende que la reclamada se encuentra conforme con lo señalado en las Comunicaciones </w:t>
      </w:r>
      <w:r w:rsidR="00101DB9" w:rsidRPr="006E6EA6">
        <w:rPr>
          <w:rFonts w:cs="Arial"/>
          <w:sz w:val="22"/>
          <w:szCs w:val="22"/>
        </w:rPr>
        <w:t xml:space="preserve">SG/E/SJ/1742/2018 </w:t>
      </w:r>
      <w:r w:rsidR="00101DB9" w:rsidRPr="006E6EA6">
        <w:rPr>
          <w:rFonts w:cs="Arial"/>
          <w:sz w:val="22"/>
          <w:szCs w:val="22"/>
          <w:shd w:val="clear" w:color="auto" w:fill="FFFFFF"/>
        </w:rPr>
        <w:t>y SG/E/SJ/1918/2018.</w:t>
      </w:r>
    </w:p>
    <w:p w:rsidR="009B289F" w:rsidRPr="006E6EA6" w:rsidRDefault="009B289F" w:rsidP="00981727">
      <w:pPr>
        <w:widowControl/>
        <w:adjustRightInd/>
        <w:spacing w:line="240" w:lineRule="auto"/>
        <w:ind w:left="-12"/>
        <w:textAlignment w:val="auto"/>
        <w:rPr>
          <w:rFonts w:cs="Arial"/>
          <w:sz w:val="22"/>
          <w:szCs w:val="22"/>
        </w:rPr>
      </w:pPr>
    </w:p>
    <w:p w:rsidR="007851F4" w:rsidRPr="006E6EA6" w:rsidRDefault="007C7BF9" w:rsidP="00CA1C9E">
      <w:pPr>
        <w:pStyle w:val="Prrafodelista"/>
        <w:numPr>
          <w:ilvl w:val="0"/>
          <w:numId w:val="25"/>
        </w:numPr>
        <w:spacing w:line="240" w:lineRule="auto"/>
        <w:ind w:left="284" w:hanging="284"/>
        <w:rPr>
          <w:rFonts w:cs="Arial"/>
          <w:b/>
          <w:bCs/>
          <w:sz w:val="22"/>
          <w:szCs w:val="22"/>
        </w:rPr>
      </w:pPr>
      <w:r w:rsidRPr="006E6EA6">
        <w:rPr>
          <w:rFonts w:cs="Arial"/>
          <w:b/>
          <w:bCs/>
          <w:sz w:val="22"/>
          <w:szCs w:val="22"/>
        </w:rPr>
        <w:t>Respecto a</w:t>
      </w:r>
      <w:r w:rsidR="007851F4" w:rsidRPr="006E6EA6">
        <w:rPr>
          <w:rFonts w:cs="Arial"/>
          <w:b/>
          <w:bCs/>
          <w:sz w:val="22"/>
          <w:szCs w:val="22"/>
        </w:rPr>
        <w:t xml:space="preserve"> las cuestiones de </w:t>
      </w:r>
      <w:r w:rsidR="00245FFF" w:rsidRPr="006E6EA6">
        <w:rPr>
          <w:rFonts w:cs="Arial"/>
          <w:b/>
          <w:bCs/>
          <w:sz w:val="22"/>
          <w:szCs w:val="22"/>
        </w:rPr>
        <w:t>Fondo.-</w:t>
      </w:r>
    </w:p>
    <w:p w:rsidR="00551823" w:rsidRPr="006E6EA6" w:rsidRDefault="00551823" w:rsidP="00981727">
      <w:pPr>
        <w:pStyle w:val="Prrafodelista"/>
        <w:widowControl/>
        <w:adjustRightInd/>
        <w:spacing w:line="240" w:lineRule="auto"/>
        <w:ind w:left="0"/>
        <w:contextualSpacing w:val="0"/>
        <w:textAlignment w:val="auto"/>
        <w:rPr>
          <w:rFonts w:cs="Arial"/>
          <w:b/>
          <w:sz w:val="22"/>
          <w:szCs w:val="22"/>
        </w:rPr>
      </w:pPr>
    </w:p>
    <w:p w:rsidR="00232584" w:rsidRPr="006E6EA6" w:rsidRDefault="00871E06" w:rsidP="00CA1C9E">
      <w:pPr>
        <w:pStyle w:val="Prrafodelista"/>
        <w:numPr>
          <w:ilvl w:val="1"/>
          <w:numId w:val="25"/>
        </w:numPr>
        <w:spacing w:line="240" w:lineRule="auto"/>
        <w:ind w:left="426" w:hanging="426"/>
        <w:rPr>
          <w:rFonts w:cs="Arial"/>
          <w:b/>
          <w:sz w:val="22"/>
          <w:szCs w:val="22"/>
        </w:rPr>
      </w:pPr>
      <w:r w:rsidRPr="006E6EA6">
        <w:rPr>
          <w:rFonts w:cs="Arial"/>
          <w:b/>
          <w:sz w:val="22"/>
          <w:szCs w:val="22"/>
        </w:rPr>
        <w:t>El alegado incumplimiento del artículo</w:t>
      </w:r>
      <w:r w:rsidR="00232584" w:rsidRPr="006E6EA6">
        <w:rPr>
          <w:rFonts w:cs="Arial"/>
          <w:b/>
          <w:sz w:val="22"/>
          <w:szCs w:val="22"/>
        </w:rPr>
        <w:t xml:space="preserve"> 35 del Tratado de Creación del </w:t>
      </w:r>
      <w:r w:rsidR="004E400C" w:rsidRPr="006E6EA6">
        <w:rPr>
          <w:rFonts w:cs="Arial"/>
          <w:b/>
          <w:sz w:val="22"/>
          <w:szCs w:val="22"/>
        </w:rPr>
        <w:t>TJCA</w:t>
      </w:r>
      <w:r w:rsidR="00232584" w:rsidRPr="006E6EA6">
        <w:rPr>
          <w:rFonts w:cs="Arial"/>
          <w:b/>
          <w:sz w:val="22"/>
          <w:szCs w:val="22"/>
        </w:rPr>
        <w:t xml:space="preserve"> y</w:t>
      </w:r>
      <w:r w:rsidRPr="006E6EA6">
        <w:rPr>
          <w:rFonts w:cs="Arial"/>
          <w:b/>
          <w:sz w:val="22"/>
          <w:szCs w:val="22"/>
        </w:rPr>
        <w:t xml:space="preserve"> el</w:t>
      </w:r>
      <w:r w:rsidR="00232584" w:rsidRPr="006E6EA6">
        <w:rPr>
          <w:rFonts w:cs="Arial"/>
          <w:b/>
          <w:sz w:val="22"/>
          <w:szCs w:val="22"/>
        </w:rPr>
        <w:t xml:space="preserve"> artículo 127</w:t>
      </w:r>
      <w:r w:rsidR="001578AA" w:rsidRPr="006E6EA6">
        <w:rPr>
          <w:rFonts w:cs="Arial"/>
          <w:b/>
          <w:sz w:val="22"/>
          <w:szCs w:val="22"/>
        </w:rPr>
        <w:t xml:space="preserve"> </w:t>
      </w:r>
      <w:r w:rsidR="00232584" w:rsidRPr="006E6EA6">
        <w:rPr>
          <w:rFonts w:cs="Arial"/>
          <w:b/>
          <w:sz w:val="22"/>
          <w:szCs w:val="22"/>
        </w:rPr>
        <w:t>de la Decisión 500</w:t>
      </w:r>
      <w:r w:rsidR="004E400C" w:rsidRPr="006E6EA6">
        <w:rPr>
          <w:rFonts w:cs="Arial"/>
          <w:b/>
          <w:sz w:val="22"/>
          <w:szCs w:val="22"/>
        </w:rPr>
        <w:t>, referido</w:t>
      </w:r>
      <w:r w:rsidR="00432FD7" w:rsidRPr="006E6EA6">
        <w:rPr>
          <w:rFonts w:cs="Arial"/>
          <w:b/>
          <w:sz w:val="22"/>
          <w:szCs w:val="22"/>
        </w:rPr>
        <w:t>s</w:t>
      </w:r>
      <w:r w:rsidR="004E400C" w:rsidRPr="006E6EA6">
        <w:rPr>
          <w:rFonts w:cs="Arial"/>
          <w:b/>
          <w:sz w:val="22"/>
          <w:szCs w:val="22"/>
        </w:rPr>
        <w:t xml:space="preserve"> a la adopción de la interpretación prejudicial</w:t>
      </w:r>
      <w:r w:rsidR="00E130DA" w:rsidRPr="006E6EA6">
        <w:rPr>
          <w:rFonts w:cs="Arial"/>
          <w:b/>
          <w:sz w:val="22"/>
          <w:szCs w:val="22"/>
        </w:rPr>
        <w:t>:</w:t>
      </w:r>
    </w:p>
    <w:p w:rsidR="00C01ACD" w:rsidRPr="006E6EA6" w:rsidRDefault="00C01ACD" w:rsidP="00981727">
      <w:pPr>
        <w:widowControl/>
        <w:adjustRightInd/>
        <w:spacing w:line="240" w:lineRule="auto"/>
        <w:textAlignment w:val="auto"/>
        <w:rPr>
          <w:rFonts w:cs="Arial"/>
          <w:i/>
          <w:sz w:val="22"/>
          <w:szCs w:val="22"/>
          <w:u w:val="single"/>
        </w:rPr>
      </w:pPr>
    </w:p>
    <w:p w:rsidR="001578AA" w:rsidRPr="006E6EA6" w:rsidRDefault="0008736F" w:rsidP="00CA1C9E">
      <w:pPr>
        <w:widowControl/>
        <w:numPr>
          <w:ilvl w:val="0"/>
          <w:numId w:val="1"/>
        </w:numPr>
        <w:adjustRightInd/>
        <w:spacing w:line="240" w:lineRule="auto"/>
        <w:ind w:left="426" w:hanging="426"/>
        <w:textAlignment w:val="auto"/>
        <w:rPr>
          <w:rFonts w:cs="Arial"/>
          <w:sz w:val="22"/>
          <w:szCs w:val="22"/>
          <w:shd w:val="clear" w:color="auto" w:fill="FFFFFF"/>
        </w:rPr>
      </w:pPr>
      <w:r w:rsidRPr="006E6EA6">
        <w:rPr>
          <w:rFonts w:cs="Arial"/>
          <w:sz w:val="22"/>
          <w:szCs w:val="22"/>
          <w:shd w:val="clear" w:color="auto" w:fill="FFFFFF"/>
        </w:rPr>
        <w:t>El asunto principal del reclamo versa sobre el presunto in</w:t>
      </w:r>
      <w:r w:rsidR="008036F4" w:rsidRPr="006E6EA6">
        <w:rPr>
          <w:rFonts w:cs="Arial"/>
          <w:sz w:val="22"/>
          <w:szCs w:val="22"/>
          <w:shd w:val="clear" w:color="auto" w:fill="FFFFFF"/>
        </w:rPr>
        <w:t xml:space="preserve">cumplimiento del </w:t>
      </w:r>
      <w:r w:rsidR="001578AA" w:rsidRPr="006E6EA6">
        <w:rPr>
          <w:rFonts w:cs="Arial"/>
          <w:sz w:val="22"/>
          <w:szCs w:val="22"/>
          <w:shd w:val="clear" w:color="auto" w:fill="FFFFFF"/>
        </w:rPr>
        <w:t xml:space="preserve">artículo </w:t>
      </w:r>
      <w:r w:rsidR="008036F4" w:rsidRPr="006E6EA6">
        <w:rPr>
          <w:rFonts w:cs="Arial"/>
          <w:sz w:val="22"/>
          <w:szCs w:val="22"/>
          <w:shd w:val="clear" w:color="auto" w:fill="FFFFFF"/>
        </w:rPr>
        <w:t>35</w:t>
      </w:r>
      <w:r w:rsidR="008036F4" w:rsidRPr="006E6EA6">
        <w:rPr>
          <w:rFonts w:cs="Arial"/>
          <w:sz w:val="22"/>
          <w:szCs w:val="22"/>
        </w:rPr>
        <w:t xml:space="preserve"> del TCTJCA y el artículo</w:t>
      </w:r>
      <w:r w:rsidR="001578AA" w:rsidRPr="006E6EA6">
        <w:rPr>
          <w:rFonts w:cs="Arial"/>
          <w:sz w:val="22"/>
          <w:szCs w:val="22"/>
        </w:rPr>
        <w:t xml:space="preserve"> 127 de la Decisión 500, referido</w:t>
      </w:r>
      <w:r w:rsidR="008036F4" w:rsidRPr="006E6EA6">
        <w:rPr>
          <w:rFonts w:cs="Arial"/>
          <w:sz w:val="22"/>
          <w:szCs w:val="22"/>
        </w:rPr>
        <w:t>s</w:t>
      </w:r>
      <w:r w:rsidR="001578AA" w:rsidRPr="006E6EA6">
        <w:rPr>
          <w:rFonts w:cs="Arial"/>
          <w:sz w:val="22"/>
          <w:szCs w:val="22"/>
        </w:rPr>
        <w:t xml:space="preserve"> a la adopción de la interpretación prejudicial</w:t>
      </w:r>
      <w:r w:rsidR="00767173" w:rsidRPr="006E6EA6">
        <w:rPr>
          <w:rFonts w:cs="Arial"/>
          <w:sz w:val="22"/>
          <w:szCs w:val="22"/>
        </w:rPr>
        <w:t xml:space="preserve"> por parte del juez nacional</w:t>
      </w:r>
      <w:r w:rsidR="00767173" w:rsidRPr="006E6EA6">
        <w:rPr>
          <w:rFonts w:cs="Arial"/>
          <w:sz w:val="22"/>
          <w:szCs w:val="22"/>
          <w:shd w:val="clear" w:color="auto" w:fill="FFFFFF"/>
        </w:rPr>
        <w:t>. Dichos artículos</w:t>
      </w:r>
      <w:r w:rsidR="005E16A9" w:rsidRPr="006E6EA6">
        <w:rPr>
          <w:rFonts w:cs="Arial"/>
          <w:sz w:val="22"/>
          <w:szCs w:val="22"/>
          <w:shd w:val="clear" w:color="auto" w:fill="FFFFFF"/>
        </w:rPr>
        <w:t xml:space="preserve"> señalan</w:t>
      </w:r>
      <w:r w:rsidR="001578AA" w:rsidRPr="006E6EA6">
        <w:rPr>
          <w:rFonts w:cs="Arial"/>
          <w:sz w:val="22"/>
          <w:szCs w:val="22"/>
          <w:shd w:val="clear" w:color="auto" w:fill="FFFFFF"/>
        </w:rPr>
        <w:t xml:space="preserve"> </w:t>
      </w:r>
      <w:r w:rsidR="005E16A9" w:rsidRPr="006E6EA6">
        <w:rPr>
          <w:rFonts w:cs="Arial"/>
          <w:sz w:val="22"/>
          <w:szCs w:val="22"/>
          <w:shd w:val="clear" w:color="auto" w:fill="FFFFFF"/>
        </w:rPr>
        <w:t>expresamente</w:t>
      </w:r>
      <w:r w:rsidR="001578AA" w:rsidRPr="006E6EA6">
        <w:rPr>
          <w:rFonts w:cs="Arial"/>
          <w:sz w:val="22"/>
          <w:szCs w:val="22"/>
          <w:shd w:val="clear" w:color="auto" w:fill="FFFFFF"/>
        </w:rPr>
        <w:t>, lo siguiente:</w:t>
      </w:r>
    </w:p>
    <w:p w:rsidR="001578AA" w:rsidRPr="006E6EA6" w:rsidRDefault="001578AA" w:rsidP="00981727">
      <w:pPr>
        <w:widowControl/>
        <w:adjustRightInd/>
        <w:spacing w:line="240" w:lineRule="auto"/>
        <w:textAlignment w:val="auto"/>
        <w:rPr>
          <w:rFonts w:cs="Arial"/>
          <w:sz w:val="22"/>
          <w:szCs w:val="22"/>
          <w:shd w:val="clear" w:color="auto" w:fill="FFFFFF"/>
        </w:rPr>
      </w:pPr>
    </w:p>
    <w:p w:rsidR="001578AA" w:rsidRPr="006E6EA6" w:rsidRDefault="001578AA" w:rsidP="00CA1C9E">
      <w:pPr>
        <w:widowControl/>
        <w:tabs>
          <w:tab w:val="left" w:pos="851"/>
        </w:tabs>
        <w:adjustRightInd/>
        <w:spacing w:line="240" w:lineRule="auto"/>
        <w:ind w:left="851"/>
        <w:textAlignment w:val="auto"/>
        <w:rPr>
          <w:rFonts w:cs="Arial"/>
          <w:i/>
          <w:sz w:val="22"/>
          <w:szCs w:val="22"/>
          <w:shd w:val="clear" w:color="auto" w:fill="FFFFFF"/>
        </w:rPr>
      </w:pPr>
      <w:r w:rsidRPr="006E6EA6">
        <w:rPr>
          <w:rFonts w:cs="Arial"/>
          <w:sz w:val="22"/>
          <w:szCs w:val="22"/>
          <w:shd w:val="clear" w:color="auto" w:fill="FFFFFF"/>
        </w:rPr>
        <w:t>“</w:t>
      </w:r>
      <w:r w:rsidRPr="006E6EA6">
        <w:rPr>
          <w:rFonts w:cs="Arial"/>
          <w:i/>
          <w:sz w:val="22"/>
          <w:szCs w:val="22"/>
          <w:shd w:val="clear" w:color="auto" w:fill="FFFFFF"/>
        </w:rPr>
        <w:t>Artículo 35.- El juez que conozca el proceso deberá adoptar en su sentencia la interpretación del Tribunal.</w:t>
      </w:r>
      <w:r w:rsidRPr="006E6EA6">
        <w:rPr>
          <w:rFonts w:cs="Arial"/>
          <w:sz w:val="22"/>
          <w:szCs w:val="22"/>
          <w:shd w:val="clear" w:color="auto" w:fill="FFFFFF"/>
        </w:rPr>
        <w:t>”</w:t>
      </w:r>
    </w:p>
    <w:p w:rsidR="001578AA" w:rsidRPr="006E6EA6" w:rsidRDefault="001578AA" w:rsidP="00CA1C9E">
      <w:pPr>
        <w:widowControl/>
        <w:tabs>
          <w:tab w:val="left" w:pos="851"/>
        </w:tabs>
        <w:adjustRightInd/>
        <w:spacing w:line="240" w:lineRule="auto"/>
        <w:ind w:left="851"/>
        <w:textAlignment w:val="auto"/>
        <w:rPr>
          <w:rFonts w:cs="Arial"/>
          <w:sz w:val="22"/>
          <w:szCs w:val="22"/>
          <w:shd w:val="clear" w:color="auto" w:fill="FFFFFF"/>
        </w:rPr>
      </w:pPr>
    </w:p>
    <w:p w:rsidR="001578AA" w:rsidRPr="006E6EA6" w:rsidRDefault="001578AA" w:rsidP="00CA1C9E">
      <w:pPr>
        <w:widowControl/>
        <w:tabs>
          <w:tab w:val="left" w:pos="851"/>
        </w:tabs>
        <w:adjustRightInd/>
        <w:spacing w:line="240" w:lineRule="auto"/>
        <w:ind w:left="851"/>
        <w:textAlignment w:val="auto"/>
        <w:rPr>
          <w:rFonts w:cs="Arial"/>
          <w:i/>
          <w:sz w:val="22"/>
          <w:szCs w:val="22"/>
          <w:shd w:val="clear" w:color="auto" w:fill="FFFFFF"/>
        </w:rPr>
      </w:pPr>
      <w:r w:rsidRPr="006E6EA6">
        <w:rPr>
          <w:rFonts w:cs="Arial"/>
          <w:i/>
          <w:sz w:val="22"/>
          <w:szCs w:val="22"/>
          <w:shd w:val="clear" w:color="auto" w:fill="FFFFFF"/>
        </w:rPr>
        <w:t>“Artículo 127.- Obligación especial del juez consultante</w:t>
      </w:r>
    </w:p>
    <w:p w:rsidR="001578AA" w:rsidRPr="006E6EA6" w:rsidRDefault="001578AA" w:rsidP="00CA1C9E">
      <w:pPr>
        <w:widowControl/>
        <w:tabs>
          <w:tab w:val="left" w:pos="851"/>
        </w:tabs>
        <w:adjustRightInd/>
        <w:spacing w:line="240" w:lineRule="auto"/>
        <w:ind w:left="851"/>
        <w:textAlignment w:val="auto"/>
        <w:rPr>
          <w:rFonts w:cs="Arial"/>
          <w:i/>
          <w:sz w:val="22"/>
          <w:szCs w:val="22"/>
          <w:shd w:val="clear" w:color="auto" w:fill="FFFFFF"/>
        </w:rPr>
      </w:pPr>
      <w:r w:rsidRPr="006E6EA6">
        <w:rPr>
          <w:rFonts w:cs="Arial"/>
          <w:i/>
          <w:sz w:val="22"/>
          <w:szCs w:val="22"/>
          <w:shd w:val="clear" w:color="auto" w:fill="FFFFFF"/>
        </w:rPr>
        <w:t>El juez que conozca del proceso interno en que se formuló la consulta, deberá adoptar en su sentencia la interpretación del Tribunal.”</w:t>
      </w:r>
    </w:p>
    <w:p w:rsidR="00BB6C2B" w:rsidRPr="006E6EA6" w:rsidRDefault="00BB6C2B" w:rsidP="00981727">
      <w:pPr>
        <w:pStyle w:val="Prrafodelista"/>
        <w:widowControl/>
        <w:tabs>
          <w:tab w:val="left" w:pos="1134"/>
        </w:tabs>
        <w:adjustRightInd/>
        <w:spacing w:line="240" w:lineRule="auto"/>
        <w:ind w:left="1134"/>
        <w:contextualSpacing w:val="0"/>
        <w:textAlignment w:val="auto"/>
        <w:rPr>
          <w:rFonts w:cs="Arial"/>
          <w:i/>
          <w:sz w:val="22"/>
          <w:szCs w:val="22"/>
        </w:rPr>
      </w:pPr>
    </w:p>
    <w:p w:rsidR="00F4249D" w:rsidRPr="006E6EA6" w:rsidRDefault="00F4249D" w:rsidP="00CA1C9E">
      <w:pPr>
        <w:widowControl/>
        <w:numPr>
          <w:ilvl w:val="0"/>
          <w:numId w:val="1"/>
        </w:numPr>
        <w:adjustRightInd/>
        <w:spacing w:line="240" w:lineRule="auto"/>
        <w:ind w:left="426" w:hanging="426"/>
        <w:textAlignment w:val="auto"/>
        <w:rPr>
          <w:rFonts w:cs="Arial"/>
          <w:sz w:val="22"/>
          <w:szCs w:val="22"/>
        </w:rPr>
      </w:pPr>
      <w:r w:rsidRPr="006E6EA6">
        <w:rPr>
          <w:rFonts w:cs="Arial"/>
          <w:sz w:val="22"/>
          <w:szCs w:val="22"/>
        </w:rPr>
        <w:lastRenderedPageBreak/>
        <w:t xml:space="preserve">Sobre el particular, es pertinente </w:t>
      </w:r>
      <w:r w:rsidR="008036F4" w:rsidRPr="006E6EA6">
        <w:rPr>
          <w:rFonts w:cs="Arial"/>
          <w:sz w:val="22"/>
          <w:szCs w:val="22"/>
        </w:rPr>
        <w:t>traer a colación</w:t>
      </w:r>
      <w:r w:rsidRPr="006E6EA6">
        <w:rPr>
          <w:rFonts w:cs="Arial"/>
          <w:sz w:val="22"/>
          <w:szCs w:val="22"/>
        </w:rPr>
        <w:t xml:space="preserve"> algunos aspectos generales en cuanto a la </w:t>
      </w:r>
      <w:r w:rsidR="008036F4" w:rsidRPr="006E6EA6">
        <w:rPr>
          <w:rFonts w:cs="Arial"/>
          <w:sz w:val="22"/>
          <w:szCs w:val="22"/>
        </w:rPr>
        <w:t>adopción</w:t>
      </w:r>
      <w:r w:rsidRPr="006E6EA6">
        <w:rPr>
          <w:rFonts w:cs="Arial"/>
          <w:sz w:val="22"/>
          <w:szCs w:val="22"/>
        </w:rPr>
        <w:t xml:space="preserve"> de las inter</w:t>
      </w:r>
      <w:r w:rsidR="008036F4" w:rsidRPr="006E6EA6">
        <w:rPr>
          <w:rFonts w:cs="Arial"/>
          <w:sz w:val="22"/>
          <w:szCs w:val="22"/>
        </w:rPr>
        <w:t>pretaciones prejudiciales del T</w:t>
      </w:r>
      <w:r w:rsidR="005C6DEA" w:rsidRPr="006E6EA6">
        <w:rPr>
          <w:rFonts w:cs="Arial"/>
          <w:sz w:val="22"/>
          <w:szCs w:val="22"/>
        </w:rPr>
        <w:t>JCA</w:t>
      </w:r>
      <w:r w:rsidR="008036F4" w:rsidRPr="006E6EA6">
        <w:rPr>
          <w:rFonts w:cs="Arial"/>
          <w:sz w:val="22"/>
          <w:szCs w:val="22"/>
        </w:rPr>
        <w:t>,</w:t>
      </w:r>
      <w:r w:rsidRPr="006E6EA6">
        <w:rPr>
          <w:rFonts w:cs="Arial"/>
          <w:sz w:val="22"/>
          <w:szCs w:val="22"/>
        </w:rPr>
        <w:t xml:space="preserve"> por parte de los jueces nacionales. Al respecto, el TJCA ya se ha pronunciado en </w:t>
      </w:r>
      <w:r w:rsidR="005E16A9" w:rsidRPr="006E6EA6">
        <w:rPr>
          <w:rFonts w:cs="Arial"/>
          <w:sz w:val="22"/>
          <w:szCs w:val="22"/>
        </w:rPr>
        <w:t xml:space="preserve">el </w:t>
      </w:r>
      <w:r w:rsidRPr="006E6EA6">
        <w:rPr>
          <w:rFonts w:cs="Arial"/>
          <w:sz w:val="22"/>
          <w:szCs w:val="22"/>
        </w:rPr>
        <w:t>Proceso</w:t>
      </w:r>
      <w:r w:rsidR="00305DE0" w:rsidRPr="006E6EA6">
        <w:rPr>
          <w:rFonts w:cs="Arial"/>
          <w:sz w:val="22"/>
          <w:szCs w:val="22"/>
        </w:rPr>
        <w:t xml:space="preserve"> No.</w:t>
      </w:r>
      <w:r w:rsidRPr="006E6EA6">
        <w:rPr>
          <w:rFonts w:cs="Arial"/>
          <w:sz w:val="22"/>
          <w:szCs w:val="22"/>
        </w:rPr>
        <w:t xml:space="preserve"> 68-IP-2014 indicando lo siguiente: </w:t>
      </w:r>
    </w:p>
    <w:p w:rsidR="00F4249D" w:rsidRPr="006E6EA6" w:rsidRDefault="00F4249D" w:rsidP="00981727">
      <w:pPr>
        <w:widowControl/>
        <w:adjustRightInd/>
        <w:spacing w:line="240" w:lineRule="auto"/>
        <w:ind w:left="567"/>
        <w:textAlignment w:val="auto"/>
        <w:rPr>
          <w:rFonts w:cs="Arial"/>
          <w:sz w:val="22"/>
          <w:szCs w:val="22"/>
        </w:rPr>
      </w:pPr>
    </w:p>
    <w:p w:rsidR="00F4249D" w:rsidRPr="006E6EA6" w:rsidRDefault="00F4249D" w:rsidP="00BE2FC9">
      <w:pPr>
        <w:widowControl/>
        <w:adjustRightInd/>
        <w:spacing w:line="240" w:lineRule="auto"/>
        <w:ind w:left="851"/>
        <w:textAlignment w:val="auto"/>
        <w:rPr>
          <w:rFonts w:cs="Arial"/>
          <w:i/>
          <w:sz w:val="22"/>
          <w:szCs w:val="22"/>
        </w:rPr>
      </w:pPr>
      <w:r w:rsidRPr="006E6EA6">
        <w:rPr>
          <w:rFonts w:cs="Arial"/>
          <w:sz w:val="22"/>
          <w:szCs w:val="22"/>
        </w:rPr>
        <w:t>“</w:t>
      </w:r>
      <w:r w:rsidRPr="006E6EA6">
        <w:rPr>
          <w:rFonts w:cs="Arial"/>
          <w:i/>
          <w:sz w:val="22"/>
          <w:szCs w:val="22"/>
        </w:rPr>
        <w:t xml:space="preserve">Aplicar o adoptar la interpretación prejudicial no significa simplemente hacer una relación de la misma en la sentencia, sino que el juez consultante la tome como el parámetro interpretativo de la normativa comunitaria aplicable al caso concreto.  Por tal motivo el juez consultante debe hacer lo siguiente: </w:t>
      </w:r>
    </w:p>
    <w:p w:rsidR="00F4249D" w:rsidRPr="006E6EA6" w:rsidRDefault="00F4249D" w:rsidP="00BE2FC9">
      <w:pPr>
        <w:widowControl/>
        <w:adjustRightInd/>
        <w:spacing w:line="240" w:lineRule="auto"/>
        <w:ind w:left="851"/>
        <w:textAlignment w:val="auto"/>
        <w:rPr>
          <w:rFonts w:cs="Arial"/>
          <w:i/>
          <w:sz w:val="22"/>
          <w:szCs w:val="22"/>
        </w:rPr>
      </w:pPr>
    </w:p>
    <w:p w:rsidR="00F4249D" w:rsidRPr="006E6EA6" w:rsidRDefault="00F4249D" w:rsidP="00BE2FC9">
      <w:pPr>
        <w:widowControl/>
        <w:adjustRightInd/>
        <w:spacing w:line="240" w:lineRule="auto"/>
        <w:ind w:left="993" w:hanging="142"/>
        <w:textAlignment w:val="auto"/>
        <w:rPr>
          <w:rFonts w:cs="Arial"/>
          <w:i/>
          <w:sz w:val="22"/>
          <w:szCs w:val="22"/>
        </w:rPr>
      </w:pPr>
      <w:r w:rsidRPr="006E6EA6">
        <w:rPr>
          <w:rFonts w:cs="Arial"/>
          <w:i/>
          <w:sz w:val="22"/>
          <w:szCs w:val="22"/>
        </w:rPr>
        <w:t>•</w:t>
      </w:r>
      <w:r w:rsidRPr="006E6EA6">
        <w:rPr>
          <w:rFonts w:cs="Arial"/>
          <w:i/>
          <w:sz w:val="22"/>
          <w:szCs w:val="22"/>
        </w:rPr>
        <w:tab/>
        <w:t xml:space="preserve">Acatar de manera integral la Interpretación Prejudicial. No se puede utilizar la Interpretación Prejudicial de manera fragmentaria, es decir, únicamente sobre algunas partes de la misma. La obligación de acatarla es en relación con todo su contenido. Se aclara que las conclusiones contenidas en la mencionada providencia son el reflejo de la parte considerativa de la misma y, por lo tanto, el juez consultante debe llenar de contenido dichas conclusiones con la parte motiva de la Interpretación.  </w:t>
      </w:r>
    </w:p>
    <w:p w:rsidR="00F4249D" w:rsidRPr="006E6EA6" w:rsidRDefault="00F4249D" w:rsidP="00BE2FC9">
      <w:pPr>
        <w:widowControl/>
        <w:adjustRightInd/>
        <w:spacing w:line="240" w:lineRule="auto"/>
        <w:ind w:left="851"/>
        <w:textAlignment w:val="auto"/>
        <w:rPr>
          <w:rFonts w:cs="Arial"/>
          <w:i/>
          <w:sz w:val="22"/>
          <w:szCs w:val="22"/>
        </w:rPr>
      </w:pPr>
    </w:p>
    <w:p w:rsidR="00F4249D" w:rsidRPr="006E6EA6" w:rsidRDefault="00F4249D" w:rsidP="00BE2FC9">
      <w:pPr>
        <w:widowControl/>
        <w:adjustRightInd/>
        <w:spacing w:line="240" w:lineRule="auto"/>
        <w:ind w:left="993" w:hanging="142"/>
        <w:textAlignment w:val="auto"/>
        <w:rPr>
          <w:rFonts w:cs="Arial"/>
          <w:sz w:val="22"/>
          <w:szCs w:val="22"/>
        </w:rPr>
      </w:pPr>
      <w:r w:rsidRPr="006E6EA6">
        <w:rPr>
          <w:rFonts w:cs="Arial"/>
          <w:i/>
          <w:sz w:val="22"/>
          <w:szCs w:val="22"/>
        </w:rPr>
        <w:t>•</w:t>
      </w:r>
      <w:r w:rsidRPr="006E6EA6">
        <w:rPr>
          <w:rFonts w:cs="Arial"/>
          <w:i/>
          <w:sz w:val="22"/>
          <w:szCs w:val="22"/>
        </w:rPr>
        <w:tab/>
        <w:t>Acatar la Interpretación Prejudicial de conformidad con el sentido de la misma. El juez consultante no puede hacer una interpretación de la interpretación prejudicial, o usar fragmentos aislados para validar una posición contraria a la que realmente contiene la providencia. Si el juez consultante encontrara partes oscuras o ambiguas en el texto de la providencia, puede solicitarle al Tribunal la respectiva aclaración mediante un escrito en ese sentido</w:t>
      </w:r>
      <w:r w:rsidRPr="006E6EA6">
        <w:rPr>
          <w:rFonts w:cs="Arial"/>
          <w:sz w:val="22"/>
          <w:szCs w:val="22"/>
        </w:rPr>
        <w:t>”.</w:t>
      </w:r>
      <w:r w:rsidR="00B10EDD" w:rsidRPr="006E6EA6">
        <w:rPr>
          <w:rStyle w:val="Refdenotaalpie"/>
          <w:rFonts w:cs="Arial"/>
          <w:sz w:val="22"/>
          <w:szCs w:val="22"/>
        </w:rPr>
        <w:footnoteReference w:id="19"/>
      </w:r>
      <w:r w:rsidRPr="006E6EA6">
        <w:rPr>
          <w:rFonts w:cs="Arial"/>
          <w:sz w:val="22"/>
          <w:szCs w:val="22"/>
        </w:rPr>
        <w:t xml:space="preserve"> (Énfasis agregado)</w:t>
      </w:r>
    </w:p>
    <w:p w:rsidR="00C249BD" w:rsidRPr="006E6EA6" w:rsidRDefault="00C249BD" w:rsidP="00981727">
      <w:pPr>
        <w:widowControl/>
        <w:adjustRightInd/>
        <w:spacing w:line="240" w:lineRule="auto"/>
        <w:ind w:left="567"/>
        <w:textAlignment w:val="auto"/>
        <w:rPr>
          <w:rFonts w:cs="Arial"/>
          <w:i/>
          <w:sz w:val="22"/>
          <w:szCs w:val="22"/>
        </w:rPr>
      </w:pPr>
    </w:p>
    <w:p w:rsidR="00F4249D" w:rsidRPr="006E6EA6" w:rsidRDefault="005E16A9" w:rsidP="00BE2FC9">
      <w:pPr>
        <w:widowControl/>
        <w:numPr>
          <w:ilvl w:val="0"/>
          <w:numId w:val="1"/>
        </w:numPr>
        <w:adjustRightInd/>
        <w:spacing w:line="240" w:lineRule="auto"/>
        <w:ind w:left="426" w:hanging="426"/>
        <w:textAlignment w:val="auto"/>
        <w:rPr>
          <w:rFonts w:cs="Arial"/>
          <w:sz w:val="22"/>
          <w:szCs w:val="22"/>
        </w:rPr>
      </w:pPr>
      <w:r w:rsidRPr="006E6EA6">
        <w:rPr>
          <w:rFonts w:cs="Arial"/>
          <w:sz w:val="22"/>
          <w:szCs w:val="22"/>
        </w:rPr>
        <w:t>Asimismo</w:t>
      </w:r>
      <w:r w:rsidR="00F4249D" w:rsidRPr="006E6EA6">
        <w:rPr>
          <w:rFonts w:cs="Arial"/>
          <w:sz w:val="22"/>
          <w:szCs w:val="22"/>
        </w:rPr>
        <w:t xml:space="preserve">, en </w:t>
      </w:r>
      <w:r w:rsidR="005672FC" w:rsidRPr="006E6EA6">
        <w:rPr>
          <w:rFonts w:cs="Arial"/>
          <w:sz w:val="22"/>
          <w:szCs w:val="22"/>
        </w:rPr>
        <w:t>la Interpretación Prejudicial del</w:t>
      </w:r>
      <w:r w:rsidR="000401D9" w:rsidRPr="006E6EA6">
        <w:rPr>
          <w:rFonts w:cs="Arial"/>
          <w:sz w:val="22"/>
          <w:szCs w:val="22"/>
        </w:rPr>
        <w:t xml:space="preserve"> Proceso </w:t>
      </w:r>
      <w:r w:rsidR="00305DE0" w:rsidRPr="006E6EA6">
        <w:rPr>
          <w:rFonts w:cs="Arial"/>
          <w:sz w:val="22"/>
          <w:szCs w:val="22"/>
        </w:rPr>
        <w:t xml:space="preserve">No. </w:t>
      </w:r>
      <w:r w:rsidR="000401D9" w:rsidRPr="006E6EA6">
        <w:rPr>
          <w:rFonts w:cs="Arial"/>
          <w:sz w:val="22"/>
          <w:szCs w:val="22"/>
        </w:rPr>
        <w:t>149-IP-2011</w:t>
      </w:r>
      <w:r w:rsidR="00F4249D" w:rsidRPr="006E6EA6">
        <w:rPr>
          <w:rFonts w:cs="Arial"/>
          <w:sz w:val="22"/>
          <w:szCs w:val="22"/>
        </w:rPr>
        <w:t>, el TJCA refirió lo siguiente:</w:t>
      </w:r>
    </w:p>
    <w:p w:rsidR="00F4249D" w:rsidRPr="006E6EA6" w:rsidRDefault="00F4249D" w:rsidP="00981727">
      <w:pPr>
        <w:widowControl/>
        <w:adjustRightInd/>
        <w:spacing w:line="240" w:lineRule="auto"/>
        <w:ind w:left="567"/>
        <w:textAlignment w:val="auto"/>
        <w:rPr>
          <w:rFonts w:cs="Arial"/>
          <w:i/>
          <w:sz w:val="22"/>
          <w:szCs w:val="22"/>
        </w:rPr>
      </w:pPr>
    </w:p>
    <w:p w:rsidR="00C249BD" w:rsidRPr="006E6EA6" w:rsidRDefault="00C249BD" w:rsidP="00BE2FC9">
      <w:pPr>
        <w:widowControl/>
        <w:tabs>
          <w:tab w:val="left" w:pos="851"/>
        </w:tabs>
        <w:adjustRightInd/>
        <w:spacing w:line="240" w:lineRule="auto"/>
        <w:ind w:left="709"/>
        <w:textAlignment w:val="auto"/>
        <w:rPr>
          <w:rFonts w:cs="Arial"/>
          <w:i/>
          <w:sz w:val="22"/>
          <w:szCs w:val="22"/>
          <w:lang w:val="es-ES"/>
        </w:rPr>
      </w:pPr>
      <w:r w:rsidRPr="006E6EA6">
        <w:rPr>
          <w:rFonts w:cs="Arial"/>
          <w:i/>
          <w:sz w:val="22"/>
          <w:szCs w:val="22"/>
        </w:rPr>
        <w:t xml:space="preserve">“1. </w:t>
      </w:r>
      <w:r w:rsidRPr="006E6EA6">
        <w:rPr>
          <w:rFonts w:cs="Arial"/>
          <w:i/>
          <w:sz w:val="22"/>
          <w:szCs w:val="22"/>
          <w:lang w:val="es-ES"/>
        </w:rPr>
        <w:t>Efectos que se desprenden de la expedición de la interpretación prejudicial.</w:t>
      </w:r>
    </w:p>
    <w:p w:rsidR="00C249BD" w:rsidRPr="006E6EA6" w:rsidRDefault="00C249BD" w:rsidP="00BE2FC9">
      <w:pPr>
        <w:tabs>
          <w:tab w:val="left" w:pos="567"/>
        </w:tabs>
        <w:spacing w:line="240" w:lineRule="auto"/>
        <w:ind w:left="709"/>
        <w:rPr>
          <w:rFonts w:cs="Arial"/>
          <w:i/>
          <w:sz w:val="22"/>
          <w:szCs w:val="22"/>
          <w:lang w:val="es-ES"/>
        </w:rPr>
      </w:pPr>
    </w:p>
    <w:p w:rsidR="00C249BD" w:rsidRPr="006E6EA6" w:rsidRDefault="00C249BD" w:rsidP="00BE2FC9">
      <w:pPr>
        <w:tabs>
          <w:tab w:val="left" w:pos="567"/>
        </w:tabs>
        <w:spacing w:line="240" w:lineRule="auto"/>
        <w:ind w:left="709"/>
        <w:rPr>
          <w:rFonts w:cs="Arial"/>
          <w:i/>
          <w:sz w:val="22"/>
          <w:szCs w:val="22"/>
          <w:lang w:val="es-ES"/>
        </w:rPr>
      </w:pPr>
      <w:r w:rsidRPr="006E6EA6">
        <w:rPr>
          <w:rFonts w:cs="Arial"/>
          <w:i/>
          <w:sz w:val="22"/>
          <w:szCs w:val="22"/>
          <w:lang w:val="es-ES"/>
        </w:rPr>
        <w:t>Una vez expedida la Interpretación Prejudicial por parte del Tribunal de Justicia de la Comunidad Andina, se generan los siguientes efectos:</w:t>
      </w:r>
    </w:p>
    <w:p w:rsidR="00C249BD" w:rsidRPr="006E6EA6" w:rsidRDefault="00C249BD" w:rsidP="00BE2FC9">
      <w:pPr>
        <w:tabs>
          <w:tab w:val="left" w:pos="567"/>
        </w:tabs>
        <w:spacing w:line="240" w:lineRule="auto"/>
        <w:ind w:left="709"/>
        <w:rPr>
          <w:rFonts w:cs="Arial"/>
          <w:i/>
          <w:sz w:val="22"/>
          <w:szCs w:val="22"/>
          <w:lang w:val="es-ES"/>
        </w:rPr>
      </w:pPr>
    </w:p>
    <w:p w:rsidR="00C249BD" w:rsidRPr="006E6EA6" w:rsidRDefault="0026449D" w:rsidP="00BE2FC9">
      <w:pPr>
        <w:widowControl/>
        <w:tabs>
          <w:tab w:val="left" w:pos="993"/>
        </w:tabs>
        <w:adjustRightInd/>
        <w:spacing w:line="240" w:lineRule="auto"/>
        <w:ind w:left="709"/>
        <w:textAlignment w:val="auto"/>
        <w:rPr>
          <w:rFonts w:cs="Arial"/>
          <w:i/>
          <w:sz w:val="22"/>
          <w:szCs w:val="22"/>
          <w:lang w:val="es-ES"/>
        </w:rPr>
      </w:pPr>
      <w:r w:rsidRPr="006E6EA6">
        <w:rPr>
          <w:rFonts w:cs="Arial"/>
          <w:i/>
          <w:sz w:val="22"/>
          <w:szCs w:val="22"/>
          <w:lang w:val="es-ES"/>
        </w:rPr>
        <w:t>(…)</w:t>
      </w:r>
    </w:p>
    <w:p w:rsidR="00C249BD" w:rsidRPr="006E6EA6" w:rsidRDefault="00C249BD" w:rsidP="00BE2FC9">
      <w:pPr>
        <w:tabs>
          <w:tab w:val="left" w:pos="993"/>
        </w:tabs>
        <w:spacing w:line="240" w:lineRule="auto"/>
        <w:ind w:left="709"/>
        <w:rPr>
          <w:rFonts w:cs="Arial"/>
          <w:i/>
          <w:sz w:val="22"/>
          <w:szCs w:val="22"/>
          <w:lang w:val="es-ES"/>
        </w:rPr>
      </w:pPr>
    </w:p>
    <w:p w:rsidR="00C249BD" w:rsidRPr="006E6EA6" w:rsidRDefault="00C249BD" w:rsidP="00BE2FC9">
      <w:pPr>
        <w:widowControl/>
        <w:numPr>
          <w:ilvl w:val="0"/>
          <w:numId w:val="6"/>
        </w:numPr>
        <w:tabs>
          <w:tab w:val="clear" w:pos="1068"/>
          <w:tab w:val="left" w:pos="993"/>
        </w:tabs>
        <w:adjustRightInd/>
        <w:spacing w:line="240" w:lineRule="auto"/>
        <w:ind w:left="709" w:firstLine="0"/>
        <w:textAlignment w:val="auto"/>
        <w:rPr>
          <w:rFonts w:cs="Arial"/>
          <w:i/>
          <w:sz w:val="22"/>
          <w:szCs w:val="22"/>
          <w:lang w:val="es-ES"/>
        </w:rPr>
      </w:pPr>
      <w:r w:rsidRPr="006E6EA6">
        <w:rPr>
          <w:rFonts w:cs="Arial"/>
          <w:i/>
          <w:sz w:val="22"/>
          <w:szCs w:val="22"/>
          <w:lang w:val="es-ES"/>
        </w:rPr>
        <w:t>El Juez Nacional deberá aplicar adecuadamente la interpretación prejudicial. (artículo 27 del Estatuto del Tribunal de Justicia de la Comunidad Andina). Aunque el juez sea de instancia, una vez expedida la interpretación prejudicial debe aplicarla en su sentencia. Por lo tanto, el Juez Nacional no sólo debe remitirse a la interpretación prejudicial en su sentencia, sino que debe acatarla de manera integral y de conformidad con el sentido de la misma.</w:t>
      </w:r>
    </w:p>
    <w:p w:rsidR="00C249BD" w:rsidRPr="006E6EA6" w:rsidRDefault="00C249BD" w:rsidP="00BE2FC9">
      <w:pPr>
        <w:tabs>
          <w:tab w:val="left" w:pos="993"/>
        </w:tabs>
        <w:spacing w:line="240" w:lineRule="auto"/>
        <w:ind w:left="709"/>
        <w:rPr>
          <w:rFonts w:cs="Arial"/>
          <w:i/>
          <w:sz w:val="22"/>
          <w:szCs w:val="22"/>
          <w:lang w:val="es-ES"/>
        </w:rPr>
      </w:pPr>
    </w:p>
    <w:p w:rsidR="00C249BD" w:rsidRPr="006E6EA6" w:rsidRDefault="00C249BD" w:rsidP="00BE2FC9">
      <w:pPr>
        <w:tabs>
          <w:tab w:val="left" w:pos="993"/>
        </w:tabs>
        <w:spacing w:line="240" w:lineRule="auto"/>
        <w:ind w:left="709"/>
        <w:rPr>
          <w:rFonts w:cs="Arial"/>
          <w:i/>
          <w:sz w:val="22"/>
          <w:szCs w:val="22"/>
          <w:lang w:val="es-ES"/>
        </w:rPr>
      </w:pPr>
      <w:r w:rsidRPr="006E6EA6">
        <w:rPr>
          <w:rFonts w:cs="Arial"/>
          <w:i/>
          <w:sz w:val="22"/>
          <w:szCs w:val="22"/>
          <w:lang w:val="es-ES"/>
        </w:rPr>
        <w:t>Si el Juez Nacional incumple dicha obligación, los sujetos legitimados para el efecto podrán acudir al Tribunal de Justicia de la Comunidad Andina, mediante la acción de incumplimiento. (Artículo 128 del Estatuto del Tribunal de Justicia de la Comunidad Andina, segundo párrafo).</w:t>
      </w:r>
    </w:p>
    <w:p w:rsidR="00C249BD" w:rsidRPr="006E6EA6" w:rsidRDefault="00C249BD" w:rsidP="00BE2FC9">
      <w:pPr>
        <w:tabs>
          <w:tab w:val="left" w:pos="993"/>
        </w:tabs>
        <w:spacing w:line="240" w:lineRule="auto"/>
        <w:ind w:left="709"/>
        <w:rPr>
          <w:rFonts w:cs="Arial"/>
          <w:i/>
          <w:sz w:val="22"/>
          <w:szCs w:val="22"/>
          <w:lang w:val="es-ES"/>
        </w:rPr>
      </w:pPr>
    </w:p>
    <w:p w:rsidR="00C249BD" w:rsidRPr="006E6EA6" w:rsidRDefault="00C249BD" w:rsidP="00BE2FC9">
      <w:pPr>
        <w:widowControl/>
        <w:numPr>
          <w:ilvl w:val="0"/>
          <w:numId w:val="6"/>
        </w:numPr>
        <w:tabs>
          <w:tab w:val="clear" w:pos="1068"/>
          <w:tab w:val="left" w:pos="993"/>
        </w:tabs>
        <w:adjustRightInd/>
        <w:spacing w:line="240" w:lineRule="auto"/>
        <w:ind w:left="709" w:firstLine="0"/>
        <w:textAlignment w:val="auto"/>
        <w:rPr>
          <w:rFonts w:cs="Arial"/>
          <w:i/>
          <w:sz w:val="22"/>
          <w:szCs w:val="22"/>
          <w:lang w:val="es-ES"/>
        </w:rPr>
      </w:pPr>
      <w:r w:rsidRPr="006E6EA6">
        <w:rPr>
          <w:rFonts w:cs="Arial"/>
          <w:i/>
          <w:sz w:val="22"/>
          <w:szCs w:val="22"/>
          <w:lang w:val="es-ES"/>
        </w:rPr>
        <w:t xml:space="preserve">Obligación de vigilancia por parte de los Países Miembros y la Secretaría General de la Comunidad Andina. Como es tan importante la aplicación uniforme de la normativa comunitaria, se impone, en cabeza de los Países Miembros y la </w:t>
      </w:r>
      <w:r w:rsidRPr="006E6EA6">
        <w:rPr>
          <w:rFonts w:cs="Arial"/>
          <w:i/>
          <w:sz w:val="22"/>
          <w:szCs w:val="22"/>
          <w:lang w:val="es-ES"/>
        </w:rPr>
        <w:lastRenderedPageBreak/>
        <w:t>Secretaría General, una carga específica de vigilancia de la labor jurisdiccional nacional en el campo de la Interpretación Prejudicial. (…).</w:t>
      </w:r>
      <w:r w:rsidRPr="006E6EA6">
        <w:rPr>
          <w:rFonts w:cs="Arial"/>
          <w:sz w:val="22"/>
          <w:szCs w:val="22"/>
          <w:lang w:val="es-ES"/>
        </w:rPr>
        <w:t>”</w:t>
      </w:r>
      <w:r w:rsidR="00B10EDD" w:rsidRPr="006E6EA6">
        <w:rPr>
          <w:rStyle w:val="Refdenotaalpie"/>
          <w:rFonts w:cs="Arial"/>
          <w:sz w:val="22"/>
          <w:szCs w:val="22"/>
          <w:lang w:val="es-ES"/>
        </w:rPr>
        <w:footnoteReference w:id="20"/>
      </w:r>
      <w:r w:rsidRPr="006E6EA6">
        <w:rPr>
          <w:rFonts w:cs="Arial"/>
          <w:i/>
          <w:sz w:val="22"/>
          <w:szCs w:val="22"/>
          <w:lang w:val="es-ES"/>
        </w:rPr>
        <w:t xml:space="preserve"> </w:t>
      </w:r>
      <w:r w:rsidRPr="006E6EA6">
        <w:rPr>
          <w:rFonts w:cs="Arial"/>
          <w:sz w:val="22"/>
          <w:szCs w:val="22"/>
          <w:lang w:val="es-ES"/>
        </w:rPr>
        <w:t>(Énfasis agregado)</w:t>
      </w:r>
    </w:p>
    <w:p w:rsidR="00C249BD" w:rsidRPr="006E6EA6" w:rsidRDefault="00C249BD" w:rsidP="00981727">
      <w:pPr>
        <w:pStyle w:val="Prrafodelista"/>
        <w:widowControl/>
        <w:adjustRightInd/>
        <w:spacing w:line="240" w:lineRule="auto"/>
        <w:ind w:left="0"/>
        <w:contextualSpacing w:val="0"/>
        <w:textAlignment w:val="auto"/>
        <w:rPr>
          <w:rFonts w:cs="Arial"/>
          <w:i/>
          <w:sz w:val="22"/>
          <w:szCs w:val="22"/>
        </w:rPr>
      </w:pPr>
    </w:p>
    <w:p w:rsidR="00665371" w:rsidRPr="006E6EA6" w:rsidRDefault="00665371" w:rsidP="00BE2FC9">
      <w:pPr>
        <w:pStyle w:val="Prrafodelista"/>
        <w:widowControl/>
        <w:numPr>
          <w:ilvl w:val="0"/>
          <w:numId w:val="1"/>
        </w:numPr>
        <w:adjustRightInd/>
        <w:spacing w:line="240" w:lineRule="auto"/>
        <w:ind w:left="426" w:hanging="426"/>
        <w:contextualSpacing w:val="0"/>
        <w:textAlignment w:val="auto"/>
        <w:rPr>
          <w:rFonts w:cs="Arial"/>
          <w:i/>
          <w:sz w:val="22"/>
          <w:szCs w:val="22"/>
          <w:u w:val="single"/>
        </w:rPr>
      </w:pPr>
      <w:r w:rsidRPr="006E6EA6">
        <w:rPr>
          <w:rFonts w:cs="Arial"/>
          <w:sz w:val="22"/>
          <w:szCs w:val="22"/>
          <w:lang w:val="es-ES"/>
        </w:rPr>
        <w:t>Como se puede observar el juez nacional</w:t>
      </w:r>
      <w:r w:rsidR="00E70B09" w:rsidRPr="006E6EA6">
        <w:rPr>
          <w:rFonts w:cs="Arial"/>
          <w:sz w:val="22"/>
          <w:szCs w:val="22"/>
          <w:lang w:val="es-ES"/>
        </w:rPr>
        <w:t>,</w:t>
      </w:r>
      <w:r w:rsidRPr="006E6EA6">
        <w:rPr>
          <w:rFonts w:cs="Arial"/>
          <w:sz w:val="22"/>
          <w:szCs w:val="22"/>
          <w:lang w:val="es-ES"/>
        </w:rPr>
        <w:t xml:space="preserve"> al aplicar las interpretaciones prejudiciales del TJCA, deberá acatarlas en relación con todo su contenido y en conformidad con su sentido, sin interpretarla ni editarla para validar una posición contraria a la que realmente contiene.</w:t>
      </w:r>
    </w:p>
    <w:p w:rsidR="00665371" w:rsidRPr="006E6EA6" w:rsidRDefault="00665371" w:rsidP="00981727">
      <w:pPr>
        <w:pStyle w:val="Prrafodelista"/>
        <w:widowControl/>
        <w:adjustRightInd/>
        <w:spacing w:line="240" w:lineRule="auto"/>
        <w:ind w:left="0"/>
        <w:contextualSpacing w:val="0"/>
        <w:textAlignment w:val="auto"/>
        <w:rPr>
          <w:rFonts w:cs="Arial"/>
          <w:i/>
          <w:sz w:val="22"/>
          <w:szCs w:val="22"/>
        </w:rPr>
      </w:pPr>
    </w:p>
    <w:p w:rsidR="00BB6C2B" w:rsidRPr="006E6EA6" w:rsidRDefault="00E70B09" w:rsidP="00BE2FC9">
      <w:pPr>
        <w:pStyle w:val="Prrafodelista"/>
        <w:widowControl/>
        <w:numPr>
          <w:ilvl w:val="0"/>
          <w:numId w:val="1"/>
        </w:numPr>
        <w:adjustRightInd/>
        <w:spacing w:line="240" w:lineRule="auto"/>
        <w:ind w:left="426" w:hanging="426"/>
        <w:contextualSpacing w:val="0"/>
        <w:textAlignment w:val="auto"/>
        <w:rPr>
          <w:rFonts w:cs="Arial"/>
          <w:i/>
          <w:sz w:val="22"/>
          <w:szCs w:val="22"/>
        </w:rPr>
      </w:pPr>
      <w:r w:rsidRPr="006E6EA6">
        <w:rPr>
          <w:rFonts w:cs="Arial"/>
          <w:bCs/>
          <w:sz w:val="22"/>
          <w:szCs w:val="22"/>
        </w:rPr>
        <w:t>Ahora bien, l</w:t>
      </w:r>
      <w:r w:rsidR="00C96D01" w:rsidRPr="006E6EA6">
        <w:rPr>
          <w:rFonts w:cs="Arial"/>
          <w:bCs/>
          <w:sz w:val="22"/>
          <w:szCs w:val="22"/>
        </w:rPr>
        <w:t xml:space="preserve">a reclamante ha señalado que </w:t>
      </w:r>
      <w:r w:rsidR="00BB6C2B" w:rsidRPr="006E6EA6">
        <w:rPr>
          <w:rFonts w:cs="Arial"/>
          <w:bCs/>
          <w:sz w:val="22"/>
          <w:szCs w:val="22"/>
        </w:rPr>
        <w:t xml:space="preserve">la República del Ecuador habría incumplido </w:t>
      </w:r>
      <w:r w:rsidR="005E16A9" w:rsidRPr="006E6EA6">
        <w:rPr>
          <w:rFonts w:cs="Arial"/>
          <w:sz w:val="22"/>
          <w:szCs w:val="22"/>
          <w:shd w:val="clear" w:color="auto" w:fill="FFFFFF"/>
        </w:rPr>
        <w:t>el artículo</w:t>
      </w:r>
      <w:r w:rsidRPr="006E6EA6">
        <w:rPr>
          <w:rFonts w:cs="Arial"/>
          <w:sz w:val="22"/>
          <w:szCs w:val="22"/>
          <w:shd w:val="clear" w:color="auto" w:fill="FFFFFF"/>
        </w:rPr>
        <w:t xml:space="preserve"> 35 </w:t>
      </w:r>
      <w:r w:rsidRPr="006E6EA6">
        <w:rPr>
          <w:rFonts w:cs="Arial"/>
          <w:sz w:val="22"/>
          <w:szCs w:val="22"/>
        </w:rPr>
        <w:t xml:space="preserve">del TCTJCA y </w:t>
      </w:r>
      <w:r w:rsidR="005E16A9" w:rsidRPr="006E6EA6">
        <w:rPr>
          <w:rFonts w:cs="Arial"/>
          <w:sz w:val="22"/>
          <w:szCs w:val="22"/>
        </w:rPr>
        <w:t>el artículo</w:t>
      </w:r>
      <w:r w:rsidRPr="006E6EA6">
        <w:rPr>
          <w:rFonts w:cs="Arial"/>
          <w:sz w:val="22"/>
          <w:szCs w:val="22"/>
        </w:rPr>
        <w:t xml:space="preserve"> 127 de la Decisión 500</w:t>
      </w:r>
      <w:r w:rsidR="00A45F1A" w:rsidRPr="006E6EA6">
        <w:rPr>
          <w:rFonts w:cs="Arial"/>
          <w:sz w:val="22"/>
          <w:szCs w:val="22"/>
        </w:rPr>
        <w:t>,</w:t>
      </w:r>
      <w:r w:rsidR="00BB6C2B" w:rsidRPr="006E6EA6">
        <w:rPr>
          <w:rFonts w:cs="Arial"/>
          <w:bCs/>
          <w:sz w:val="22"/>
          <w:szCs w:val="22"/>
        </w:rPr>
        <w:t xml:space="preserve"> mediante la expedición de la </w:t>
      </w:r>
      <w:r w:rsidR="00BB6C2B" w:rsidRPr="006E6EA6">
        <w:rPr>
          <w:rFonts w:cs="Arial"/>
          <w:sz w:val="22"/>
          <w:szCs w:val="22"/>
          <w:lang w:val="es-ES"/>
        </w:rPr>
        <w:t>sentencia del 21 de octubre de 2014</w:t>
      </w:r>
      <w:r w:rsidR="00A45F1A" w:rsidRPr="006E6EA6">
        <w:rPr>
          <w:rFonts w:cs="Arial"/>
          <w:bCs/>
          <w:snapToGrid w:val="0"/>
          <w:sz w:val="22"/>
          <w:szCs w:val="22"/>
        </w:rPr>
        <w:t xml:space="preserve"> y la providencia de 16 de enero de 2017</w:t>
      </w:r>
      <w:r w:rsidR="00BB6C2B" w:rsidRPr="006E6EA6">
        <w:rPr>
          <w:rFonts w:cs="Arial"/>
          <w:sz w:val="22"/>
          <w:szCs w:val="22"/>
          <w:lang w:val="es-ES"/>
        </w:rPr>
        <w:t xml:space="preserve"> emitida</w:t>
      </w:r>
      <w:r w:rsidR="00A45F1A" w:rsidRPr="006E6EA6">
        <w:rPr>
          <w:rFonts w:cs="Arial"/>
          <w:sz w:val="22"/>
          <w:szCs w:val="22"/>
          <w:lang w:val="es-ES"/>
        </w:rPr>
        <w:t>s</w:t>
      </w:r>
      <w:r w:rsidR="00BB6C2B" w:rsidRPr="006E6EA6">
        <w:rPr>
          <w:rFonts w:cs="Arial"/>
          <w:sz w:val="22"/>
          <w:szCs w:val="22"/>
          <w:lang w:val="es-ES"/>
        </w:rPr>
        <w:t xml:space="preserve"> dentro del proceso No. 2013-4415</w:t>
      </w:r>
      <w:r w:rsidR="00B10EDD" w:rsidRPr="006E6EA6">
        <w:rPr>
          <w:rFonts w:cs="Arial"/>
          <w:sz w:val="22"/>
          <w:szCs w:val="22"/>
          <w:lang w:val="es-ES"/>
        </w:rPr>
        <w:t>,</w:t>
      </w:r>
      <w:r w:rsidR="00BB6C2B" w:rsidRPr="006E6EA6">
        <w:rPr>
          <w:rFonts w:cs="Arial"/>
          <w:sz w:val="22"/>
          <w:szCs w:val="22"/>
          <w:lang w:val="es-ES"/>
        </w:rPr>
        <w:t xml:space="preserve"> por el Tribunal Distrital de lo Contencioso Administrativo No. 01 del Ecuador, </w:t>
      </w:r>
      <w:r w:rsidR="00B10EDD" w:rsidRPr="006E6EA6">
        <w:rPr>
          <w:rFonts w:cs="Arial"/>
          <w:sz w:val="22"/>
          <w:szCs w:val="22"/>
          <w:lang w:val="es-ES"/>
        </w:rPr>
        <w:t xml:space="preserve"> a al no acatar </w:t>
      </w:r>
      <w:r w:rsidR="00BB6C2B" w:rsidRPr="006E6EA6">
        <w:rPr>
          <w:rFonts w:cs="Arial"/>
          <w:sz w:val="22"/>
          <w:szCs w:val="22"/>
          <w:lang w:val="es-ES"/>
        </w:rPr>
        <w:t>la obligación que tendría el referido Tribunal de aplicar de forma obligatoria el contenido de la interpretación prejudicial No. 04-IP-2013, emitida por el TJCA, en lo relativo a los elementos que se deben tomar en cuenta por parte del Juez para la liquidación de los daños y perjuicios ocasionados. Ello, en virtud a que, a criterio de la reclamada:</w:t>
      </w:r>
    </w:p>
    <w:p w:rsidR="00BB6C2B" w:rsidRPr="006E6EA6" w:rsidRDefault="00BB6C2B" w:rsidP="00981727">
      <w:pPr>
        <w:widowControl/>
        <w:adjustRightInd/>
        <w:spacing w:line="240" w:lineRule="auto"/>
        <w:textAlignment w:val="auto"/>
        <w:rPr>
          <w:rFonts w:cs="Arial"/>
          <w:i/>
          <w:sz w:val="22"/>
          <w:szCs w:val="22"/>
        </w:rPr>
      </w:pPr>
    </w:p>
    <w:p w:rsidR="00BB6C2B" w:rsidRPr="006E6EA6" w:rsidRDefault="00BB6C2B" w:rsidP="00BE2FC9">
      <w:pPr>
        <w:pStyle w:val="Prrafodelista"/>
        <w:widowControl/>
        <w:numPr>
          <w:ilvl w:val="0"/>
          <w:numId w:val="21"/>
        </w:numPr>
        <w:adjustRightInd/>
        <w:spacing w:line="240" w:lineRule="auto"/>
        <w:ind w:left="567" w:hanging="141"/>
        <w:textAlignment w:val="auto"/>
        <w:rPr>
          <w:rFonts w:cs="Arial"/>
          <w:sz w:val="22"/>
          <w:szCs w:val="22"/>
        </w:rPr>
      </w:pPr>
      <w:r w:rsidRPr="006E6EA6">
        <w:rPr>
          <w:rFonts w:cs="Arial"/>
          <w:sz w:val="22"/>
          <w:szCs w:val="22"/>
        </w:rPr>
        <w:t>El procedimiento para determinar el monto establecido como indemnización de daños y perjuicios habría estado alejado de los parámetros establecidos por el TJCA.</w:t>
      </w:r>
    </w:p>
    <w:p w:rsidR="00BB6C2B" w:rsidRPr="006E6EA6" w:rsidRDefault="00BB6C2B" w:rsidP="00BE2FC9">
      <w:pPr>
        <w:pStyle w:val="Prrafodelista"/>
        <w:widowControl/>
        <w:adjustRightInd/>
        <w:spacing w:line="240" w:lineRule="auto"/>
        <w:ind w:left="567" w:hanging="141"/>
        <w:textAlignment w:val="auto"/>
        <w:rPr>
          <w:rFonts w:cs="Arial"/>
          <w:sz w:val="22"/>
          <w:szCs w:val="22"/>
        </w:rPr>
      </w:pPr>
    </w:p>
    <w:p w:rsidR="00BB6C2B" w:rsidRPr="006E6EA6" w:rsidRDefault="00BB6C2B" w:rsidP="00BE2FC9">
      <w:pPr>
        <w:pStyle w:val="Prrafodelista"/>
        <w:widowControl/>
        <w:numPr>
          <w:ilvl w:val="0"/>
          <w:numId w:val="21"/>
        </w:numPr>
        <w:adjustRightInd/>
        <w:spacing w:line="240" w:lineRule="auto"/>
        <w:ind w:left="567" w:hanging="141"/>
        <w:textAlignment w:val="auto"/>
        <w:rPr>
          <w:rFonts w:cs="Arial"/>
          <w:sz w:val="22"/>
          <w:szCs w:val="22"/>
        </w:rPr>
      </w:pPr>
      <w:r w:rsidRPr="006E6EA6">
        <w:rPr>
          <w:rFonts w:cs="Arial"/>
          <w:sz w:val="22"/>
          <w:szCs w:val="22"/>
        </w:rPr>
        <w:t>El juez consultante no habría dado oportunidad a la reclamante para que aporte información sobre la cuantía de los daños y perjuicios ocasionados.</w:t>
      </w:r>
    </w:p>
    <w:p w:rsidR="005E0E2A" w:rsidRPr="006E6EA6" w:rsidRDefault="005E0E2A" w:rsidP="00981727">
      <w:pPr>
        <w:widowControl/>
        <w:adjustRightInd/>
        <w:spacing w:line="240" w:lineRule="auto"/>
        <w:textAlignment w:val="auto"/>
        <w:rPr>
          <w:rFonts w:cs="Arial"/>
          <w:i/>
          <w:sz w:val="22"/>
          <w:szCs w:val="22"/>
        </w:rPr>
      </w:pPr>
    </w:p>
    <w:p w:rsidR="00986E2E" w:rsidRPr="006E6EA6" w:rsidRDefault="00986E2E" w:rsidP="00BE2FC9">
      <w:pPr>
        <w:pStyle w:val="Prrafodelista"/>
        <w:widowControl/>
        <w:numPr>
          <w:ilvl w:val="0"/>
          <w:numId w:val="1"/>
        </w:numPr>
        <w:adjustRightInd/>
        <w:spacing w:line="240" w:lineRule="auto"/>
        <w:ind w:left="426" w:hanging="426"/>
        <w:contextualSpacing w:val="0"/>
        <w:textAlignment w:val="auto"/>
        <w:rPr>
          <w:rFonts w:cs="Arial"/>
          <w:i/>
          <w:sz w:val="22"/>
          <w:szCs w:val="22"/>
        </w:rPr>
      </w:pPr>
      <w:r w:rsidRPr="006E6EA6">
        <w:rPr>
          <w:rFonts w:cs="Arial"/>
          <w:sz w:val="22"/>
          <w:szCs w:val="22"/>
        </w:rPr>
        <w:t>Sobre el particular, en las siguientes l</w:t>
      </w:r>
      <w:r w:rsidR="00B54CD6" w:rsidRPr="006E6EA6">
        <w:rPr>
          <w:rFonts w:cs="Arial"/>
          <w:sz w:val="22"/>
          <w:szCs w:val="22"/>
        </w:rPr>
        <w:t xml:space="preserve">íneas se analizan </w:t>
      </w:r>
      <w:r w:rsidR="00E70B09" w:rsidRPr="006E6EA6">
        <w:rPr>
          <w:rFonts w:cs="Arial"/>
          <w:sz w:val="22"/>
          <w:szCs w:val="22"/>
        </w:rPr>
        <w:t>dichos aspectos:</w:t>
      </w:r>
    </w:p>
    <w:p w:rsidR="00986E2E" w:rsidRPr="006E6EA6" w:rsidRDefault="00986E2E" w:rsidP="00981727">
      <w:pPr>
        <w:widowControl/>
        <w:adjustRightInd/>
        <w:spacing w:line="240" w:lineRule="auto"/>
        <w:textAlignment w:val="auto"/>
        <w:rPr>
          <w:rFonts w:cs="Arial"/>
          <w:i/>
          <w:sz w:val="22"/>
          <w:szCs w:val="22"/>
        </w:rPr>
      </w:pPr>
    </w:p>
    <w:p w:rsidR="00B54CD6" w:rsidRPr="006E6EA6" w:rsidRDefault="003F0AEB" w:rsidP="00BE2FC9">
      <w:pPr>
        <w:pStyle w:val="Prrafodelista"/>
        <w:widowControl/>
        <w:numPr>
          <w:ilvl w:val="2"/>
          <w:numId w:val="25"/>
        </w:numPr>
        <w:adjustRightInd/>
        <w:spacing w:line="240" w:lineRule="auto"/>
        <w:ind w:left="993" w:hanging="567"/>
        <w:textAlignment w:val="auto"/>
        <w:rPr>
          <w:rFonts w:cs="Arial"/>
          <w:sz w:val="22"/>
          <w:szCs w:val="22"/>
          <w:u w:val="single"/>
        </w:rPr>
      </w:pPr>
      <w:r w:rsidRPr="006E6EA6">
        <w:rPr>
          <w:rFonts w:cs="Arial"/>
          <w:sz w:val="22"/>
          <w:szCs w:val="22"/>
          <w:u w:val="single"/>
        </w:rPr>
        <w:t>Respecto a que e</w:t>
      </w:r>
      <w:r w:rsidR="00B54CD6" w:rsidRPr="006E6EA6">
        <w:rPr>
          <w:rFonts w:cs="Arial"/>
          <w:sz w:val="22"/>
          <w:szCs w:val="22"/>
          <w:u w:val="single"/>
        </w:rPr>
        <w:t>l procedimiento para determinar el monto establecido como indemnización de daños y perjuicios habría estado alejado de los pará</w:t>
      </w:r>
      <w:r w:rsidRPr="006E6EA6">
        <w:rPr>
          <w:rFonts w:cs="Arial"/>
          <w:sz w:val="22"/>
          <w:szCs w:val="22"/>
          <w:u w:val="single"/>
        </w:rPr>
        <w:t>metros establecidos por el TJCA</w:t>
      </w:r>
      <w:r w:rsidR="006210F1" w:rsidRPr="006E6EA6">
        <w:rPr>
          <w:rFonts w:cs="Arial"/>
          <w:sz w:val="22"/>
          <w:szCs w:val="22"/>
        </w:rPr>
        <w:t>:</w:t>
      </w:r>
    </w:p>
    <w:p w:rsidR="00CE52E8" w:rsidRPr="006E6EA6" w:rsidRDefault="00CE52E8" w:rsidP="00981727">
      <w:pPr>
        <w:widowControl/>
        <w:adjustRightInd/>
        <w:spacing w:line="240" w:lineRule="auto"/>
        <w:textAlignment w:val="auto"/>
        <w:rPr>
          <w:rFonts w:cs="Arial"/>
          <w:i/>
          <w:sz w:val="22"/>
          <w:szCs w:val="22"/>
        </w:rPr>
      </w:pPr>
    </w:p>
    <w:p w:rsidR="00B54CD6" w:rsidRPr="006E6EA6" w:rsidRDefault="00995D98" w:rsidP="00981727">
      <w:pPr>
        <w:widowControl/>
        <w:adjustRightInd/>
        <w:spacing w:line="240" w:lineRule="auto"/>
        <w:ind w:firstLine="567"/>
        <w:textAlignment w:val="auto"/>
        <w:rPr>
          <w:rFonts w:cs="Arial"/>
          <w:bCs/>
          <w:i/>
          <w:sz w:val="22"/>
          <w:szCs w:val="22"/>
          <w:u w:val="single"/>
        </w:rPr>
      </w:pPr>
      <w:r w:rsidRPr="006E6EA6">
        <w:rPr>
          <w:rFonts w:cs="Arial"/>
          <w:bCs/>
          <w:i/>
          <w:sz w:val="22"/>
          <w:szCs w:val="22"/>
          <w:u w:val="single"/>
        </w:rPr>
        <w:t>Alegatos de la reclamante</w:t>
      </w:r>
    </w:p>
    <w:p w:rsidR="00B54CD6" w:rsidRPr="006E6EA6" w:rsidRDefault="00B54CD6" w:rsidP="00981727">
      <w:pPr>
        <w:pStyle w:val="Prrafodelista"/>
        <w:widowControl/>
        <w:adjustRightInd/>
        <w:spacing w:line="240" w:lineRule="auto"/>
        <w:ind w:left="0"/>
        <w:contextualSpacing w:val="0"/>
        <w:textAlignment w:val="auto"/>
        <w:rPr>
          <w:rFonts w:cs="Arial"/>
          <w:i/>
          <w:sz w:val="22"/>
          <w:szCs w:val="22"/>
        </w:rPr>
      </w:pPr>
    </w:p>
    <w:p w:rsidR="00995D98" w:rsidRPr="006E6EA6" w:rsidRDefault="00995D98" w:rsidP="00BE2FC9">
      <w:pPr>
        <w:pStyle w:val="Prrafodelista"/>
        <w:widowControl/>
        <w:numPr>
          <w:ilvl w:val="0"/>
          <w:numId w:val="1"/>
        </w:numPr>
        <w:adjustRightInd/>
        <w:spacing w:line="240" w:lineRule="auto"/>
        <w:ind w:left="426" w:hanging="426"/>
        <w:contextualSpacing w:val="0"/>
        <w:textAlignment w:val="auto"/>
        <w:rPr>
          <w:rFonts w:cs="Arial"/>
          <w:i/>
          <w:sz w:val="22"/>
          <w:szCs w:val="22"/>
        </w:rPr>
      </w:pPr>
      <w:r w:rsidRPr="006E6EA6">
        <w:rPr>
          <w:rFonts w:cs="Arial"/>
          <w:sz w:val="22"/>
          <w:szCs w:val="22"/>
          <w:lang w:val="es-ES"/>
        </w:rPr>
        <w:t>La reclamante</w:t>
      </w:r>
      <w:r w:rsidR="00BB6C2B" w:rsidRPr="006E6EA6">
        <w:rPr>
          <w:rFonts w:cs="Arial"/>
          <w:sz w:val="22"/>
          <w:szCs w:val="22"/>
          <w:lang w:val="es-ES"/>
        </w:rPr>
        <w:t xml:space="preserve"> manifiesta que el procedimiento para determinar el monto establecido como daños y perjuicios habría estado alejado de los parámetros establecidos por el TJCA en su interpretación prejudicial</w:t>
      </w:r>
      <w:r w:rsidRPr="006E6EA6">
        <w:rPr>
          <w:rFonts w:cs="Arial"/>
          <w:sz w:val="22"/>
          <w:szCs w:val="22"/>
          <w:lang w:val="es-ES"/>
        </w:rPr>
        <w:t xml:space="preserve"> (Proceso 04-IP-2013</w:t>
      </w:r>
      <w:r w:rsidR="00765068" w:rsidRPr="006E6EA6">
        <w:rPr>
          <w:rFonts w:cs="Arial"/>
          <w:sz w:val="22"/>
          <w:szCs w:val="22"/>
          <w:lang w:val="es-ES"/>
        </w:rPr>
        <w:t>).</w:t>
      </w:r>
      <w:r w:rsidR="00BB6C2B" w:rsidRPr="006E6EA6">
        <w:rPr>
          <w:rFonts w:cs="Arial"/>
          <w:sz w:val="22"/>
          <w:szCs w:val="22"/>
          <w:lang w:val="es-ES"/>
        </w:rPr>
        <w:t xml:space="preserve"> </w:t>
      </w:r>
      <w:r w:rsidR="00765068" w:rsidRPr="006E6EA6">
        <w:rPr>
          <w:rFonts w:cs="Arial"/>
          <w:sz w:val="22"/>
          <w:szCs w:val="22"/>
          <w:lang w:val="es-ES"/>
        </w:rPr>
        <w:t>Al respecto</w:t>
      </w:r>
      <w:r w:rsidRPr="006E6EA6">
        <w:rPr>
          <w:rFonts w:cs="Arial"/>
          <w:sz w:val="22"/>
          <w:szCs w:val="22"/>
          <w:lang w:val="es-ES"/>
        </w:rPr>
        <w:t xml:space="preserve">, </w:t>
      </w:r>
      <w:r w:rsidR="00281FC2" w:rsidRPr="006E6EA6">
        <w:rPr>
          <w:rFonts w:cs="Arial"/>
          <w:sz w:val="22"/>
          <w:szCs w:val="22"/>
          <w:lang w:val="es-ES"/>
        </w:rPr>
        <w:t xml:space="preserve">a efectos de sustentar dicho alegato, </w:t>
      </w:r>
      <w:r w:rsidRPr="006E6EA6">
        <w:rPr>
          <w:rFonts w:cs="Arial"/>
          <w:sz w:val="22"/>
          <w:szCs w:val="22"/>
          <w:lang w:val="es-ES"/>
        </w:rPr>
        <w:t>la reclamante citó</w:t>
      </w:r>
      <w:r w:rsidR="00A76226" w:rsidRPr="006E6EA6">
        <w:rPr>
          <w:rFonts w:cs="Arial"/>
          <w:sz w:val="22"/>
          <w:szCs w:val="22"/>
          <w:lang w:val="es-ES"/>
        </w:rPr>
        <w:t>, en su escrito de reclamo,</w:t>
      </w:r>
      <w:r w:rsidRPr="006E6EA6">
        <w:rPr>
          <w:rFonts w:cs="Arial"/>
          <w:sz w:val="22"/>
          <w:szCs w:val="22"/>
          <w:lang w:val="es-ES"/>
        </w:rPr>
        <w:t xml:space="preserve"> </w:t>
      </w:r>
      <w:r w:rsidR="00392131" w:rsidRPr="006E6EA6">
        <w:rPr>
          <w:rFonts w:cs="Arial"/>
          <w:sz w:val="22"/>
          <w:szCs w:val="22"/>
          <w:lang w:val="es-ES"/>
        </w:rPr>
        <w:t>el texto del</w:t>
      </w:r>
      <w:r w:rsidR="00A76226" w:rsidRPr="006E6EA6">
        <w:rPr>
          <w:rFonts w:cs="Arial"/>
          <w:sz w:val="22"/>
          <w:szCs w:val="22"/>
          <w:lang w:val="es-ES"/>
        </w:rPr>
        <w:t xml:space="preserve"> acápite “La indemnización de los daños y perjuicios” de</w:t>
      </w:r>
      <w:r w:rsidRPr="006E6EA6">
        <w:rPr>
          <w:rFonts w:cs="Arial"/>
          <w:sz w:val="22"/>
          <w:szCs w:val="22"/>
          <w:lang w:val="es-ES"/>
        </w:rPr>
        <w:t xml:space="preserve"> la Interpretación Prejudicial 04-IP-2013</w:t>
      </w:r>
      <w:r w:rsidR="00D1757D" w:rsidRPr="006E6EA6">
        <w:rPr>
          <w:rStyle w:val="Refdenotaalpie"/>
          <w:rFonts w:cs="Arial"/>
          <w:sz w:val="22"/>
          <w:szCs w:val="22"/>
          <w:lang w:val="es-ES"/>
        </w:rPr>
        <w:footnoteReference w:id="21"/>
      </w:r>
      <w:r w:rsidRPr="006E6EA6">
        <w:rPr>
          <w:rFonts w:cs="Arial"/>
          <w:sz w:val="22"/>
          <w:szCs w:val="22"/>
          <w:lang w:val="es-ES"/>
        </w:rPr>
        <w:t>:</w:t>
      </w:r>
    </w:p>
    <w:p w:rsidR="00995D98" w:rsidRPr="006E6EA6" w:rsidRDefault="00995D98" w:rsidP="00981727">
      <w:pPr>
        <w:pStyle w:val="Prrafodelista"/>
        <w:spacing w:line="240" w:lineRule="auto"/>
        <w:rPr>
          <w:rFonts w:cs="Arial"/>
          <w:sz w:val="22"/>
          <w:szCs w:val="22"/>
          <w:lang w:val="es-ES"/>
        </w:rPr>
      </w:pPr>
    </w:p>
    <w:p w:rsidR="00995D98" w:rsidRPr="006E6EA6" w:rsidRDefault="00995D98" w:rsidP="00BE2FC9">
      <w:pPr>
        <w:widowControl/>
        <w:adjustRightInd/>
        <w:spacing w:line="240" w:lineRule="auto"/>
        <w:ind w:left="851"/>
        <w:textAlignment w:val="auto"/>
        <w:rPr>
          <w:rFonts w:cs="Arial"/>
          <w:i/>
          <w:sz w:val="22"/>
          <w:szCs w:val="22"/>
        </w:rPr>
      </w:pPr>
      <w:r w:rsidRPr="006E6EA6">
        <w:rPr>
          <w:rFonts w:cs="Arial"/>
          <w:i/>
          <w:sz w:val="22"/>
          <w:szCs w:val="22"/>
        </w:rPr>
        <w:t>“El mencionado artículo 243 establece los criterios que deberán tomarse en cuenta para el cálculo de la indemnización de los daños y perjuicios sufridos, cuya existencia haya sido oportunamente probada en el curso del proceso por el actor. Éste deberá aportar igualmente la cuantía de los daños y perjuicios en referencia o, al menos, las bases para fijarla.</w:t>
      </w:r>
    </w:p>
    <w:p w:rsidR="00995D98" w:rsidRPr="006E6EA6" w:rsidRDefault="00995D98" w:rsidP="00BE2FC9">
      <w:pPr>
        <w:widowControl/>
        <w:adjustRightInd/>
        <w:spacing w:line="240" w:lineRule="auto"/>
        <w:ind w:left="851"/>
        <w:textAlignment w:val="auto"/>
        <w:rPr>
          <w:rFonts w:cs="Arial"/>
          <w:i/>
          <w:sz w:val="22"/>
          <w:szCs w:val="22"/>
        </w:rPr>
      </w:pPr>
    </w:p>
    <w:p w:rsidR="00995D98" w:rsidRPr="006E6EA6" w:rsidRDefault="00995D98" w:rsidP="00BE2FC9">
      <w:pPr>
        <w:widowControl/>
        <w:adjustRightInd/>
        <w:spacing w:line="240" w:lineRule="auto"/>
        <w:ind w:left="851"/>
        <w:textAlignment w:val="auto"/>
        <w:rPr>
          <w:rFonts w:cs="Arial"/>
          <w:i/>
          <w:sz w:val="22"/>
          <w:szCs w:val="22"/>
        </w:rPr>
      </w:pPr>
      <w:r w:rsidRPr="006E6EA6">
        <w:rPr>
          <w:rFonts w:cs="Arial"/>
          <w:i/>
          <w:sz w:val="22"/>
          <w:szCs w:val="22"/>
        </w:rPr>
        <w:t xml:space="preserve">Se entiende que será indemnizable el daño que, sufrido por el titular, se encuentre causalmente enlazado con la conducta del infractor. Por tanto, será indemnizable el daño emergente, es decir, la pérdida patrimonial sufrida efectivamente por el titular como consecuencia de la vulneración de su derecho. La pérdida en referencia deberá ser estimada tomando en cuenta, en lo </w:t>
      </w:r>
      <w:r w:rsidRPr="006E6EA6">
        <w:rPr>
          <w:rFonts w:cs="Arial"/>
          <w:i/>
          <w:sz w:val="22"/>
          <w:szCs w:val="22"/>
        </w:rPr>
        <w:lastRenderedPageBreak/>
        <w:t>principal, el grado de comercialización de los productos amparados por el signo que no ha respetado la exclusividad de la marca. En todo caso, si el actor ha demandado también la adjudicación en propiedad de los productos resultantes de la infracción, así como de los medios y materiales que hubiesen sido utilizados predominantemente para cometerla, deberá imputarse el valor de tales bienes al monto de la indemnización que se acuerde (artículo 241, literal e).</w:t>
      </w:r>
    </w:p>
    <w:p w:rsidR="00995D98" w:rsidRPr="006E6EA6" w:rsidRDefault="00995D98" w:rsidP="00981727">
      <w:pPr>
        <w:widowControl/>
        <w:adjustRightInd/>
        <w:spacing w:line="240" w:lineRule="auto"/>
        <w:ind w:left="1134"/>
        <w:textAlignment w:val="auto"/>
        <w:rPr>
          <w:rFonts w:cs="Arial"/>
          <w:i/>
          <w:sz w:val="22"/>
          <w:szCs w:val="22"/>
        </w:rPr>
      </w:pPr>
    </w:p>
    <w:p w:rsidR="00995D98" w:rsidRPr="006E6EA6" w:rsidRDefault="00995D98" w:rsidP="00BE2FC9">
      <w:pPr>
        <w:widowControl/>
        <w:adjustRightInd/>
        <w:spacing w:line="240" w:lineRule="auto"/>
        <w:ind w:left="851"/>
        <w:textAlignment w:val="auto"/>
        <w:rPr>
          <w:rFonts w:cs="Arial"/>
          <w:i/>
          <w:sz w:val="22"/>
          <w:szCs w:val="22"/>
        </w:rPr>
      </w:pPr>
      <w:r w:rsidRPr="006E6EA6">
        <w:rPr>
          <w:rFonts w:cs="Arial"/>
          <w:i/>
          <w:sz w:val="22"/>
          <w:szCs w:val="22"/>
        </w:rPr>
        <w:t>Será igualmente indemnizable el lucro cesante, es decir, las ganancias que el actor habría obtenido mediante la comercialización normal de sus productos, de no haber tenido lugar la competencia desleal del infractor. En este caso, las ganancias a considerar serán las que habrían sido obtenidas en el período que medie entre la ocurrencia efectiva del daño y el pago de la indemnización.</w:t>
      </w:r>
    </w:p>
    <w:p w:rsidR="00995D98" w:rsidRPr="006E6EA6" w:rsidRDefault="00995D98" w:rsidP="00BE2FC9">
      <w:pPr>
        <w:widowControl/>
        <w:adjustRightInd/>
        <w:spacing w:line="240" w:lineRule="auto"/>
        <w:ind w:left="851"/>
        <w:textAlignment w:val="auto"/>
        <w:rPr>
          <w:rFonts w:cs="Arial"/>
          <w:i/>
          <w:sz w:val="22"/>
          <w:szCs w:val="22"/>
        </w:rPr>
      </w:pPr>
    </w:p>
    <w:p w:rsidR="00995D98" w:rsidRPr="006E6EA6" w:rsidRDefault="00995D98" w:rsidP="00BE2FC9">
      <w:pPr>
        <w:widowControl/>
        <w:adjustRightInd/>
        <w:spacing w:line="240" w:lineRule="auto"/>
        <w:ind w:left="851"/>
        <w:textAlignment w:val="auto"/>
        <w:rPr>
          <w:rFonts w:cs="Arial"/>
          <w:i/>
          <w:sz w:val="22"/>
          <w:szCs w:val="22"/>
        </w:rPr>
      </w:pPr>
      <w:r w:rsidRPr="006E6EA6">
        <w:rPr>
          <w:rFonts w:cs="Arial"/>
          <w:i/>
          <w:sz w:val="22"/>
          <w:szCs w:val="22"/>
        </w:rPr>
        <w:t>La norma autoriza, además, que se adopten otros tipos de criterios como el monto del daño indemnizable y los beneficios obtenidos por el infractor como consecuencia de sus actos de competencia desleal, y el precio que habría tenido que pagar por la concesión a su favor de una licencia contractual, teniendo en cuenta el valor del derecho infringido y las licencias contractuales que ya se hubiera concedido. “En estos eventos, el juez consultante tendrá que tomar en cuenta el período de vigencia del derecho de explotación, el momento de inicio de la infracción y el número y clase de las licencias concedidas”. (Proceso 116-IP-2004. Caso: acción por presunta infracción del derecho sobre la marca “CALCIORAL”, publicado en la Gaceta Oficial Nº 1172, de 7 de marzo de 2005).”</w:t>
      </w:r>
    </w:p>
    <w:p w:rsidR="00995D98" w:rsidRPr="006E6EA6" w:rsidRDefault="00995D98" w:rsidP="00981727">
      <w:pPr>
        <w:pStyle w:val="Prrafodelista"/>
        <w:widowControl/>
        <w:adjustRightInd/>
        <w:spacing w:line="240" w:lineRule="auto"/>
        <w:ind w:left="-12"/>
        <w:contextualSpacing w:val="0"/>
        <w:textAlignment w:val="auto"/>
        <w:rPr>
          <w:rFonts w:cs="Arial"/>
          <w:sz w:val="22"/>
          <w:szCs w:val="22"/>
        </w:rPr>
      </w:pPr>
    </w:p>
    <w:p w:rsidR="00B54CD6" w:rsidRPr="006E6EA6" w:rsidRDefault="00557793" w:rsidP="00BE2FC9">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rPr>
        <w:t>R</w:t>
      </w:r>
      <w:r w:rsidR="00B54CD6" w:rsidRPr="006E6EA6">
        <w:rPr>
          <w:rFonts w:cs="Arial"/>
          <w:sz w:val="22"/>
          <w:szCs w:val="22"/>
        </w:rPr>
        <w:t xml:space="preserve">especto a los elementos </w:t>
      </w:r>
      <w:r w:rsidRPr="006E6EA6">
        <w:rPr>
          <w:rFonts w:cs="Arial"/>
          <w:sz w:val="22"/>
          <w:szCs w:val="22"/>
        </w:rPr>
        <w:t xml:space="preserve">específicos </w:t>
      </w:r>
      <w:r w:rsidR="00B54CD6" w:rsidRPr="006E6EA6">
        <w:rPr>
          <w:rFonts w:cs="Arial"/>
          <w:sz w:val="22"/>
          <w:szCs w:val="22"/>
        </w:rPr>
        <w:t xml:space="preserve">de la Interpretación Prejudicial que el juez nacional no habría tomado en cuenta en la sentencia del 21 de octubre </w:t>
      </w:r>
      <w:r w:rsidR="0073033B" w:rsidRPr="006E6EA6">
        <w:rPr>
          <w:rFonts w:cs="Arial"/>
          <w:sz w:val="22"/>
          <w:szCs w:val="22"/>
        </w:rPr>
        <w:t>de 2014, la reclamante precisó</w:t>
      </w:r>
      <w:r w:rsidR="009250BC" w:rsidRPr="006E6EA6">
        <w:rPr>
          <w:rFonts w:cs="Arial"/>
          <w:sz w:val="22"/>
          <w:szCs w:val="22"/>
        </w:rPr>
        <w:t>, en su escrito de subsanación,</w:t>
      </w:r>
      <w:r w:rsidR="0073033B" w:rsidRPr="006E6EA6">
        <w:rPr>
          <w:rFonts w:cs="Arial"/>
          <w:sz w:val="22"/>
          <w:szCs w:val="22"/>
        </w:rPr>
        <w:t xml:space="preserve"> </w:t>
      </w:r>
      <w:r w:rsidR="00987BD8" w:rsidRPr="006E6EA6">
        <w:rPr>
          <w:rFonts w:cs="Arial"/>
          <w:sz w:val="22"/>
          <w:szCs w:val="22"/>
        </w:rPr>
        <w:t>lo siguiente:</w:t>
      </w:r>
    </w:p>
    <w:p w:rsidR="00987BD8" w:rsidRPr="006E6EA6" w:rsidRDefault="00987BD8" w:rsidP="00981727">
      <w:pPr>
        <w:widowControl/>
        <w:adjustRightInd/>
        <w:spacing w:line="240" w:lineRule="auto"/>
        <w:textAlignment w:val="auto"/>
        <w:rPr>
          <w:rFonts w:cs="Arial"/>
          <w:sz w:val="22"/>
          <w:szCs w:val="22"/>
        </w:rPr>
      </w:pPr>
    </w:p>
    <w:p w:rsidR="00B54CD6" w:rsidRPr="006E6EA6" w:rsidRDefault="00B54CD6" w:rsidP="00BE2FC9">
      <w:pPr>
        <w:pStyle w:val="Sinespaciado"/>
        <w:ind w:left="851" w:right="-2"/>
        <w:jc w:val="both"/>
        <w:rPr>
          <w:rFonts w:ascii="Arial" w:hAnsi="Arial" w:cs="Arial"/>
        </w:rPr>
      </w:pPr>
      <w:r w:rsidRPr="006E6EA6">
        <w:rPr>
          <w:rFonts w:ascii="Arial" w:hAnsi="Arial" w:cs="Arial"/>
        </w:rPr>
        <w:t>“</w:t>
      </w:r>
      <w:r w:rsidRPr="006E6EA6">
        <w:rPr>
          <w:rFonts w:ascii="Arial" w:hAnsi="Arial" w:cs="Arial"/>
          <w:i/>
        </w:rPr>
        <w:t xml:space="preserve">Precisando algunos de los elementos de la interpretación prejudicial no tomados en cuenta por el Tribunal Distrital de los Contencioso Administrativo N° 1 de Ecuador, tenemos que no consideró el análisis realizado por el Tribunal Andino sobre el aprovechamiento de la reputación ajena y la dilución de </w:t>
      </w:r>
      <w:r w:rsidR="000B48DF" w:rsidRPr="006E6EA6">
        <w:rPr>
          <w:rFonts w:ascii="Arial" w:hAnsi="Arial" w:cs="Arial"/>
          <w:i/>
        </w:rPr>
        <w:t xml:space="preserve">la marca notoriamente conocida, pues de haberlo hecho no habría emitido un pronunciamiento tan contradictorio como el de negar notoriedad de las marcas del reclamante y aceptar parcialmente la demanda en lo relativo a las pretensiones de competencia desleal y dilución marcaria, aspecto este último propio de los signos notorios. </w:t>
      </w:r>
      <w:r w:rsidRPr="006E6EA6">
        <w:rPr>
          <w:rFonts w:ascii="Arial" w:hAnsi="Arial" w:cs="Arial"/>
          <w:i/>
        </w:rPr>
        <w:t>El juez nacional no tomó en cuenta el análisis de la interpretación prejudicial sobre el riesgo de dilución, evidenciado cuando en la parte considerativa de la sentencia expresa que el infractor ha realizado actos de competencia desleal al haber comercializado un producto que contiene pentaclorofeno</w:t>
      </w:r>
      <w:r w:rsidR="00427F51" w:rsidRPr="006E6EA6">
        <w:rPr>
          <w:rFonts w:ascii="Arial" w:hAnsi="Arial" w:cs="Arial"/>
          <w:i/>
        </w:rPr>
        <w:t>l</w:t>
      </w:r>
      <w:r w:rsidRPr="006E6EA6">
        <w:rPr>
          <w:rFonts w:ascii="Arial" w:hAnsi="Arial" w:cs="Arial"/>
          <w:i/>
        </w:rPr>
        <w:t>, prohibido de importarse y comercializarse en el Ecuado</w:t>
      </w:r>
      <w:r w:rsidR="00427F51" w:rsidRPr="006E6EA6">
        <w:rPr>
          <w:rFonts w:ascii="Arial" w:hAnsi="Arial" w:cs="Arial"/>
          <w:i/>
        </w:rPr>
        <w:t xml:space="preserve">r, utilizando la marca MADEROL sin autorización alguna, ‘diluyendo el valor de dicha marca’; es decir, si hubiera tomado en cuenta el análisis de la interpretación prejudicial, habría conceptualizado claramente la razón de ser de las instituciones de propiedad industrial respecto de las cuales se estaba pronunciando, y que el juez comunitario había explicado, al interpretar las normas comunitarias </w:t>
      </w:r>
      <w:r w:rsidR="000B48DF" w:rsidRPr="006E6EA6">
        <w:rPr>
          <w:rFonts w:ascii="Arial" w:hAnsi="Arial" w:cs="Arial"/>
          <w:i/>
        </w:rPr>
        <w:t>.</w:t>
      </w:r>
      <w:r w:rsidRPr="006E6EA6">
        <w:rPr>
          <w:rFonts w:ascii="Arial" w:hAnsi="Arial" w:cs="Arial"/>
        </w:rPr>
        <w:t>”</w:t>
      </w:r>
      <w:r w:rsidRPr="006E6EA6">
        <w:rPr>
          <w:rStyle w:val="Refdenotaalpie"/>
          <w:rFonts w:ascii="Arial" w:hAnsi="Arial" w:cs="Arial"/>
        </w:rPr>
        <w:footnoteReference w:id="22"/>
      </w:r>
      <w:r w:rsidRPr="006E6EA6">
        <w:rPr>
          <w:rFonts w:ascii="Arial" w:hAnsi="Arial" w:cs="Arial"/>
        </w:rPr>
        <w:t xml:space="preserve"> </w:t>
      </w:r>
    </w:p>
    <w:p w:rsidR="00B54CD6" w:rsidRPr="006E6EA6" w:rsidRDefault="00B54CD6" w:rsidP="00981727">
      <w:pPr>
        <w:pStyle w:val="Prrafodelista"/>
        <w:widowControl/>
        <w:adjustRightInd/>
        <w:spacing w:line="240" w:lineRule="auto"/>
        <w:ind w:left="0"/>
        <w:contextualSpacing w:val="0"/>
        <w:textAlignment w:val="auto"/>
        <w:rPr>
          <w:rFonts w:cs="Arial"/>
          <w:i/>
          <w:sz w:val="22"/>
          <w:szCs w:val="22"/>
        </w:rPr>
      </w:pPr>
    </w:p>
    <w:p w:rsidR="00BB6C2B" w:rsidRPr="006E6EA6" w:rsidRDefault="000B48DF" w:rsidP="00BE2FC9">
      <w:pPr>
        <w:pStyle w:val="Prrafodelista"/>
        <w:widowControl/>
        <w:numPr>
          <w:ilvl w:val="0"/>
          <w:numId w:val="1"/>
        </w:numPr>
        <w:adjustRightInd/>
        <w:spacing w:line="240" w:lineRule="auto"/>
        <w:ind w:left="426" w:hanging="426"/>
        <w:contextualSpacing w:val="0"/>
        <w:textAlignment w:val="auto"/>
        <w:rPr>
          <w:rFonts w:cs="Arial"/>
          <w:i/>
          <w:sz w:val="22"/>
          <w:szCs w:val="22"/>
        </w:rPr>
      </w:pPr>
      <w:r w:rsidRPr="006E6EA6">
        <w:rPr>
          <w:rFonts w:cs="Arial"/>
          <w:sz w:val="22"/>
          <w:szCs w:val="22"/>
          <w:lang w:val="es-ES"/>
        </w:rPr>
        <w:t>Asimismo, e</w:t>
      </w:r>
      <w:r w:rsidR="00BB6C2B" w:rsidRPr="006E6EA6">
        <w:rPr>
          <w:rFonts w:cs="Arial"/>
          <w:sz w:val="22"/>
          <w:szCs w:val="22"/>
          <w:lang w:val="es-ES"/>
        </w:rPr>
        <w:t xml:space="preserve">n su escrito de </w:t>
      </w:r>
      <w:r w:rsidRPr="006E6EA6">
        <w:rPr>
          <w:rFonts w:cs="Arial"/>
          <w:sz w:val="22"/>
          <w:szCs w:val="22"/>
          <w:lang w:val="es-ES"/>
        </w:rPr>
        <w:t>subsanación señaló</w:t>
      </w:r>
      <w:r w:rsidR="00BB6C2B" w:rsidRPr="006E6EA6">
        <w:rPr>
          <w:rFonts w:cs="Arial"/>
          <w:sz w:val="22"/>
          <w:szCs w:val="22"/>
          <w:lang w:val="es-ES"/>
        </w:rPr>
        <w:t xml:space="preserve"> que la norma aplicada </w:t>
      </w:r>
      <w:r w:rsidR="008E7D71" w:rsidRPr="006E6EA6">
        <w:rPr>
          <w:rFonts w:cs="Arial"/>
          <w:sz w:val="22"/>
          <w:szCs w:val="22"/>
          <w:lang w:val="es-ES"/>
        </w:rPr>
        <w:t>por el Tribunal Distrital de lo Con</w:t>
      </w:r>
      <w:r w:rsidR="00557793" w:rsidRPr="006E6EA6">
        <w:rPr>
          <w:rFonts w:cs="Arial"/>
          <w:sz w:val="22"/>
          <w:szCs w:val="22"/>
          <w:lang w:val="es-ES"/>
        </w:rPr>
        <w:t>tencioso Administrativo No. 1</w:t>
      </w:r>
      <w:r w:rsidR="00BB6C2B" w:rsidRPr="006E6EA6">
        <w:rPr>
          <w:rFonts w:cs="Arial"/>
          <w:sz w:val="22"/>
          <w:szCs w:val="22"/>
          <w:lang w:val="es-ES"/>
        </w:rPr>
        <w:t xml:space="preserve"> fue la contenida en el artículo 303 de la Ley de Propiedad Intelectual</w:t>
      </w:r>
      <w:r w:rsidR="00BB6C2B" w:rsidRPr="006E6EA6">
        <w:rPr>
          <w:rStyle w:val="Refdenotaalpie"/>
          <w:rFonts w:cs="Arial"/>
          <w:sz w:val="22"/>
          <w:szCs w:val="22"/>
          <w:lang w:val="es-ES"/>
        </w:rPr>
        <w:footnoteReference w:id="23"/>
      </w:r>
      <w:r w:rsidR="001A019B" w:rsidRPr="006E6EA6">
        <w:rPr>
          <w:rFonts w:cs="Arial"/>
          <w:sz w:val="22"/>
          <w:szCs w:val="22"/>
          <w:lang w:val="es-ES"/>
        </w:rPr>
        <w:t xml:space="preserve"> (norma nacional ecuatoriana)</w:t>
      </w:r>
      <w:r w:rsidR="00BB6C2B" w:rsidRPr="006E6EA6">
        <w:rPr>
          <w:rFonts w:cs="Arial"/>
          <w:sz w:val="22"/>
          <w:szCs w:val="22"/>
          <w:lang w:val="es-ES"/>
        </w:rPr>
        <w:t xml:space="preserve">, </w:t>
      </w:r>
      <w:r w:rsidR="00557793" w:rsidRPr="006E6EA6">
        <w:rPr>
          <w:rFonts w:cs="Arial"/>
          <w:sz w:val="22"/>
          <w:szCs w:val="22"/>
          <w:lang w:val="es-ES"/>
        </w:rPr>
        <w:t>el cual establece</w:t>
      </w:r>
      <w:r w:rsidR="005047B7" w:rsidRPr="006E6EA6">
        <w:rPr>
          <w:rFonts w:cs="Arial"/>
          <w:sz w:val="22"/>
          <w:szCs w:val="22"/>
          <w:lang w:val="es-ES"/>
        </w:rPr>
        <w:t xml:space="preserve"> expresamente</w:t>
      </w:r>
      <w:r w:rsidR="00BB6C2B" w:rsidRPr="006E6EA6">
        <w:rPr>
          <w:rFonts w:cs="Arial"/>
          <w:sz w:val="22"/>
          <w:szCs w:val="22"/>
          <w:lang w:val="es-ES"/>
        </w:rPr>
        <w:t xml:space="preserve"> lo siguiente: </w:t>
      </w:r>
    </w:p>
    <w:p w:rsidR="00384EFD" w:rsidRPr="006E6EA6" w:rsidRDefault="008E7D71" w:rsidP="00BE2FC9">
      <w:pPr>
        <w:pStyle w:val="Prrafodelista"/>
        <w:widowControl/>
        <w:adjustRightInd/>
        <w:spacing w:line="240" w:lineRule="auto"/>
        <w:ind w:left="709"/>
        <w:contextualSpacing w:val="0"/>
        <w:textAlignment w:val="auto"/>
        <w:rPr>
          <w:rFonts w:cs="Arial"/>
          <w:i/>
          <w:sz w:val="22"/>
          <w:szCs w:val="22"/>
          <w:lang w:val="es-ES"/>
        </w:rPr>
      </w:pPr>
      <w:r w:rsidRPr="006E6EA6">
        <w:rPr>
          <w:rFonts w:cs="Arial"/>
          <w:i/>
          <w:sz w:val="22"/>
          <w:szCs w:val="22"/>
          <w:lang w:val="es-ES"/>
        </w:rPr>
        <w:lastRenderedPageBreak/>
        <w:t xml:space="preserve">“Art. 303.- La indemnización de daños y perjuicios comprenderá las pérdidas sufridas y el lucro cesante, causadas por la infracción. La cuantía de los ingresos no obtenidos, se fijará teniendo en cuenta entre otros, los siguientes criterios: </w:t>
      </w:r>
    </w:p>
    <w:p w:rsidR="00384EFD" w:rsidRPr="006E6EA6" w:rsidRDefault="00384EFD" w:rsidP="00981727">
      <w:pPr>
        <w:pStyle w:val="Prrafodelista"/>
        <w:widowControl/>
        <w:adjustRightInd/>
        <w:spacing w:line="240" w:lineRule="auto"/>
        <w:ind w:left="1134"/>
        <w:contextualSpacing w:val="0"/>
        <w:textAlignment w:val="auto"/>
        <w:rPr>
          <w:rFonts w:cs="Arial"/>
          <w:i/>
          <w:sz w:val="22"/>
          <w:szCs w:val="22"/>
          <w:lang w:val="es-ES"/>
        </w:rPr>
      </w:pPr>
    </w:p>
    <w:p w:rsidR="00C66488" w:rsidRPr="006E6EA6" w:rsidRDefault="008E7D71" w:rsidP="00BE2FC9">
      <w:pPr>
        <w:pStyle w:val="Prrafodelista"/>
        <w:widowControl/>
        <w:adjustRightInd/>
        <w:spacing w:line="240" w:lineRule="auto"/>
        <w:ind w:left="993" w:hanging="284"/>
        <w:contextualSpacing w:val="0"/>
        <w:textAlignment w:val="auto"/>
        <w:rPr>
          <w:rFonts w:cs="Arial"/>
          <w:i/>
          <w:sz w:val="22"/>
          <w:szCs w:val="22"/>
          <w:lang w:val="es-ES"/>
        </w:rPr>
      </w:pPr>
      <w:r w:rsidRPr="006E6EA6">
        <w:rPr>
          <w:rFonts w:cs="Arial"/>
          <w:i/>
          <w:sz w:val="22"/>
          <w:szCs w:val="22"/>
          <w:lang w:val="es-ES"/>
        </w:rPr>
        <w:t xml:space="preserve">a) Los beneficios que el titular hubiese obtenido de no haberse producido la </w:t>
      </w:r>
      <w:r w:rsidR="00BE2FC9">
        <w:rPr>
          <w:rFonts w:cs="Arial"/>
          <w:i/>
          <w:sz w:val="22"/>
          <w:szCs w:val="22"/>
          <w:lang w:val="es-ES"/>
        </w:rPr>
        <w:t xml:space="preserve">  </w:t>
      </w:r>
      <w:r w:rsidRPr="006E6EA6">
        <w:rPr>
          <w:rFonts w:cs="Arial"/>
          <w:i/>
          <w:sz w:val="22"/>
          <w:szCs w:val="22"/>
          <w:lang w:val="es-ES"/>
        </w:rPr>
        <w:t xml:space="preserve">violación; </w:t>
      </w:r>
    </w:p>
    <w:p w:rsidR="00384EFD" w:rsidRPr="006E6EA6" w:rsidRDefault="008E7D71" w:rsidP="00BE2FC9">
      <w:pPr>
        <w:pStyle w:val="Prrafodelista"/>
        <w:widowControl/>
        <w:adjustRightInd/>
        <w:spacing w:line="240" w:lineRule="auto"/>
        <w:ind w:left="993" w:hanging="284"/>
        <w:contextualSpacing w:val="0"/>
        <w:textAlignment w:val="auto"/>
        <w:rPr>
          <w:rFonts w:cs="Arial"/>
          <w:i/>
          <w:sz w:val="22"/>
          <w:szCs w:val="22"/>
          <w:lang w:val="es-ES"/>
        </w:rPr>
      </w:pPr>
      <w:r w:rsidRPr="006E6EA6">
        <w:rPr>
          <w:rFonts w:cs="Arial"/>
          <w:i/>
          <w:sz w:val="22"/>
          <w:szCs w:val="22"/>
          <w:lang w:val="es-ES"/>
        </w:rPr>
        <w:t xml:space="preserve">b) </w:t>
      </w:r>
      <w:r w:rsidR="00BE2FC9">
        <w:rPr>
          <w:rFonts w:cs="Arial"/>
          <w:i/>
          <w:sz w:val="22"/>
          <w:szCs w:val="22"/>
          <w:lang w:val="es-ES"/>
        </w:rPr>
        <w:t xml:space="preserve"> </w:t>
      </w:r>
      <w:r w:rsidRPr="006E6EA6">
        <w:rPr>
          <w:rFonts w:cs="Arial"/>
          <w:i/>
          <w:sz w:val="22"/>
          <w:szCs w:val="22"/>
          <w:lang w:val="es-ES"/>
        </w:rPr>
        <w:t xml:space="preserve">Los beneficios obtenidos por el infractor como consecuencia de la violación; </w:t>
      </w:r>
    </w:p>
    <w:p w:rsidR="00384EFD" w:rsidRPr="006E6EA6" w:rsidRDefault="008E7D71" w:rsidP="00BE2FC9">
      <w:pPr>
        <w:pStyle w:val="Prrafodelista"/>
        <w:widowControl/>
        <w:adjustRightInd/>
        <w:spacing w:line="240" w:lineRule="auto"/>
        <w:ind w:left="993" w:hanging="284"/>
        <w:contextualSpacing w:val="0"/>
        <w:textAlignment w:val="auto"/>
        <w:rPr>
          <w:rFonts w:cs="Arial"/>
          <w:i/>
          <w:sz w:val="22"/>
          <w:szCs w:val="22"/>
          <w:lang w:val="es-ES"/>
        </w:rPr>
      </w:pPr>
      <w:r w:rsidRPr="006E6EA6">
        <w:rPr>
          <w:rFonts w:cs="Arial"/>
          <w:i/>
          <w:sz w:val="22"/>
          <w:szCs w:val="22"/>
          <w:lang w:val="es-ES"/>
        </w:rPr>
        <w:t xml:space="preserve">c) El precio, remuneración o regalía que el infractor hubiese tenido que pagar al </w:t>
      </w:r>
      <w:r w:rsidR="00BE2FC9">
        <w:rPr>
          <w:rFonts w:cs="Arial"/>
          <w:i/>
          <w:sz w:val="22"/>
          <w:szCs w:val="22"/>
          <w:lang w:val="es-ES"/>
        </w:rPr>
        <w:t xml:space="preserve"> </w:t>
      </w:r>
      <w:r w:rsidRPr="006E6EA6">
        <w:rPr>
          <w:rFonts w:cs="Arial"/>
          <w:i/>
          <w:sz w:val="22"/>
          <w:szCs w:val="22"/>
          <w:lang w:val="es-ES"/>
        </w:rPr>
        <w:t xml:space="preserve">titular, para la explotación lícita de los derechos violados; y, </w:t>
      </w:r>
    </w:p>
    <w:p w:rsidR="000B48DF" w:rsidRPr="006E6EA6" w:rsidRDefault="008E7D71" w:rsidP="00BE2FC9">
      <w:pPr>
        <w:pStyle w:val="Prrafodelista"/>
        <w:widowControl/>
        <w:adjustRightInd/>
        <w:spacing w:line="240" w:lineRule="auto"/>
        <w:ind w:left="993" w:hanging="284"/>
        <w:contextualSpacing w:val="0"/>
        <w:textAlignment w:val="auto"/>
        <w:rPr>
          <w:rFonts w:cs="Arial"/>
          <w:i/>
          <w:sz w:val="22"/>
          <w:szCs w:val="22"/>
          <w:lang w:val="es-ES"/>
        </w:rPr>
      </w:pPr>
      <w:r w:rsidRPr="006E6EA6">
        <w:rPr>
          <w:rFonts w:cs="Arial"/>
          <w:i/>
          <w:sz w:val="22"/>
          <w:szCs w:val="22"/>
          <w:lang w:val="es-ES"/>
        </w:rPr>
        <w:t>d) Los gastos razonables, inclusive honorarios profesionales, incurridos por el titular con relación a la controversia.”</w:t>
      </w:r>
    </w:p>
    <w:p w:rsidR="000B48DF" w:rsidRPr="006E6EA6" w:rsidRDefault="000B48DF" w:rsidP="00981727">
      <w:pPr>
        <w:pStyle w:val="Prrafodelista"/>
        <w:widowControl/>
        <w:adjustRightInd/>
        <w:spacing w:line="240" w:lineRule="auto"/>
        <w:ind w:left="0"/>
        <w:contextualSpacing w:val="0"/>
        <w:textAlignment w:val="auto"/>
        <w:rPr>
          <w:rFonts w:cs="Arial"/>
          <w:bCs/>
          <w:sz w:val="22"/>
          <w:szCs w:val="22"/>
        </w:rPr>
      </w:pPr>
    </w:p>
    <w:p w:rsidR="00765068" w:rsidRPr="006E6EA6" w:rsidRDefault="00AA3609" w:rsidP="00BE2FC9">
      <w:pPr>
        <w:pStyle w:val="Prrafodelista"/>
        <w:widowControl/>
        <w:numPr>
          <w:ilvl w:val="0"/>
          <w:numId w:val="1"/>
        </w:numPr>
        <w:adjustRightInd/>
        <w:spacing w:line="240" w:lineRule="auto"/>
        <w:ind w:left="426" w:hanging="426"/>
        <w:contextualSpacing w:val="0"/>
        <w:textAlignment w:val="auto"/>
        <w:rPr>
          <w:rFonts w:cs="Arial"/>
          <w:i/>
          <w:sz w:val="22"/>
          <w:szCs w:val="22"/>
        </w:rPr>
      </w:pPr>
      <w:r w:rsidRPr="006E6EA6">
        <w:rPr>
          <w:rFonts w:cs="Arial"/>
          <w:sz w:val="22"/>
          <w:szCs w:val="22"/>
          <w:lang w:val="es-ES"/>
        </w:rPr>
        <w:t xml:space="preserve">Por </w:t>
      </w:r>
      <w:r w:rsidR="00AB6E8C" w:rsidRPr="006E6EA6">
        <w:rPr>
          <w:rFonts w:cs="Arial"/>
          <w:sz w:val="22"/>
          <w:szCs w:val="22"/>
          <w:lang w:val="es-ES"/>
        </w:rPr>
        <w:t>otro lado, la</w:t>
      </w:r>
      <w:r w:rsidR="00AB6E8C" w:rsidRPr="006E6EA6">
        <w:rPr>
          <w:rFonts w:cs="Arial"/>
          <w:sz w:val="22"/>
          <w:szCs w:val="22"/>
        </w:rPr>
        <w:t xml:space="preserve"> </w:t>
      </w:r>
      <w:r w:rsidR="007D1BB4" w:rsidRPr="006E6EA6">
        <w:rPr>
          <w:rFonts w:cs="Arial"/>
          <w:sz w:val="22"/>
          <w:szCs w:val="22"/>
        </w:rPr>
        <w:t>reclamante manifestó</w:t>
      </w:r>
      <w:r w:rsidR="00DC246D" w:rsidRPr="006E6EA6">
        <w:rPr>
          <w:rFonts w:cs="Arial"/>
          <w:sz w:val="22"/>
          <w:szCs w:val="22"/>
        </w:rPr>
        <w:t xml:space="preserve"> que no recibió la cantidad real por concepto de daños y perjuicios, puesto que el informe pericial del perito designado por el juez nacional no </w:t>
      </w:r>
      <w:r w:rsidR="007D1BB4" w:rsidRPr="006E6EA6">
        <w:rPr>
          <w:rFonts w:cs="Arial"/>
          <w:sz w:val="22"/>
          <w:szCs w:val="22"/>
        </w:rPr>
        <w:t>contempló</w:t>
      </w:r>
      <w:r w:rsidR="00DC246D" w:rsidRPr="006E6EA6">
        <w:rPr>
          <w:rFonts w:cs="Arial"/>
          <w:sz w:val="22"/>
          <w:szCs w:val="22"/>
        </w:rPr>
        <w:t xml:space="preserve"> lo ordenado en la Interpretación Prejudicial del Proceso 04-IP-2013. A</w:t>
      </w:r>
      <w:r w:rsidR="00AB6E8C" w:rsidRPr="006E6EA6">
        <w:rPr>
          <w:rFonts w:cs="Arial"/>
          <w:sz w:val="22"/>
          <w:szCs w:val="22"/>
        </w:rPr>
        <w:t xml:space="preserve">dicionalmente, la </w:t>
      </w:r>
      <w:r w:rsidR="00DC246D" w:rsidRPr="006E6EA6">
        <w:rPr>
          <w:rFonts w:cs="Arial"/>
          <w:sz w:val="22"/>
          <w:szCs w:val="22"/>
          <w:lang w:val="es-ES"/>
        </w:rPr>
        <w:t xml:space="preserve">reclamante indicó </w:t>
      </w:r>
      <w:r w:rsidR="00663B5E" w:rsidRPr="006E6EA6">
        <w:rPr>
          <w:rFonts w:cs="Arial"/>
          <w:sz w:val="22"/>
          <w:szCs w:val="22"/>
          <w:lang w:val="es-ES"/>
        </w:rPr>
        <w:t>lo siguiente</w:t>
      </w:r>
      <w:r w:rsidR="00765068" w:rsidRPr="006E6EA6">
        <w:rPr>
          <w:rFonts w:cs="Arial"/>
          <w:sz w:val="22"/>
          <w:szCs w:val="22"/>
          <w:lang w:val="es-ES"/>
        </w:rPr>
        <w:t>:</w:t>
      </w:r>
    </w:p>
    <w:p w:rsidR="00765068" w:rsidRPr="006E6EA6" w:rsidRDefault="00765068" w:rsidP="00981727">
      <w:pPr>
        <w:widowControl/>
        <w:adjustRightInd/>
        <w:spacing w:line="240" w:lineRule="auto"/>
        <w:textAlignment w:val="auto"/>
        <w:rPr>
          <w:rFonts w:cs="Arial"/>
          <w:sz w:val="22"/>
          <w:szCs w:val="22"/>
        </w:rPr>
      </w:pPr>
    </w:p>
    <w:p w:rsidR="00765068" w:rsidRPr="006E6EA6" w:rsidRDefault="00765068" w:rsidP="00BE2FC9">
      <w:pPr>
        <w:widowControl/>
        <w:adjustRightInd/>
        <w:spacing w:line="240" w:lineRule="auto"/>
        <w:ind w:left="851"/>
        <w:textAlignment w:val="auto"/>
        <w:rPr>
          <w:rFonts w:cs="Arial"/>
          <w:i/>
          <w:sz w:val="22"/>
          <w:szCs w:val="22"/>
          <w:lang w:val="es-ES"/>
        </w:rPr>
      </w:pPr>
      <w:r w:rsidRPr="006E6EA6">
        <w:rPr>
          <w:rFonts w:cs="Arial"/>
          <w:i/>
          <w:sz w:val="22"/>
          <w:szCs w:val="22"/>
          <w:lang w:val="es-ES"/>
        </w:rPr>
        <w:t>“El juez consultante no dispuso como era su deber y omitió en la providencia de fecha 16 de enero del 2017, disponer que el perito efectúe la liquidación de daños</w:t>
      </w:r>
      <w:r w:rsidR="006A17FB" w:rsidRPr="006E6EA6">
        <w:rPr>
          <w:rFonts w:cs="Arial"/>
          <w:i/>
          <w:sz w:val="22"/>
          <w:szCs w:val="22"/>
          <w:lang w:val="es-ES"/>
        </w:rPr>
        <w:t xml:space="preserve"> </w:t>
      </w:r>
      <w:r w:rsidR="0067182C" w:rsidRPr="006E6EA6">
        <w:rPr>
          <w:rFonts w:cs="Arial"/>
          <w:i/>
          <w:sz w:val="22"/>
          <w:szCs w:val="22"/>
          <w:lang w:val="es-ES"/>
        </w:rPr>
        <w:t>y</w:t>
      </w:r>
      <w:r w:rsidRPr="006E6EA6">
        <w:rPr>
          <w:rFonts w:cs="Arial"/>
          <w:i/>
          <w:sz w:val="22"/>
          <w:szCs w:val="22"/>
          <w:lang w:val="es-ES"/>
        </w:rPr>
        <w:t xml:space="preserve"> perjuicios tomando en cuenta los parámetros fijados en la Interpretación Prejudicial (…). Así, de fojas 191 a 193 del proceso interno obra la liquidación presentada por el señor Milton Alfredo Tobar Barrionuevo, perito designado por el Tribunal Consultante quién estableció un valor de USD $ 757,875,52 (…), por concepto de utilidad neta obtenida en el periodo de los años 1996-2004 por ECUAQUÍMICA (…) por la venta del producto ‘MADEROL’ (…), sin embargo</w:t>
      </w:r>
      <w:r w:rsidR="00A92F26" w:rsidRPr="006E6EA6">
        <w:rPr>
          <w:rFonts w:cs="Arial"/>
          <w:i/>
          <w:sz w:val="22"/>
          <w:szCs w:val="22"/>
          <w:lang w:val="es-ES"/>
        </w:rPr>
        <w:t>,</w:t>
      </w:r>
      <w:r w:rsidRPr="006E6EA6">
        <w:rPr>
          <w:rFonts w:cs="Arial"/>
          <w:i/>
          <w:sz w:val="22"/>
          <w:szCs w:val="22"/>
          <w:lang w:val="es-ES"/>
        </w:rPr>
        <w:t xml:space="preserve"> INDUALCA S.A. recibió como indemnización final la suma de USD $ 205.919,16 (</w:t>
      </w:r>
      <w:r w:rsidR="00D33E56" w:rsidRPr="006E6EA6">
        <w:rPr>
          <w:rFonts w:cs="Arial"/>
          <w:i/>
          <w:sz w:val="22"/>
          <w:szCs w:val="22"/>
          <w:lang w:val="es-ES"/>
        </w:rPr>
        <w:t>...</w:t>
      </w:r>
      <w:r w:rsidRPr="006E6EA6">
        <w:rPr>
          <w:rFonts w:cs="Arial"/>
          <w:i/>
          <w:sz w:val="22"/>
          <w:szCs w:val="22"/>
          <w:lang w:val="es-ES"/>
        </w:rPr>
        <w:t>)</w:t>
      </w:r>
      <w:r w:rsidR="00D33E56" w:rsidRPr="006E6EA6">
        <w:rPr>
          <w:rFonts w:cs="Arial"/>
          <w:i/>
          <w:sz w:val="22"/>
          <w:szCs w:val="22"/>
          <w:lang w:val="es-ES"/>
        </w:rPr>
        <w:t xml:space="preserve"> (Ver numeral 6, subnumeral 6.14 </w:t>
      </w:r>
      <w:r w:rsidR="00D33E56" w:rsidRPr="006E6EA6">
        <w:rPr>
          <w:rFonts w:cs="Arial"/>
          <w:sz w:val="22"/>
          <w:szCs w:val="22"/>
          <w:lang w:val="es-ES"/>
        </w:rPr>
        <w:t>[Peritaje de la perito Yolanda Carmen Méndez Jarrin])</w:t>
      </w:r>
      <w:r w:rsidRPr="006E6EA6">
        <w:rPr>
          <w:rFonts w:cs="Arial"/>
          <w:i/>
          <w:sz w:val="22"/>
          <w:szCs w:val="22"/>
          <w:lang w:val="es-ES"/>
        </w:rPr>
        <w:t>.</w:t>
      </w:r>
    </w:p>
    <w:p w:rsidR="00765068" w:rsidRPr="006E6EA6" w:rsidRDefault="00765068" w:rsidP="00BE2FC9">
      <w:pPr>
        <w:widowControl/>
        <w:adjustRightInd/>
        <w:spacing w:line="240" w:lineRule="auto"/>
        <w:ind w:left="851"/>
        <w:textAlignment w:val="auto"/>
        <w:rPr>
          <w:rFonts w:cs="Arial"/>
          <w:i/>
          <w:sz w:val="22"/>
          <w:szCs w:val="22"/>
          <w:lang w:val="es-ES"/>
        </w:rPr>
      </w:pPr>
    </w:p>
    <w:p w:rsidR="00AA3609" w:rsidRPr="006E6EA6" w:rsidRDefault="00765068" w:rsidP="00BE2FC9">
      <w:pPr>
        <w:widowControl/>
        <w:adjustRightInd/>
        <w:spacing w:line="240" w:lineRule="auto"/>
        <w:ind w:left="851"/>
        <w:textAlignment w:val="auto"/>
        <w:rPr>
          <w:rFonts w:cs="Arial"/>
          <w:i/>
          <w:sz w:val="22"/>
          <w:szCs w:val="22"/>
          <w:lang w:val="es-ES"/>
        </w:rPr>
      </w:pPr>
      <w:r w:rsidRPr="006E6EA6">
        <w:rPr>
          <w:rFonts w:cs="Arial"/>
          <w:i/>
          <w:sz w:val="22"/>
          <w:szCs w:val="22"/>
          <w:lang w:val="es-ES"/>
        </w:rPr>
        <w:t>Una pericia TÉCNICO CONTABLE de tipo particular realizada por perito independiente, apegada a los lineamientos dispuestos por el Tribunal de Justicia de la Comunidad Andina, establece una liquidación consolidada de UN MILLON</w:t>
      </w:r>
      <w:r w:rsidR="0067182C" w:rsidRPr="006E6EA6">
        <w:rPr>
          <w:rFonts w:cs="Arial"/>
          <w:i/>
          <w:sz w:val="22"/>
          <w:szCs w:val="22"/>
          <w:lang w:val="es-ES"/>
        </w:rPr>
        <w:t xml:space="preserve"> OCHOCIENTOS NOVENA Y UN MIL O</w:t>
      </w:r>
      <w:r w:rsidRPr="006E6EA6">
        <w:rPr>
          <w:rFonts w:cs="Arial"/>
          <w:i/>
          <w:sz w:val="22"/>
          <w:szCs w:val="22"/>
          <w:lang w:val="es-ES"/>
        </w:rPr>
        <w:t>C</w:t>
      </w:r>
      <w:r w:rsidR="0067182C" w:rsidRPr="006E6EA6">
        <w:rPr>
          <w:rFonts w:cs="Arial"/>
          <w:i/>
          <w:sz w:val="22"/>
          <w:szCs w:val="22"/>
          <w:lang w:val="es-ES"/>
        </w:rPr>
        <w:t>H</w:t>
      </w:r>
      <w:r w:rsidRPr="006E6EA6">
        <w:rPr>
          <w:rFonts w:cs="Arial"/>
          <w:i/>
          <w:sz w:val="22"/>
          <w:szCs w:val="22"/>
          <w:lang w:val="es-ES"/>
        </w:rPr>
        <w:t>OSCIENTOS TREINTA Y CINCO 52/100 (USD $ 1.891.835,52) (…), con lo cual claramente se establece que el Tribunal Contencioso Administrativo No. 1, al no cumplir y hacer cumplir de manera obligatoria el texto íntegro de la interpretación prejudicial donde se establecen todos los parámetros que deben tomarse en cuenta en la liquidación de daños y perjuicios (daño emergente y lucro cesante) incumplió el ordenamiento jurídico comunitario andino, perjudicando los intereses legítimos de nuestra representada al no recibir como se indicó ut supra la cantidad real que debió recibir por concepto de daños y perjuicios por parte de la demandada.</w:t>
      </w:r>
      <w:r w:rsidR="00A92F26" w:rsidRPr="006E6EA6">
        <w:rPr>
          <w:rFonts w:cs="Arial"/>
          <w:sz w:val="22"/>
          <w:szCs w:val="22"/>
          <w:lang w:val="es-ES"/>
        </w:rPr>
        <w:t>”</w:t>
      </w:r>
      <w:r w:rsidR="0043469E" w:rsidRPr="006E6EA6">
        <w:rPr>
          <w:rStyle w:val="Refdenotaalpie"/>
          <w:rFonts w:cs="Arial"/>
          <w:sz w:val="22"/>
          <w:szCs w:val="22"/>
          <w:lang w:val="es-ES"/>
        </w:rPr>
        <w:footnoteReference w:id="24"/>
      </w:r>
    </w:p>
    <w:p w:rsidR="00AA3609" w:rsidRPr="006E6EA6" w:rsidRDefault="00AA3609" w:rsidP="00981727">
      <w:pPr>
        <w:pStyle w:val="Prrafodelista"/>
        <w:widowControl/>
        <w:adjustRightInd/>
        <w:spacing w:line="240" w:lineRule="auto"/>
        <w:ind w:left="0"/>
        <w:contextualSpacing w:val="0"/>
        <w:textAlignment w:val="auto"/>
        <w:rPr>
          <w:rFonts w:cs="Arial"/>
          <w:bCs/>
          <w:sz w:val="22"/>
          <w:szCs w:val="22"/>
        </w:rPr>
      </w:pPr>
    </w:p>
    <w:p w:rsidR="005B0D6D" w:rsidRPr="006E6EA6" w:rsidRDefault="005B0D6D" w:rsidP="00BE2FC9">
      <w:pPr>
        <w:widowControl/>
        <w:adjustRightInd/>
        <w:spacing w:line="240" w:lineRule="auto"/>
        <w:ind w:firstLine="851"/>
        <w:textAlignment w:val="auto"/>
        <w:rPr>
          <w:rFonts w:cs="Arial"/>
          <w:bCs/>
          <w:i/>
          <w:sz w:val="22"/>
          <w:szCs w:val="22"/>
          <w:u w:val="single"/>
        </w:rPr>
      </w:pPr>
      <w:r w:rsidRPr="006E6EA6">
        <w:rPr>
          <w:rFonts w:cs="Arial"/>
          <w:bCs/>
          <w:i/>
          <w:sz w:val="22"/>
          <w:szCs w:val="22"/>
          <w:u w:val="single"/>
        </w:rPr>
        <w:t>Alegatos de la reclamada</w:t>
      </w:r>
    </w:p>
    <w:p w:rsidR="005B0D6D" w:rsidRPr="006E6EA6" w:rsidRDefault="005B0D6D" w:rsidP="00981727">
      <w:pPr>
        <w:pStyle w:val="Prrafodelista"/>
        <w:widowControl/>
        <w:adjustRightInd/>
        <w:spacing w:line="240" w:lineRule="auto"/>
        <w:ind w:left="-12"/>
        <w:contextualSpacing w:val="0"/>
        <w:textAlignment w:val="auto"/>
        <w:rPr>
          <w:rFonts w:cs="Arial"/>
          <w:b/>
          <w:bCs/>
          <w:i/>
          <w:sz w:val="22"/>
          <w:szCs w:val="22"/>
        </w:rPr>
      </w:pPr>
    </w:p>
    <w:p w:rsidR="00BB6C2B" w:rsidRPr="006E6EA6" w:rsidRDefault="0089178A" w:rsidP="00BE2FC9">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En el escrito de contestación al reclamo presentado por </w:t>
      </w:r>
      <w:r w:rsidR="00C90ADC" w:rsidRPr="006E6EA6">
        <w:rPr>
          <w:rFonts w:cs="Arial"/>
          <w:sz w:val="22"/>
          <w:szCs w:val="22"/>
          <w:lang w:val="es-ES"/>
        </w:rPr>
        <w:t>la reclamante</w:t>
      </w:r>
      <w:r w:rsidRPr="006E6EA6">
        <w:rPr>
          <w:rFonts w:cs="Arial"/>
          <w:sz w:val="22"/>
          <w:szCs w:val="22"/>
          <w:lang w:val="es-ES"/>
        </w:rPr>
        <w:t>, l</w:t>
      </w:r>
      <w:r w:rsidR="00E254C4" w:rsidRPr="006E6EA6">
        <w:rPr>
          <w:rFonts w:cs="Arial"/>
          <w:sz w:val="22"/>
          <w:szCs w:val="22"/>
          <w:lang w:val="es-ES"/>
        </w:rPr>
        <w:t xml:space="preserve">a reclamada señaló que </w:t>
      </w:r>
      <w:r w:rsidR="00BB6C2B" w:rsidRPr="006E6EA6">
        <w:rPr>
          <w:rFonts w:cs="Arial"/>
          <w:sz w:val="22"/>
          <w:szCs w:val="22"/>
          <w:lang w:val="es-ES"/>
        </w:rPr>
        <w:t>“</w:t>
      </w:r>
      <w:r w:rsidR="00BB6C2B" w:rsidRPr="006E6EA6">
        <w:rPr>
          <w:rFonts w:cs="Arial"/>
          <w:i/>
          <w:sz w:val="22"/>
          <w:szCs w:val="22"/>
          <w:lang w:val="es-ES"/>
        </w:rPr>
        <w:t xml:space="preserve">(…) </w:t>
      </w:r>
      <w:r w:rsidR="00E254C4" w:rsidRPr="006E6EA6">
        <w:rPr>
          <w:rFonts w:cs="Arial"/>
          <w:i/>
          <w:sz w:val="22"/>
          <w:szCs w:val="22"/>
          <w:lang w:val="es-ES"/>
        </w:rPr>
        <w:t xml:space="preserve">el Tribunal de Justicia de la Comunidad Andina de Naciones </w:t>
      </w:r>
      <w:r w:rsidR="00E254C4" w:rsidRPr="006E6EA6">
        <w:rPr>
          <w:rFonts w:cs="Arial"/>
          <w:sz w:val="22"/>
          <w:szCs w:val="22"/>
          <w:lang w:val="es-ES"/>
        </w:rPr>
        <w:t xml:space="preserve">(SIC) </w:t>
      </w:r>
      <w:r w:rsidR="00BB6C2B" w:rsidRPr="006E6EA6">
        <w:rPr>
          <w:rFonts w:cs="Arial"/>
          <w:i/>
          <w:sz w:val="22"/>
          <w:szCs w:val="22"/>
          <w:lang w:val="es-ES"/>
        </w:rPr>
        <w:t>interpreta las normas consultadas sin referirse ni analizar el caso específico del cual emana la consulta, y que el Juez Nacional en este caso nosotros, el Tribunal Distrital de lo Contencioso Administrativo debemos utilizar esa interpretación de la norma comunitaria en la emisión de la sentencia. Mientras este precepto se cumpla, el artículo 4 del Tratado de creación del Tribunal no será violentado</w:t>
      </w:r>
      <w:r w:rsidR="00BB6C2B" w:rsidRPr="006E6EA6">
        <w:rPr>
          <w:rFonts w:cs="Arial"/>
          <w:sz w:val="22"/>
          <w:szCs w:val="22"/>
          <w:lang w:val="es-ES"/>
        </w:rPr>
        <w:t>”</w:t>
      </w:r>
      <w:r w:rsidR="00BB6C2B" w:rsidRPr="006E6EA6">
        <w:rPr>
          <w:rFonts w:cs="Arial"/>
          <w:sz w:val="22"/>
          <w:szCs w:val="22"/>
          <w:vertAlign w:val="superscript"/>
        </w:rPr>
        <w:footnoteReference w:id="25"/>
      </w:r>
      <w:r w:rsidR="00BB6C2B" w:rsidRPr="006E6EA6">
        <w:rPr>
          <w:rFonts w:cs="Arial"/>
          <w:sz w:val="22"/>
          <w:szCs w:val="22"/>
          <w:lang w:val="es-ES"/>
        </w:rPr>
        <w:t xml:space="preserve">. </w:t>
      </w:r>
    </w:p>
    <w:p w:rsidR="00BB6C2B" w:rsidRPr="006E6EA6" w:rsidRDefault="00BB6C2B" w:rsidP="00BE2FC9">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lastRenderedPageBreak/>
        <w:t xml:space="preserve">Asimismo, </w:t>
      </w:r>
      <w:r w:rsidR="000F5588" w:rsidRPr="006E6EA6">
        <w:rPr>
          <w:rFonts w:cs="Arial"/>
          <w:sz w:val="22"/>
          <w:szCs w:val="22"/>
          <w:lang w:val="es-ES"/>
        </w:rPr>
        <w:t>la reclamada indica</w:t>
      </w:r>
      <w:r w:rsidRPr="006E6EA6">
        <w:rPr>
          <w:rFonts w:cs="Arial"/>
          <w:sz w:val="22"/>
          <w:szCs w:val="22"/>
          <w:lang w:val="es-ES"/>
        </w:rPr>
        <w:t xml:space="preserve"> que la norma nacional ecuatoriana incorpora la norma comunitaria e incluso es más detallada al incluir criterios más amplios para el cálculo de la indemnización de daños y perjuicios que la norma comunitaria, que es menos amplia y taxativa</w:t>
      </w:r>
      <w:r w:rsidRPr="006E6EA6">
        <w:rPr>
          <w:rFonts w:cs="Arial"/>
          <w:sz w:val="22"/>
          <w:szCs w:val="22"/>
          <w:vertAlign w:val="superscript"/>
        </w:rPr>
        <w:footnoteReference w:id="26"/>
      </w:r>
      <w:r w:rsidRPr="006E6EA6">
        <w:rPr>
          <w:rFonts w:cs="Arial"/>
          <w:sz w:val="22"/>
          <w:szCs w:val="22"/>
          <w:lang w:val="es-ES"/>
        </w:rPr>
        <w:t xml:space="preserve">. </w:t>
      </w:r>
    </w:p>
    <w:p w:rsidR="00201889" w:rsidRPr="006E6EA6" w:rsidRDefault="00201889" w:rsidP="00BE2FC9">
      <w:pPr>
        <w:pStyle w:val="Prrafodelista"/>
        <w:spacing w:line="240" w:lineRule="auto"/>
        <w:ind w:left="426" w:hanging="426"/>
        <w:rPr>
          <w:rFonts w:cs="Arial"/>
          <w:b/>
          <w:bCs/>
          <w:i/>
          <w:sz w:val="22"/>
          <w:szCs w:val="22"/>
        </w:rPr>
      </w:pPr>
    </w:p>
    <w:p w:rsidR="008134AC" w:rsidRPr="006E6EA6" w:rsidRDefault="00201889" w:rsidP="00BE2FC9">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bCs/>
          <w:sz w:val="22"/>
          <w:szCs w:val="22"/>
        </w:rPr>
        <w:t>Por otro lado, en relaci</w:t>
      </w:r>
      <w:r w:rsidR="008134AC" w:rsidRPr="006E6EA6">
        <w:rPr>
          <w:rFonts w:cs="Arial"/>
          <w:bCs/>
          <w:sz w:val="22"/>
          <w:szCs w:val="22"/>
        </w:rPr>
        <w:t xml:space="preserve">ón </w:t>
      </w:r>
      <w:r w:rsidR="00AD0B04" w:rsidRPr="006E6EA6">
        <w:rPr>
          <w:rFonts w:cs="Arial"/>
          <w:bCs/>
          <w:sz w:val="22"/>
          <w:szCs w:val="22"/>
        </w:rPr>
        <w:t>al informe pericial del perito designado por Tribunal Distrital en lo Contencioso Administrativo No. 1</w:t>
      </w:r>
      <w:r w:rsidR="008134AC" w:rsidRPr="006E6EA6">
        <w:rPr>
          <w:rFonts w:cs="Arial"/>
          <w:sz w:val="22"/>
          <w:szCs w:val="22"/>
        </w:rPr>
        <w:t>, la reclamada señaló lo siguiente:</w:t>
      </w:r>
    </w:p>
    <w:p w:rsidR="008134AC" w:rsidRPr="006E6EA6" w:rsidRDefault="008134AC" w:rsidP="00BE2FC9">
      <w:pPr>
        <w:widowControl/>
        <w:tabs>
          <w:tab w:val="left" w:pos="567"/>
        </w:tabs>
        <w:adjustRightInd/>
        <w:spacing w:line="240" w:lineRule="auto"/>
        <w:textAlignment w:val="auto"/>
        <w:rPr>
          <w:rFonts w:cs="Arial"/>
          <w:sz w:val="22"/>
          <w:szCs w:val="22"/>
        </w:rPr>
      </w:pPr>
    </w:p>
    <w:p w:rsidR="008134AC" w:rsidRPr="006E6EA6" w:rsidRDefault="008134AC" w:rsidP="00BE2FC9">
      <w:pPr>
        <w:widowControl/>
        <w:adjustRightInd/>
        <w:spacing w:line="240" w:lineRule="auto"/>
        <w:ind w:left="426"/>
        <w:textAlignment w:val="auto"/>
        <w:rPr>
          <w:rFonts w:cs="Arial"/>
          <w:i/>
          <w:sz w:val="22"/>
          <w:szCs w:val="22"/>
        </w:rPr>
      </w:pPr>
      <w:r w:rsidRPr="006E6EA6">
        <w:rPr>
          <w:rFonts w:cs="Arial"/>
          <w:sz w:val="22"/>
          <w:szCs w:val="22"/>
        </w:rPr>
        <w:t>“</w:t>
      </w:r>
      <w:r w:rsidRPr="006E6EA6">
        <w:rPr>
          <w:rFonts w:cs="Arial"/>
          <w:i/>
          <w:sz w:val="22"/>
          <w:szCs w:val="22"/>
        </w:rPr>
        <w:t>10. Respecto de los informes periciales a los que INDUALCA hace referencia en su demanda de Incumplimiento es importante anotar que el peritaje de la perito Yolanda del Carmen Méndez Jarrín, fue objeto de error esencial por parte de INDUALCA con alegaciones que se concentraron en impugnar el porcentaje con el que se debe calcular el valor de las regalías, y no en ninguna otra alegación, como las que ahora se traen en la demanda de Incumplimiento.</w:t>
      </w:r>
    </w:p>
    <w:p w:rsidR="008134AC" w:rsidRPr="006E6EA6" w:rsidRDefault="008134AC" w:rsidP="00BE2FC9">
      <w:pPr>
        <w:widowControl/>
        <w:adjustRightInd/>
        <w:spacing w:line="240" w:lineRule="auto"/>
        <w:ind w:left="426"/>
        <w:textAlignment w:val="auto"/>
        <w:rPr>
          <w:rFonts w:cs="Arial"/>
          <w:i/>
          <w:sz w:val="22"/>
          <w:szCs w:val="22"/>
        </w:rPr>
      </w:pPr>
    </w:p>
    <w:p w:rsidR="008134AC" w:rsidRPr="006E6EA6" w:rsidRDefault="008134AC" w:rsidP="00BE2FC9">
      <w:pPr>
        <w:widowControl/>
        <w:adjustRightInd/>
        <w:spacing w:line="240" w:lineRule="auto"/>
        <w:ind w:left="426"/>
        <w:textAlignment w:val="auto"/>
        <w:rPr>
          <w:rFonts w:cs="Arial"/>
          <w:i/>
          <w:sz w:val="22"/>
          <w:szCs w:val="22"/>
        </w:rPr>
      </w:pPr>
      <w:r w:rsidRPr="006E6EA6">
        <w:rPr>
          <w:rFonts w:cs="Arial"/>
          <w:i/>
          <w:sz w:val="22"/>
          <w:szCs w:val="22"/>
        </w:rPr>
        <w:t>En el proceso correspondiente del error esencial, dentro de la prueba INDUALCA no probó dicho error esencial en el peritaje y ampliación como le correspondía hacerlo, por lo que el peritaje de Yolanda del Carmen Méndez Jarrín se aceptó como válido ya que la mencionada profesional si justificó ampliamente su informe pericial y su ampliación. Contra el auto correspondiente INDUALCA no ejerció ninguno de los</w:t>
      </w:r>
      <w:r w:rsidR="000E2823" w:rsidRPr="006E6EA6">
        <w:rPr>
          <w:rFonts w:cs="Arial"/>
          <w:i/>
          <w:sz w:val="22"/>
          <w:szCs w:val="22"/>
        </w:rPr>
        <w:t xml:space="preserve"> recursos previstos por la Ley</w:t>
      </w:r>
      <w:r w:rsidRPr="006E6EA6">
        <w:rPr>
          <w:rFonts w:cs="Arial"/>
          <w:sz w:val="22"/>
          <w:szCs w:val="22"/>
        </w:rPr>
        <w:t>.” (SIC)</w:t>
      </w:r>
    </w:p>
    <w:p w:rsidR="006210F1" w:rsidRPr="006E6EA6" w:rsidRDefault="006210F1" w:rsidP="00BE2FC9">
      <w:pPr>
        <w:widowControl/>
        <w:adjustRightInd/>
        <w:spacing w:line="240" w:lineRule="auto"/>
        <w:textAlignment w:val="auto"/>
        <w:rPr>
          <w:rFonts w:cs="Arial"/>
          <w:b/>
          <w:bCs/>
          <w:i/>
          <w:sz w:val="22"/>
          <w:szCs w:val="22"/>
        </w:rPr>
      </w:pPr>
    </w:p>
    <w:p w:rsidR="005B0D6D" w:rsidRPr="006E6EA6" w:rsidRDefault="005B0D6D" w:rsidP="00BE2FC9">
      <w:pPr>
        <w:widowControl/>
        <w:adjustRightInd/>
        <w:spacing w:line="240" w:lineRule="auto"/>
        <w:ind w:firstLine="426"/>
        <w:textAlignment w:val="auto"/>
        <w:rPr>
          <w:rFonts w:cs="Arial"/>
          <w:sz w:val="22"/>
          <w:szCs w:val="22"/>
        </w:rPr>
      </w:pPr>
      <w:r w:rsidRPr="006E6EA6">
        <w:rPr>
          <w:rFonts w:cs="Arial"/>
          <w:bCs/>
          <w:i/>
          <w:sz w:val="22"/>
          <w:szCs w:val="22"/>
          <w:u w:val="single"/>
        </w:rPr>
        <w:t>Análisis SGCAN</w:t>
      </w:r>
    </w:p>
    <w:p w:rsidR="00CE52E8" w:rsidRPr="006E6EA6" w:rsidRDefault="00CE52E8" w:rsidP="00981727">
      <w:pPr>
        <w:pStyle w:val="Prrafodelista"/>
        <w:widowControl/>
        <w:adjustRightInd/>
        <w:spacing w:line="240" w:lineRule="auto"/>
        <w:ind w:left="0"/>
        <w:contextualSpacing w:val="0"/>
        <w:textAlignment w:val="auto"/>
        <w:rPr>
          <w:rFonts w:cs="Arial"/>
          <w:sz w:val="22"/>
          <w:szCs w:val="22"/>
        </w:rPr>
      </w:pPr>
    </w:p>
    <w:p w:rsidR="003C7882" w:rsidRPr="006E6EA6" w:rsidRDefault="00557793" w:rsidP="00BE2FC9">
      <w:pPr>
        <w:pStyle w:val="Prrafodelista"/>
        <w:widowControl/>
        <w:numPr>
          <w:ilvl w:val="0"/>
          <w:numId w:val="1"/>
        </w:numPr>
        <w:adjustRightInd/>
        <w:spacing w:line="240" w:lineRule="auto"/>
        <w:ind w:left="426" w:hanging="426"/>
        <w:contextualSpacing w:val="0"/>
        <w:textAlignment w:val="auto"/>
        <w:rPr>
          <w:rFonts w:cs="Arial"/>
          <w:bCs/>
          <w:sz w:val="22"/>
          <w:szCs w:val="22"/>
        </w:rPr>
      </w:pPr>
      <w:r w:rsidRPr="006E6EA6">
        <w:rPr>
          <w:rFonts w:cs="Arial"/>
          <w:bCs/>
          <w:sz w:val="22"/>
          <w:szCs w:val="22"/>
        </w:rPr>
        <w:t xml:space="preserve">Sobre el particular, </w:t>
      </w:r>
      <w:r w:rsidR="00663B5E" w:rsidRPr="006E6EA6">
        <w:rPr>
          <w:rFonts w:cs="Arial"/>
          <w:bCs/>
          <w:sz w:val="22"/>
          <w:szCs w:val="22"/>
        </w:rPr>
        <w:t>esta Secretaría General observa que</w:t>
      </w:r>
      <w:r w:rsidR="00143EB7" w:rsidRPr="006E6EA6">
        <w:rPr>
          <w:rFonts w:cs="Arial"/>
          <w:bCs/>
          <w:sz w:val="22"/>
          <w:szCs w:val="22"/>
        </w:rPr>
        <w:t xml:space="preserve"> </w:t>
      </w:r>
      <w:r w:rsidR="003C7882" w:rsidRPr="006E6EA6">
        <w:rPr>
          <w:rFonts w:cs="Arial"/>
          <w:bCs/>
          <w:sz w:val="22"/>
          <w:szCs w:val="22"/>
        </w:rPr>
        <w:t xml:space="preserve">la normativa andina </w:t>
      </w:r>
      <w:r w:rsidR="00663B5E" w:rsidRPr="006E6EA6">
        <w:rPr>
          <w:rFonts w:cs="Arial"/>
          <w:bCs/>
          <w:sz w:val="22"/>
          <w:szCs w:val="22"/>
        </w:rPr>
        <w:t>(tal como se puede apreciar en el párrafo [3</w:t>
      </w:r>
      <w:r w:rsidR="00A45F1A" w:rsidRPr="006E6EA6">
        <w:rPr>
          <w:rFonts w:cs="Arial"/>
          <w:bCs/>
          <w:sz w:val="22"/>
          <w:szCs w:val="22"/>
        </w:rPr>
        <w:t>2</w:t>
      </w:r>
      <w:r w:rsidR="00663B5E" w:rsidRPr="006E6EA6">
        <w:rPr>
          <w:rFonts w:cs="Arial"/>
          <w:bCs/>
          <w:sz w:val="22"/>
          <w:szCs w:val="22"/>
        </w:rPr>
        <w:t xml:space="preserve">]) </w:t>
      </w:r>
      <w:r w:rsidR="00735395" w:rsidRPr="006E6EA6">
        <w:rPr>
          <w:rFonts w:cs="Arial"/>
          <w:bCs/>
          <w:sz w:val="22"/>
          <w:szCs w:val="22"/>
        </w:rPr>
        <w:t>no exige,</w:t>
      </w:r>
      <w:r w:rsidR="003C7882" w:rsidRPr="006E6EA6">
        <w:rPr>
          <w:rFonts w:cs="Arial"/>
          <w:bCs/>
          <w:sz w:val="22"/>
          <w:szCs w:val="22"/>
        </w:rPr>
        <w:t xml:space="preserve"> para que una interpretación pre</w:t>
      </w:r>
      <w:r w:rsidR="00143EB7" w:rsidRPr="006E6EA6">
        <w:rPr>
          <w:rFonts w:cs="Arial"/>
          <w:bCs/>
          <w:sz w:val="22"/>
          <w:szCs w:val="22"/>
        </w:rPr>
        <w:t>judicial se entienda adoptada</w:t>
      </w:r>
      <w:r w:rsidR="003C7882" w:rsidRPr="006E6EA6">
        <w:rPr>
          <w:rFonts w:cs="Arial"/>
          <w:bCs/>
          <w:sz w:val="22"/>
          <w:szCs w:val="22"/>
        </w:rPr>
        <w:t xml:space="preserve"> en una sentencia</w:t>
      </w:r>
      <w:r w:rsidR="00143EB7" w:rsidRPr="006E6EA6">
        <w:rPr>
          <w:rFonts w:cs="Arial"/>
          <w:bCs/>
          <w:sz w:val="22"/>
          <w:szCs w:val="22"/>
        </w:rPr>
        <w:t xml:space="preserve"> expedida por un juez nacional</w:t>
      </w:r>
      <w:r w:rsidR="003C7882" w:rsidRPr="006E6EA6">
        <w:rPr>
          <w:rFonts w:cs="Arial"/>
          <w:bCs/>
          <w:sz w:val="22"/>
          <w:szCs w:val="22"/>
        </w:rPr>
        <w:t>,</w:t>
      </w:r>
      <w:r w:rsidR="00735395" w:rsidRPr="006E6EA6">
        <w:rPr>
          <w:rFonts w:cs="Arial"/>
          <w:bCs/>
          <w:sz w:val="22"/>
          <w:szCs w:val="22"/>
        </w:rPr>
        <w:t xml:space="preserve"> que</w:t>
      </w:r>
      <w:r w:rsidR="003C7882" w:rsidRPr="006E6EA6">
        <w:rPr>
          <w:rFonts w:cs="Arial"/>
          <w:bCs/>
          <w:sz w:val="22"/>
          <w:szCs w:val="22"/>
        </w:rPr>
        <w:t xml:space="preserve"> dicha interpretación deba expresamente mencionarse o reproducirse textualmente. Lo relevante es que los criterios </w:t>
      </w:r>
      <w:r w:rsidR="00143EB7" w:rsidRPr="006E6EA6">
        <w:rPr>
          <w:rFonts w:cs="Arial"/>
          <w:bCs/>
          <w:sz w:val="22"/>
          <w:szCs w:val="22"/>
        </w:rPr>
        <w:t xml:space="preserve">y el sentido </w:t>
      </w:r>
      <w:r w:rsidR="003C7882" w:rsidRPr="006E6EA6">
        <w:rPr>
          <w:rFonts w:cs="Arial"/>
          <w:bCs/>
          <w:sz w:val="22"/>
          <w:szCs w:val="22"/>
        </w:rPr>
        <w:t>de la interpretación prejudicial estén debid</w:t>
      </w:r>
      <w:r w:rsidR="00035AD2" w:rsidRPr="006E6EA6">
        <w:rPr>
          <w:rFonts w:cs="Arial"/>
          <w:bCs/>
          <w:sz w:val="22"/>
          <w:szCs w:val="22"/>
        </w:rPr>
        <w:t>amente acogidos en la sentencia del juez nacional.</w:t>
      </w:r>
    </w:p>
    <w:p w:rsidR="00143EB7" w:rsidRPr="006E6EA6" w:rsidRDefault="00143EB7" w:rsidP="00BE2FC9">
      <w:pPr>
        <w:pStyle w:val="Prrafodelista"/>
        <w:widowControl/>
        <w:adjustRightInd/>
        <w:spacing w:line="240" w:lineRule="auto"/>
        <w:ind w:left="426" w:hanging="426"/>
        <w:contextualSpacing w:val="0"/>
        <w:textAlignment w:val="auto"/>
        <w:rPr>
          <w:rFonts w:cs="Arial"/>
          <w:bCs/>
          <w:sz w:val="22"/>
          <w:szCs w:val="22"/>
        </w:rPr>
      </w:pPr>
    </w:p>
    <w:p w:rsidR="005912B1" w:rsidRPr="006E6EA6" w:rsidRDefault="00014D7C" w:rsidP="00BE2FC9">
      <w:pPr>
        <w:pStyle w:val="Prrafodelista"/>
        <w:widowControl/>
        <w:numPr>
          <w:ilvl w:val="0"/>
          <w:numId w:val="1"/>
        </w:numPr>
        <w:adjustRightInd/>
        <w:spacing w:line="240" w:lineRule="auto"/>
        <w:ind w:left="426" w:hanging="426"/>
        <w:contextualSpacing w:val="0"/>
        <w:textAlignment w:val="auto"/>
        <w:rPr>
          <w:rFonts w:cs="Arial"/>
          <w:bCs/>
          <w:sz w:val="22"/>
          <w:szCs w:val="22"/>
        </w:rPr>
      </w:pPr>
      <w:r w:rsidRPr="006E6EA6">
        <w:rPr>
          <w:rFonts w:cs="Arial"/>
          <w:bCs/>
          <w:sz w:val="22"/>
          <w:szCs w:val="22"/>
        </w:rPr>
        <w:t>Ahora bien, e</w:t>
      </w:r>
      <w:r w:rsidR="003C7882" w:rsidRPr="006E6EA6">
        <w:rPr>
          <w:rFonts w:cs="Arial"/>
          <w:bCs/>
          <w:sz w:val="22"/>
          <w:szCs w:val="22"/>
        </w:rPr>
        <w:t>n la s</w:t>
      </w:r>
      <w:r w:rsidR="00F41EBA" w:rsidRPr="006E6EA6">
        <w:rPr>
          <w:rFonts w:cs="Arial"/>
          <w:bCs/>
          <w:sz w:val="22"/>
          <w:szCs w:val="22"/>
        </w:rPr>
        <w:t>entencia del Tribunal Distrital de lo Contencioso Administrativo No. 1</w:t>
      </w:r>
      <w:r w:rsidR="003C7882" w:rsidRPr="006E6EA6">
        <w:rPr>
          <w:rFonts w:cs="Arial"/>
          <w:bCs/>
          <w:sz w:val="22"/>
          <w:szCs w:val="22"/>
        </w:rPr>
        <w:t xml:space="preserve"> de fecha 21 de octubre de 2014, no se menciona la interpretación prejudicial del TJCA e</w:t>
      </w:r>
      <w:r w:rsidR="005912B1" w:rsidRPr="006E6EA6">
        <w:rPr>
          <w:rFonts w:cs="Arial"/>
          <w:bCs/>
          <w:sz w:val="22"/>
          <w:szCs w:val="22"/>
        </w:rPr>
        <w:t>mitida en su Proceso 04-IP-2013; como t</w:t>
      </w:r>
      <w:r w:rsidR="003C7882" w:rsidRPr="006E6EA6">
        <w:rPr>
          <w:rFonts w:cs="Arial"/>
          <w:bCs/>
          <w:sz w:val="22"/>
          <w:szCs w:val="22"/>
        </w:rPr>
        <w:t>ampoco se menciona el artículo 243 de la Decisión 486, relativo a los criterios para calcular la indemnización por daños y perjuicios.</w:t>
      </w:r>
      <w:r w:rsidR="005912B1" w:rsidRPr="006E6EA6">
        <w:rPr>
          <w:rFonts w:cs="Arial"/>
          <w:bCs/>
          <w:sz w:val="22"/>
          <w:szCs w:val="22"/>
        </w:rPr>
        <w:t xml:space="preserve"> </w:t>
      </w:r>
      <w:r w:rsidR="00663B5E" w:rsidRPr="006E6EA6">
        <w:rPr>
          <w:rFonts w:cs="Arial"/>
          <w:bCs/>
          <w:sz w:val="22"/>
          <w:szCs w:val="22"/>
        </w:rPr>
        <w:t>Más bien, e</w:t>
      </w:r>
      <w:r w:rsidR="005912B1" w:rsidRPr="006E6EA6">
        <w:rPr>
          <w:rFonts w:cs="Arial"/>
          <w:bCs/>
          <w:sz w:val="22"/>
          <w:szCs w:val="22"/>
        </w:rPr>
        <w:t xml:space="preserve">l </w:t>
      </w:r>
      <w:r w:rsidR="003C7882" w:rsidRPr="006E6EA6">
        <w:rPr>
          <w:rFonts w:cs="Arial"/>
          <w:bCs/>
          <w:sz w:val="22"/>
          <w:szCs w:val="22"/>
        </w:rPr>
        <w:t xml:space="preserve">Tribunal Distrital </w:t>
      </w:r>
      <w:r w:rsidR="00562988" w:rsidRPr="006E6EA6">
        <w:rPr>
          <w:rFonts w:cs="Arial"/>
          <w:bCs/>
          <w:sz w:val="22"/>
          <w:szCs w:val="22"/>
        </w:rPr>
        <w:t>hizo alusión</w:t>
      </w:r>
      <w:r w:rsidR="00926867" w:rsidRPr="006E6EA6">
        <w:rPr>
          <w:rFonts w:cs="Arial"/>
          <w:bCs/>
          <w:sz w:val="22"/>
          <w:szCs w:val="22"/>
        </w:rPr>
        <w:t>, en su sentencia,</w:t>
      </w:r>
      <w:r w:rsidR="003C7882" w:rsidRPr="006E6EA6">
        <w:rPr>
          <w:rFonts w:cs="Arial"/>
          <w:bCs/>
          <w:sz w:val="22"/>
          <w:szCs w:val="22"/>
        </w:rPr>
        <w:t xml:space="preserve"> al artículo 303 de la Ley de Prop</w:t>
      </w:r>
      <w:r w:rsidR="00B579C7" w:rsidRPr="006E6EA6">
        <w:rPr>
          <w:rFonts w:cs="Arial"/>
          <w:bCs/>
          <w:sz w:val="22"/>
          <w:szCs w:val="22"/>
        </w:rPr>
        <w:t>iedad Intelectual de</w:t>
      </w:r>
      <w:r w:rsidR="005912B1" w:rsidRPr="006E6EA6">
        <w:rPr>
          <w:rFonts w:cs="Arial"/>
          <w:bCs/>
          <w:sz w:val="22"/>
          <w:szCs w:val="22"/>
        </w:rPr>
        <w:t>l Ecuador (</w:t>
      </w:r>
      <w:r w:rsidR="00B579C7" w:rsidRPr="006E6EA6">
        <w:rPr>
          <w:rFonts w:cs="Arial"/>
          <w:bCs/>
          <w:sz w:val="22"/>
          <w:szCs w:val="22"/>
        </w:rPr>
        <w:t>el</w:t>
      </w:r>
      <w:r w:rsidR="003C7882" w:rsidRPr="006E6EA6">
        <w:rPr>
          <w:rFonts w:cs="Arial"/>
          <w:bCs/>
          <w:sz w:val="22"/>
          <w:szCs w:val="22"/>
        </w:rPr>
        <w:t xml:space="preserve"> cual contiene criterios para determinar y cuan</w:t>
      </w:r>
      <w:r w:rsidR="00663B5E" w:rsidRPr="006E6EA6">
        <w:rPr>
          <w:rFonts w:cs="Arial"/>
          <w:bCs/>
          <w:sz w:val="22"/>
          <w:szCs w:val="22"/>
        </w:rPr>
        <w:t>tificar los daños y perjuicios)</w:t>
      </w:r>
      <w:r w:rsidR="005912B1" w:rsidRPr="006E6EA6">
        <w:rPr>
          <w:rFonts w:cs="Arial"/>
          <w:bCs/>
          <w:sz w:val="22"/>
          <w:szCs w:val="22"/>
        </w:rPr>
        <w:t>:</w:t>
      </w:r>
    </w:p>
    <w:p w:rsidR="005912B1" w:rsidRPr="006E6EA6" w:rsidRDefault="005912B1" w:rsidP="00981727">
      <w:pPr>
        <w:pStyle w:val="Prrafodelista"/>
        <w:spacing w:line="240" w:lineRule="auto"/>
        <w:rPr>
          <w:rFonts w:cs="Arial"/>
          <w:sz w:val="22"/>
          <w:szCs w:val="22"/>
        </w:rPr>
      </w:pPr>
    </w:p>
    <w:p w:rsidR="005912B1" w:rsidRPr="006E6EA6" w:rsidRDefault="005912B1" w:rsidP="00BE2FC9">
      <w:pPr>
        <w:widowControl/>
        <w:adjustRightInd/>
        <w:spacing w:line="240" w:lineRule="auto"/>
        <w:ind w:left="851"/>
        <w:textAlignment w:val="auto"/>
        <w:rPr>
          <w:rFonts w:cs="Arial"/>
          <w:i/>
          <w:sz w:val="22"/>
          <w:szCs w:val="22"/>
          <w:u w:val="single"/>
        </w:rPr>
      </w:pPr>
      <w:r w:rsidRPr="006E6EA6">
        <w:rPr>
          <w:rFonts w:cs="Arial"/>
          <w:sz w:val="22"/>
          <w:szCs w:val="22"/>
        </w:rPr>
        <w:t>“</w:t>
      </w:r>
      <w:r w:rsidRPr="006E6EA6">
        <w:rPr>
          <w:rFonts w:cs="Arial"/>
          <w:i/>
          <w:sz w:val="22"/>
          <w:szCs w:val="22"/>
        </w:rPr>
        <w:t xml:space="preserve">Por las consideraciones expuestas, (…) acepta parcialmente la demanda propuesta por la compañía INDUALCA S.A. en lo relativo a las pretensiones de: competencia desleal y dilución </w:t>
      </w:r>
      <w:r w:rsidR="00926867" w:rsidRPr="006E6EA6">
        <w:rPr>
          <w:rFonts w:cs="Arial"/>
          <w:i/>
          <w:sz w:val="22"/>
          <w:szCs w:val="22"/>
        </w:rPr>
        <w:t xml:space="preserve">marcaria </w:t>
      </w:r>
      <w:r w:rsidRPr="006E6EA6">
        <w:rPr>
          <w:rFonts w:cs="Arial"/>
          <w:i/>
          <w:sz w:val="22"/>
          <w:szCs w:val="22"/>
        </w:rPr>
        <w:t xml:space="preserve">así como el pago de los daños y perjuicios, </w:t>
      </w:r>
      <w:r w:rsidRPr="006E6EA6">
        <w:rPr>
          <w:rFonts w:cs="Arial"/>
          <w:i/>
          <w:sz w:val="22"/>
          <w:szCs w:val="22"/>
          <w:u w:val="single"/>
        </w:rPr>
        <w:t xml:space="preserve">que se calcularán en la forma prevista en el Artículo 303 de la Ley de </w:t>
      </w:r>
      <w:r w:rsidR="00926867" w:rsidRPr="006E6EA6">
        <w:rPr>
          <w:rFonts w:cs="Arial"/>
          <w:i/>
          <w:sz w:val="22"/>
          <w:szCs w:val="22"/>
          <w:u w:val="single"/>
        </w:rPr>
        <w:t>Propiedad Intelectual</w:t>
      </w:r>
      <w:r w:rsidR="00926867" w:rsidRPr="006E6EA6">
        <w:rPr>
          <w:rFonts w:cs="Arial"/>
          <w:i/>
          <w:sz w:val="22"/>
          <w:szCs w:val="22"/>
        </w:rPr>
        <w:t xml:space="preserve"> (…).</w:t>
      </w:r>
      <w:r w:rsidR="00926867" w:rsidRPr="006E6EA6">
        <w:rPr>
          <w:rFonts w:cs="Arial"/>
          <w:sz w:val="22"/>
          <w:szCs w:val="22"/>
        </w:rPr>
        <w:t xml:space="preserve">” </w:t>
      </w:r>
      <w:r w:rsidR="00926867" w:rsidRPr="006E6EA6">
        <w:rPr>
          <w:rStyle w:val="Refdenotaalpie"/>
          <w:rFonts w:cs="Arial"/>
          <w:sz w:val="22"/>
          <w:szCs w:val="22"/>
        </w:rPr>
        <w:footnoteReference w:id="27"/>
      </w:r>
      <w:r w:rsidR="00416FD8" w:rsidRPr="006E6EA6">
        <w:rPr>
          <w:rFonts w:cs="Arial"/>
          <w:sz w:val="22"/>
          <w:szCs w:val="22"/>
        </w:rPr>
        <w:t xml:space="preserve"> (Énfasis agregado)</w:t>
      </w:r>
    </w:p>
    <w:p w:rsidR="005912B1" w:rsidRPr="006E6EA6" w:rsidRDefault="005912B1" w:rsidP="00981727">
      <w:pPr>
        <w:pStyle w:val="Prrafodelista"/>
        <w:spacing w:line="240" w:lineRule="auto"/>
        <w:rPr>
          <w:rFonts w:cs="Arial"/>
          <w:sz w:val="22"/>
          <w:szCs w:val="22"/>
          <w:lang w:val="es-ES"/>
        </w:rPr>
      </w:pPr>
    </w:p>
    <w:p w:rsidR="001961B0" w:rsidRPr="006E6EA6" w:rsidRDefault="001961B0" w:rsidP="00BE2FC9">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lang w:val="es-ES"/>
        </w:rPr>
        <w:t>En relación a ello, cabe</w:t>
      </w:r>
      <w:r w:rsidR="003C7882" w:rsidRPr="006E6EA6">
        <w:rPr>
          <w:rFonts w:cs="Arial"/>
          <w:sz w:val="22"/>
          <w:szCs w:val="22"/>
          <w:lang w:val="es-ES"/>
        </w:rPr>
        <w:t xml:space="preserve"> </w:t>
      </w:r>
      <w:r w:rsidRPr="006E6EA6">
        <w:rPr>
          <w:rFonts w:cs="Arial"/>
          <w:sz w:val="22"/>
          <w:szCs w:val="22"/>
          <w:lang w:val="es-ES"/>
        </w:rPr>
        <w:t xml:space="preserve">notar que, </w:t>
      </w:r>
      <w:r w:rsidR="000D324F" w:rsidRPr="006E6EA6">
        <w:rPr>
          <w:rFonts w:cs="Arial"/>
          <w:sz w:val="22"/>
          <w:szCs w:val="22"/>
          <w:lang w:val="es-ES"/>
        </w:rPr>
        <w:t>conforme el texto del apartado “VISTOS”</w:t>
      </w:r>
      <w:r w:rsidRPr="006E6EA6">
        <w:rPr>
          <w:rFonts w:cs="Arial"/>
          <w:sz w:val="22"/>
          <w:szCs w:val="22"/>
          <w:lang w:val="es-ES"/>
        </w:rPr>
        <w:t xml:space="preserve"> de la s</w:t>
      </w:r>
      <w:r w:rsidR="000D324F" w:rsidRPr="006E6EA6">
        <w:rPr>
          <w:rFonts w:cs="Arial"/>
          <w:sz w:val="22"/>
          <w:szCs w:val="22"/>
          <w:lang w:val="es-ES"/>
        </w:rPr>
        <w:t>entencia del Tribunal Distrital</w:t>
      </w:r>
      <w:r w:rsidR="004463A5" w:rsidRPr="006E6EA6">
        <w:rPr>
          <w:rFonts w:cs="Arial"/>
          <w:sz w:val="22"/>
          <w:szCs w:val="22"/>
          <w:lang w:val="es-ES"/>
        </w:rPr>
        <w:t xml:space="preserve"> de lo Contencioso Administrativo No. 1</w:t>
      </w:r>
      <w:r w:rsidR="000D324F" w:rsidRPr="006E6EA6">
        <w:rPr>
          <w:rFonts w:cs="Arial"/>
          <w:sz w:val="22"/>
          <w:szCs w:val="22"/>
          <w:lang w:val="es-ES"/>
        </w:rPr>
        <w:t>;</w:t>
      </w:r>
      <w:r w:rsidRPr="006E6EA6">
        <w:rPr>
          <w:rFonts w:cs="Arial"/>
          <w:sz w:val="22"/>
          <w:szCs w:val="22"/>
          <w:lang w:val="es-ES"/>
        </w:rPr>
        <w:t xml:space="preserve"> </w:t>
      </w:r>
      <w:r w:rsidR="00BD653C" w:rsidRPr="006E6EA6">
        <w:rPr>
          <w:rFonts w:cs="Arial"/>
          <w:sz w:val="22"/>
          <w:szCs w:val="22"/>
          <w:lang w:val="es-ES"/>
        </w:rPr>
        <w:t xml:space="preserve">la reclamante </w:t>
      </w:r>
      <w:r w:rsidRPr="006E6EA6">
        <w:rPr>
          <w:rFonts w:cs="Arial"/>
          <w:sz w:val="22"/>
          <w:szCs w:val="22"/>
          <w:lang w:val="es-ES"/>
        </w:rPr>
        <w:t>solicitó</w:t>
      </w:r>
      <w:r w:rsidR="00BD653C" w:rsidRPr="006E6EA6">
        <w:rPr>
          <w:rFonts w:cs="Arial"/>
          <w:sz w:val="22"/>
          <w:szCs w:val="22"/>
          <w:lang w:val="es-ES"/>
        </w:rPr>
        <w:t xml:space="preserve"> en su demanda</w:t>
      </w:r>
      <w:r w:rsidRPr="006E6EA6">
        <w:rPr>
          <w:rFonts w:cs="Arial"/>
          <w:sz w:val="22"/>
          <w:szCs w:val="22"/>
          <w:lang w:val="es-ES"/>
        </w:rPr>
        <w:t>, entre otros aspectos, “</w:t>
      </w:r>
      <w:r w:rsidRPr="006E6EA6">
        <w:rPr>
          <w:rFonts w:cs="Arial"/>
          <w:i/>
          <w:sz w:val="22"/>
          <w:szCs w:val="22"/>
          <w:lang w:val="es-ES"/>
        </w:rPr>
        <w:t xml:space="preserve">El pago de los daños y perjuicios, que </w:t>
      </w:r>
      <w:r w:rsidRPr="006E6EA6">
        <w:rPr>
          <w:rFonts w:cs="Arial"/>
          <w:i/>
          <w:sz w:val="22"/>
          <w:szCs w:val="22"/>
          <w:u w:val="single"/>
          <w:lang w:val="es-ES"/>
        </w:rPr>
        <w:t>se calcularán en la forma prevista en el artículo 303 de la Ley de Propiedad Intelectual</w:t>
      </w:r>
      <w:r w:rsidR="00607A54" w:rsidRPr="006E6EA6">
        <w:rPr>
          <w:rFonts w:cs="Arial"/>
          <w:sz w:val="22"/>
          <w:szCs w:val="22"/>
          <w:lang w:val="es-ES"/>
        </w:rPr>
        <w:t>.</w:t>
      </w:r>
      <w:r w:rsidRPr="006E6EA6">
        <w:rPr>
          <w:rFonts w:cs="Arial"/>
          <w:sz w:val="22"/>
          <w:szCs w:val="22"/>
          <w:lang w:val="es-ES"/>
        </w:rPr>
        <w:t>”</w:t>
      </w:r>
      <w:r w:rsidRPr="006E6EA6">
        <w:rPr>
          <w:rStyle w:val="Refdenotaalpie"/>
          <w:rFonts w:cs="Arial"/>
          <w:sz w:val="22"/>
          <w:szCs w:val="22"/>
        </w:rPr>
        <w:footnoteReference w:id="28"/>
      </w:r>
      <w:r w:rsidR="00416FD8" w:rsidRPr="006E6EA6">
        <w:rPr>
          <w:rFonts w:cs="Arial"/>
          <w:sz w:val="22"/>
          <w:szCs w:val="22"/>
          <w:lang w:val="es-ES"/>
        </w:rPr>
        <w:t xml:space="preserve"> (Énfasis agregado)</w:t>
      </w:r>
    </w:p>
    <w:p w:rsidR="003C7882" w:rsidRPr="006E6EA6" w:rsidRDefault="00B579C7" w:rsidP="00BE2FC9">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lastRenderedPageBreak/>
        <w:t xml:space="preserve">Sobre el particular, </w:t>
      </w:r>
      <w:r w:rsidR="004B4228" w:rsidRPr="006E6EA6">
        <w:rPr>
          <w:rFonts w:cs="Arial"/>
          <w:sz w:val="22"/>
          <w:szCs w:val="22"/>
          <w:lang w:val="es-ES"/>
        </w:rPr>
        <w:t xml:space="preserve">la </w:t>
      </w:r>
      <w:r w:rsidR="001A4886" w:rsidRPr="006E6EA6">
        <w:rPr>
          <w:rFonts w:cs="Arial"/>
          <w:sz w:val="22"/>
          <w:szCs w:val="22"/>
          <w:lang w:val="es-ES"/>
        </w:rPr>
        <w:t>reclamada</w:t>
      </w:r>
      <w:r w:rsidR="004B4228" w:rsidRPr="006E6EA6">
        <w:rPr>
          <w:rFonts w:cs="Arial"/>
          <w:sz w:val="22"/>
          <w:szCs w:val="22"/>
          <w:lang w:val="es-ES"/>
        </w:rPr>
        <w:t xml:space="preserve"> manifestó que la norma nacional ecuatoriana incorpora la norma comunitaria</w:t>
      </w:r>
      <w:r w:rsidR="00FF4D83" w:rsidRPr="006E6EA6">
        <w:rPr>
          <w:rFonts w:cs="Arial"/>
          <w:sz w:val="22"/>
          <w:szCs w:val="22"/>
          <w:lang w:val="es-ES"/>
        </w:rPr>
        <w:t>,</w:t>
      </w:r>
      <w:r w:rsidR="004B4228" w:rsidRPr="006E6EA6">
        <w:rPr>
          <w:rFonts w:cs="Arial"/>
          <w:sz w:val="22"/>
          <w:szCs w:val="22"/>
          <w:lang w:val="es-ES"/>
        </w:rPr>
        <w:t xml:space="preserve"> e incluso es más detallada al incluir criterios más amplios para el cálculo de la indemnización de daños y perjuicios que la norma comunitaria. </w:t>
      </w:r>
      <w:r w:rsidR="008346B0" w:rsidRPr="006E6EA6">
        <w:rPr>
          <w:rFonts w:cs="Arial"/>
          <w:sz w:val="22"/>
          <w:szCs w:val="22"/>
          <w:lang w:val="es-ES"/>
        </w:rPr>
        <w:t xml:space="preserve">En atención a ello, </w:t>
      </w:r>
      <w:r w:rsidRPr="006E6EA6">
        <w:rPr>
          <w:rFonts w:cs="Arial"/>
          <w:sz w:val="22"/>
          <w:szCs w:val="22"/>
          <w:lang w:val="es-ES"/>
        </w:rPr>
        <w:t>en el siguiente cuad</w:t>
      </w:r>
      <w:r w:rsidR="008346B0" w:rsidRPr="006E6EA6">
        <w:rPr>
          <w:rFonts w:cs="Arial"/>
          <w:sz w:val="22"/>
          <w:szCs w:val="22"/>
          <w:lang w:val="es-ES"/>
        </w:rPr>
        <w:t>ro comparativo, se cita el artículo 243 de la Decisión 486, así como el artículo 303 de la Ley de Propiedad Intelectual ecuatoriana:</w:t>
      </w:r>
    </w:p>
    <w:p w:rsidR="003C7882" w:rsidRPr="006E6EA6" w:rsidRDefault="003C7882" w:rsidP="00981727">
      <w:pPr>
        <w:spacing w:line="240" w:lineRule="auto"/>
        <w:rPr>
          <w:rFonts w:cs="Arial"/>
          <w:bCs/>
          <w:sz w:val="22"/>
          <w:szCs w:val="22"/>
        </w:rPr>
      </w:pPr>
    </w:p>
    <w:tbl>
      <w:tblPr>
        <w:tblStyle w:val="Tablaconcuadrcula"/>
        <w:tblW w:w="0" w:type="auto"/>
        <w:jc w:val="center"/>
        <w:tblLook w:val="04A0"/>
      </w:tblPr>
      <w:tblGrid>
        <w:gridCol w:w="4247"/>
        <w:gridCol w:w="4247"/>
      </w:tblGrid>
      <w:tr w:rsidR="003C7882" w:rsidRPr="006E6EA6" w:rsidTr="00BE2FC9">
        <w:trPr>
          <w:trHeight w:val="333"/>
          <w:jc w:val="center"/>
        </w:trPr>
        <w:tc>
          <w:tcPr>
            <w:tcW w:w="4247" w:type="dxa"/>
            <w:tcBorders>
              <w:bottom w:val="single" w:sz="4" w:space="0" w:color="auto"/>
            </w:tcBorders>
            <w:shd w:val="clear" w:color="auto" w:fill="D0CECE" w:themeFill="background2" w:themeFillShade="E6"/>
            <w:vAlign w:val="center"/>
          </w:tcPr>
          <w:p w:rsidR="003C7882" w:rsidRPr="006E6EA6" w:rsidRDefault="003C7882" w:rsidP="00981727">
            <w:pPr>
              <w:spacing w:line="240" w:lineRule="auto"/>
              <w:jc w:val="center"/>
              <w:rPr>
                <w:rFonts w:cs="Arial"/>
                <w:b/>
                <w:szCs w:val="22"/>
              </w:rPr>
            </w:pPr>
            <w:r w:rsidRPr="006E6EA6">
              <w:rPr>
                <w:rFonts w:cs="Arial"/>
                <w:b/>
                <w:szCs w:val="22"/>
              </w:rPr>
              <w:t>Decisión 486 (Art. 243)</w:t>
            </w:r>
          </w:p>
        </w:tc>
        <w:tc>
          <w:tcPr>
            <w:tcW w:w="4247" w:type="dxa"/>
            <w:tcBorders>
              <w:bottom w:val="single" w:sz="4" w:space="0" w:color="auto"/>
            </w:tcBorders>
            <w:shd w:val="clear" w:color="auto" w:fill="D0CECE" w:themeFill="background2" w:themeFillShade="E6"/>
            <w:vAlign w:val="center"/>
          </w:tcPr>
          <w:p w:rsidR="003C7882" w:rsidRPr="006E6EA6" w:rsidRDefault="003C7882" w:rsidP="00981727">
            <w:pPr>
              <w:spacing w:line="240" w:lineRule="auto"/>
              <w:jc w:val="center"/>
              <w:rPr>
                <w:rFonts w:cs="Arial"/>
                <w:b/>
                <w:szCs w:val="22"/>
              </w:rPr>
            </w:pPr>
            <w:r w:rsidRPr="006E6EA6">
              <w:rPr>
                <w:rFonts w:cs="Arial"/>
                <w:b/>
                <w:szCs w:val="22"/>
              </w:rPr>
              <w:t>Ley de Propiedad Intelectual (Art. 303)</w:t>
            </w:r>
          </w:p>
        </w:tc>
      </w:tr>
      <w:tr w:rsidR="003C7882" w:rsidRPr="006E6EA6" w:rsidTr="00BE2FC9">
        <w:trPr>
          <w:trHeight w:val="1718"/>
          <w:jc w:val="center"/>
        </w:trPr>
        <w:tc>
          <w:tcPr>
            <w:tcW w:w="4247" w:type="dxa"/>
            <w:tcBorders>
              <w:top w:val="single" w:sz="4" w:space="0" w:color="auto"/>
              <w:left w:val="single" w:sz="4" w:space="0" w:color="auto"/>
              <w:bottom w:val="nil"/>
              <w:right w:val="single" w:sz="4" w:space="0" w:color="auto"/>
            </w:tcBorders>
            <w:vAlign w:val="center"/>
          </w:tcPr>
          <w:p w:rsidR="003C7882" w:rsidRPr="006E6EA6" w:rsidRDefault="003C7882" w:rsidP="00981727">
            <w:pPr>
              <w:spacing w:line="240" w:lineRule="auto"/>
              <w:rPr>
                <w:rFonts w:cs="Arial"/>
                <w:szCs w:val="22"/>
              </w:rPr>
            </w:pPr>
            <w:r w:rsidRPr="006E6EA6">
              <w:rPr>
                <w:rFonts w:cs="Arial"/>
                <w:szCs w:val="22"/>
              </w:rPr>
              <w:t xml:space="preserve">Para efectos de </w:t>
            </w:r>
            <w:r w:rsidRPr="006E6EA6">
              <w:rPr>
                <w:rFonts w:cs="Arial"/>
                <w:b/>
                <w:szCs w:val="22"/>
                <w:u w:val="single"/>
              </w:rPr>
              <w:t>calcular la indemnización de daños y perjuicios</w:t>
            </w:r>
            <w:r w:rsidRPr="006E6EA6">
              <w:rPr>
                <w:rFonts w:cs="Arial"/>
                <w:szCs w:val="22"/>
              </w:rPr>
              <w:t xml:space="preserve"> se tomará en cuenta, entre otros, los criterios siguientes:</w:t>
            </w:r>
          </w:p>
        </w:tc>
        <w:tc>
          <w:tcPr>
            <w:tcW w:w="4247" w:type="dxa"/>
            <w:tcBorders>
              <w:top w:val="single" w:sz="4" w:space="0" w:color="auto"/>
              <w:left w:val="single" w:sz="4" w:space="0" w:color="auto"/>
              <w:bottom w:val="nil"/>
              <w:right w:val="single" w:sz="4" w:space="0" w:color="auto"/>
            </w:tcBorders>
            <w:vAlign w:val="center"/>
          </w:tcPr>
          <w:p w:rsidR="003C7882" w:rsidRPr="006E6EA6" w:rsidRDefault="003C7882" w:rsidP="00981727">
            <w:pPr>
              <w:spacing w:line="240" w:lineRule="auto"/>
              <w:rPr>
                <w:rFonts w:cs="Arial"/>
                <w:szCs w:val="22"/>
              </w:rPr>
            </w:pPr>
            <w:r w:rsidRPr="006E6EA6">
              <w:rPr>
                <w:rFonts w:cs="Arial"/>
                <w:szCs w:val="22"/>
              </w:rPr>
              <w:t xml:space="preserve">La indemnización de daños y perjuicios comprenderá las </w:t>
            </w:r>
            <w:r w:rsidRPr="006E6EA6">
              <w:rPr>
                <w:rFonts w:cs="Arial"/>
                <w:b/>
                <w:szCs w:val="22"/>
                <w:u w:val="single"/>
              </w:rPr>
              <w:t>pérdidas sufridas</w:t>
            </w:r>
            <w:r w:rsidRPr="006E6EA6">
              <w:rPr>
                <w:rFonts w:cs="Arial"/>
                <w:szCs w:val="22"/>
              </w:rPr>
              <w:t xml:space="preserve"> y el </w:t>
            </w:r>
            <w:r w:rsidRPr="006E6EA6">
              <w:rPr>
                <w:rFonts w:cs="Arial"/>
                <w:b/>
                <w:szCs w:val="22"/>
                <w:u w:val="single"/>
              </w:rPr>
              <w:t>lucro cesante</w:t>
            </w:r>
            <w:r w:rsidRPr="006E6EA6">
              <w:rPr>
                <w:rFonts w:cs="Arial"/>
                <w:szCs w:val="22"/>
              </w:rPr>
              <w:t xml:space="preserve">, causadas por la infracción. </w:t>
            </w:r>
            <w:r w:rsidRPr="006E6EA6">
              <w:rPr>
                <w:rFonts w:cs="Arial"/>
                <w:b/>
                <w:szCs w:val="22"/>
                <w:u w:val="single"/>
              </w:rPr>
              <w:t>La cuantía de los ingresos no obtenidos</w:t>
            </w:r>
            <w:r w:rsidRPr="006E6EA6">
              <w:rPr>
                <w:rFonts w:cs="Arial"/>
                <w:szCs w:val="22"/>
              </w:rPr>
              <w:t>, se fijará teniendo en cuenta entre otros, los siguientes criterios:</w:t>
            </w:r>
          </w:p>
        </w:tc>
      </w:tr>
      <w:tr w:rsidR="003C7882" w:rsidRPr="006E6EA6" w:rsidTr="00BE2FC9">
        <w:trPr>
          <w:jc w:val="center"/>
        </w:trPr>
        <w:tc>
          <w:tcPr>
            <w:tcW w:w="4247" w:type="dxa"/>
            <w:tcBorders>
              <w:top w:val="nil"/>
              <w:left w:val="single" w:sz="4" w:space="0" w:color="auto"/>
              <w:bottom w:val="nil"/>
              <w:right w:val="single" w:sz="4" w:space="0" w:color="auto"/>
            </w:tcBorders>
            <w:vAlign w:val="center"/>
          </w:tcPr>
          <w:p w:rsidR="003C7882" w:rsidRPr="006E6EA6" w:rsidRDefault="003C7882" w:rsidP="00981727">
            <w:pPr>
              <w:spacing w:line="240" w:lineRule="auto"/>
              <w:rPr>
                <w:rFonts w:cs="Arial"/>
                <w:szCs w:val="22"/>
              </w:rPr>
            </w:pPr>
            <w:r w:rsidRPr="006E6EA6">
              <w:rPr>
                <w:rFonts w:cs="Arial"/>
                <w:szCs w:val="22"/>
              </w:rPr>
              <w:t xml:space="preserve">a) el </w:t>
            </w:r>
            <w:r w:rsidRPr="006E6EA6">
              <w:rPr>
                <w:rFonts w:cs="Arial"/>
                <w:b/>
                <w:szCs w:val="22"/>
                <w:u w:val="single"/>
              </w:rPr>
              <w:t>daño emergente</w:t>
            </w:r>
            <w:r w:rsidRPr="006E6EA6">
              <w:rPr>
                <w:rFonts w:cs="Arial"/>
                <w:szCs w:val="22"/>
              </w:rPr>
              <w:t xml:space="preserve"> y el </w:t>
            </w:r>
            <w:r w:rsidRPr="006E6EA6">
              <w:rPr>
                <w:rFonts w:cs="Arial"/>
                <w:b/>
                <w:szCs w:val="22"/>
                <w:u w:val="single"/>
              </w:rPr>
              <w:t>lucro cesante</w:t>
            </w:r>
            <w:r w:rsidRPr="006E6EA6">
              <w:rPr>
                <w:rFonts w:cs="Arial"/>
                <w:szCs w:val="22"/>
              </w:rPr>
              <w:t xml:space="preserve"> sufrido por el titular del derecho como consecuencia de la infracción;</w:t>
            </w:r>
          </w:p>
        </w:tc>
        <w:tc>
          <w:tcPr>
            <w:tcW w:w="4247" w:type="dxa"/>
            <w:tcBorders>
              <w:top w:val="nil"/>
              <w:left w:val="single" w:sz="4" w:space="0" w:color="auto"/>
              <w:bottom w:val="nil"/>
              <w:right w:val="single" w:sz="4" w:space="0" w:color="auto"/>
            </w:tcBorders>
            <w:vAlign w:val="center"/>
          </w:tcPr>
          <w:p w:rsidR="003C7882" w:rsidRPr="006E6EA6" w:rsidRDefault="003C7882" w:rsidP="00981727">
            <w:pPr>
              <w:spacing w:line="240" w:lineRule="auto"/>
              <w:rPr>
                <w:rFonts w:cs="Arial"/>
                <w:szCs w:val="22"/>
              </w:rPr>
            </w:pPr>
            <w:r w:rsidRPr="006E6EA6">
              <w:rPr>
                <w:rFonts w:cs="Arial"/>
                <w:szCs w:val="22"/>
              </w:rPr>
              <w:t>a) Los beneficios que el titular hubiese obtenido de no haberse producido la violación;</w:t>
            </w:r>
          </w:p>
        </w:tc>
      </w:tr>
      <w:tr w:rsidR="003C7882" w:rsidRPr="006E6EA6" w:rsidTr="00BE2FC9">
        <w:trPr>
          <w:jc w:val="center"/>
        </w:trPr>
        <w:tc>
          <w:tcPr>
            <w:tcW w:w="4247" w:type="dxa"/>
            <w:tcBorders>
              <w:top w:val="nil"/>
              <w:left w:val="single" w:sz="4" w:space="0" w:color="auto"/>
              <w:bottom w:val="nil"/>
              <w:right w:val="single" w:sz="4" w:space="0" w:color="auto"/>
            </w:tcBorders>
            <w:vAlign w:val="center"/>
          </w:tcPr>
          <w:p w:rsidR="003C7882" w:rsidRPr="006E6EA6" w:rsidRDefault="003C7882" w:rsidP="00981727">
            <w:pPr>
              <w:tabs>
                <w:tab w:val="left" w:pos="0"/>
              </w:tabs>
              <w:spacing w:line="240" w:lineRule="auto"/>
              <w:rPr>
                <w:rFonts w:cs="Arial"/>
                <w:szCs w:val="22"/>
              </w:rPr>
            </w:pPr>
            <w:r w:rsidRPr="006E6EA6">
              <w:rPr>
                <w:rFonts w:cs="Arial"/>
                <w:szCs w:val="22"/>
              </w:rPr>
              <w:t xml:space="preserve">b) el monto de los </w:t>
            </w:r>
            <w:r w:rsidRPr="006E6EA6">
              <w:rPr>
                <w:rFonts w:cs="Arial"/>
                <w:b/>
                <w:szCs w:val="22"/>
                <w:u w:val="single"/>
              </w:rPr>
              <w:t>beneficios obtenidos por el infractor</w:t>
            </w:r>
            <w:r w:rsidRPr="006E6EA6">
              <w:rPr>
                <w:rFonts w:cs="Arial"/>
                <w:szCs w:val="22"/>
              </w:rPr>
              <w:t xml:space="preserve"> como resultado de los actos de infracción; o,</w:t>
            </w:r>
          </w:p>
        </w:tc>
        <w:tc>
          <w:tcPr>
            <w:tcW w:w="4247" w:type="dxa"/>
            <w:tcBorders>
              <w:top w:val="nil"/>
              <w:left w:val="single" w:sz="4" w:space="0" w:color="auto"/>
              <w:bottom w:val="nil"/>
              <w:right w:val="single" w:sz="4" w:space="0" w:color="auto"/>
            </w:tcBorders>
            <w:vAlign w:val="center"/>
          </w:tcPr>
          <w:p w:rsidR="003C7882" w:rsidRPr="006E6EA6" w:rsidRDefault="003C7882" w:rsidP="00981727">
            <w:pPr>
              <w:spacing w:line="240" w:lineRule="auto"/>
              <w:rPr>
                <w:rFonts w:cs="Arial"/>
                <w:szCs w:val="22"/>
              </w:rPr>
            </w:pPr>
            <w:r w:rsidRPr="006E6EA6">
              <w:rPr>
                <w:rFonts w:cs="Arial"/>
                <w:szCs w:val="22"/>
              </w:rPr>
              <w:t xml:space="preserve">b) Los </w:t>
            </w:r>
            <w:r w:rsidRPr="006E6EA6">
              <w:rPr>
                <w:rFonts w:cs="Arial"/>
                <w:b/>
                <w:szCs w:val="22"/>
                <w:u w:val="single"/>
              </w:rPr>
              <w:t>beneficios obtenidos por el infractor</w:t>
            </w:r>
            <w:r w:rsidRPr="006E6EA6">
              <w:rPr>
                <w:rFonts w:cs="Arial"/>
                <w:szCs w:val="22"/>
              </w:rPr>
              <w:t xml:space="preserve"> como consecuencia de la violación;</w:t>
            </w:r>
          </w:p>
        </w:tc>
      </w:tr>
      <w:tr w:rsidR="003C7882" w:rsidRPr="006E6EA6" w:rsidTr="00BE2FC9">
        <w:trPr>
          <w:jc w:val="center"/>
        </w:trPr>
        <w:tc>
          <w:tcPr>
            <w:tcW w:w="4247" w:type="dxa"/>
            <w:tcBorders>
              <w:top w:val="nil"/>
              <w:left w:val="single" w:sz="4" w:space="0" w:color="auto"/>
              <w:bottom w:val="nil"/>
              <w:right w:val="single" w:sz="4" w:space="0" w:color="auto"/>
            </w:tcBorders>
            <w:vAlign w:val="center"/>
          </w:tcPr>
          <w:p w:rsidR="003C7882" w:rsidRPr="006E6EA6" w:rsidRDefault="003C7882" w:rsidP="00981727">
            <w:pPr>
              <w:spacing w:line="240" w:lineRule="auto"/>
              <w:rPr>
                <w:rFonts w:cs="Arial"/>
                <w:szCs w:val="22"/>
              </w:rPr>
            </w:pPr>
            <w:r w:rsidRPr="006E6EA6">
              <w:rPr>
                <w:rFonts w:cs="Arial"/>
                <w:szCs w:val="22"/>
              </w:rPr>
              <w:t xml:space="preserve">c) el </w:t>
            </w:r>
            <w:r w:rsidRPr="006E6EA6">
              <w:rPr>
                <w:rFonts w:cs="Arial"/>
                <w:b/>
                <w:szCs w:val="22"/>
                <w:u w:val="single"/>
              </w:rPr>
              <w:t>precio que el infractor habría pagado por concepto de una licencia contractual</w:t>
            </w:r>
            <w:r w:rsidRPr="006E6EA6">
              <w:rPr>
                <w:rFonts w:cs="Arial"/>
                <w:szCs w:val="22"/>
              </w:rPr>
              <w:t>, teniendo en cuenta el valor comercial del derecho infringido y las licencias contractuales que ya se hubieran concedido.</w:t>
            </w:r>
          </w:p>
        </w:tc>
        <w:tc>
          <w:tcPr>
            <w:tcW w:w="4247" w:type="dxa"/>
            <w:tcBorders>
              <w:top w:val="nil"/>
              <w:left w:val="single" w:sz="4" w:space="0" w:color="auto"/>
              <w:bottom w:val="nil"/>
              <w:right w:val="single" w:sz="4" w:space="0" w:color="auto"/>
            </w:tcBorders>
            <w:vAlign w:val="center"/>
          </w:tcPr>
          <w:p w:rsidR="003C7882" w:rsidRPr="006E6EA6" w:rsidRDefault="003C7882" w:rsidP="00981727">
            <w:pPr>
              <w:spacing w:line="240" w:lineRule="auto"/>
              <w:rPr>
                <w:rFonts w:cs="Arial"/>
                <w:szCs w:val="22"/>
              </w:rPr>
            </w:pPr>
            <w:r w:rsidRPr="006E6EA6">
              <w:rPr>
                <w:rFonts w:cs="Arial"/>
                <w:szCs w:val="22"/>
              </w:rPr>
              <w:t xml:space="preserve">c) El </w:t>
            </w:r>
            <w:r w:rsidRPr="006E6EA6">
              <w:rPr>
                <w:rFonts w:cs="Arial"/>
                <w:b/>
                <w:szCs w:val="22"/>
                <w:u w:val="single"/>
              </w:rPr>
              <w:t>precio, remuneración o regalía que el infractor hubiese tenido que pagar al titular</w:t>
            </w:r>
            <w:r w:rsidRPr="006E6EA6">
              <w:rPr>
                <w:rFonts w:cs="Arial"/>
                <w:szCs w:val="22"/>
              </w:rPr>
              <w:t>, para la explotación lícita de los derechos violados: y,</w:t>
            </w:r>
          </w:p>
        </w:tc>
      </w:tr>
      <w:tr w:rsidR="003C7882" w:rsidRPr="006E6EA6" w:rsidTr="00BE2FC9">
        <w:trPr>
          <w:trHeight w:val="877"/>
          <w:jc w:val="center"/>
        </w:trPr>
        <w:tc>
          <w:tcPr>
            <w:tcW w:w="4247" w:type="dxa"/>
            <w:tcBorders>
              <w:top w:val="nil"/>
              <w:left w:val="single" w:sz="4" w:space="0" w:color="auto"/>
              <w:bottom w:val="single" w:sz="4" w:space="0" w:color="auto"/>
              <w:right w:val="single" w:sz="4" w:space="0" w:color="auto"/>
            </w:tcBorders>
            <w:vAlign w:val="center"/>
          </w:tcPr>
          <w:p w:rsidR="003C7882" w:rsidRPr="006E6EA6" w:rsidRDefault="003C7882" w:rsidP="00981727">
            <w:pPr>
              <w:spacing w:line="240" w:lineRule="auto"/>
              <w:rPr>
                <w:rFonts w:cs="Arial"/>
                <w:szCs w:val="22"/>
              </w:rPr>
            </w:pPr>
          </w:p>
        </w:tc>
        <w:tc>
          <w:tcPr>
            <w:tcW w:w="4247" w:type="dxa"/>
            <w:tcBorders>
              <w:top w:val="nil"/>
              <w:left w:val="single" w:sz="4" w:space="0" w:color="auto"/>
              <w:bottom w:val="single" w:sz="4" w:space="0" w:color="auto"/>
              <w:right w:val="single" w:sz="4" w:space="0" w:color="auto"/>
            </w:tcBorders>
            <w:vAlign w:val="center"/>
          </w:tcPr>
          <w:p w:rsidR="003C7882" w:rsidRPr="006E6EA6" w:rsidRDefault="003C7882" w:rsidP="00981727">
            <w:pPr>
              <w:spacing w:line="240" w:lineRule="auto"/>
              <w:rPr>
                <w:rFonts w:cs="Arial"/>
                <w:szCs w:val="22"/>
              </w:rPr>
            </w:pPr>
            <w:r w:rsidRPr="006E6EA6">
              <w:rPr>
                <w:rFonts w:cs="Arial"/>
                <w:szCs w:val="22"/>
              </w:rPr>
              <w:t>d) Los gastos razonables, inclusive horarios profesionales, incurridos por el titular con relación a la controversia.</w:t>
            </w:r>
          </w:p>
        </w:tc>
      </w:tr>
    </w:tbl>
    <w:p w:rsidR="003C7882" w:rsidRPr="006E6EA6" w:rsidRDefault="003C7882" w:rsidP="00981727">
      <w:pPr>
        <w:spacing w:line="240" w:lineRule="auto"/>
        <w:rPr>
          <w:rFonts w:cs="Arial"/>
          <w:sz w:val="22"/>
          <w:szCs w:val="22"/>
          <w:lang w:val="es-ES"/>
        </w:rPr>
      </w:pPr>
    </w:p>
    <w:p w:rsidR="003C7882" w:rsidRPr="006E6EA6" w:rsidRDefault="00686376" w:rsidP="00BE2FC9">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lang w:val="es-ES"/>
        </w:rPr>
        <w:t>Como se puede apreciar,</w:t>
      </w:r>
      <w:r w:rsidR="003C7882" w:rsidRPr="006E6EA6">
        <w:rPr>
          <w:rFonts w:cs="Arial"/>
          <w:sz w:val="22"/>
          <w:szCs w:val="22"/>
          <w:lang w:val="es-ES"/>
        </w:rPr>
        <w:t xml:space="preserve"> el artículo 303 de la Ley</w:t>
      </w:r>
      <w:r w:rsidR="002062A0" w:rsidRPr="006E6EA6">
        <w:rPr>
          <w:rFonts w:cs="Arial"/>
          <w:sz w:val="22"/>
          <w:szCs w:val="22"/>
          <w:lang w:val="es-ES"/>
        </w:rPr>
        <w:t xml:space="preserve"> nacional</w:t>
      </w:r>
      <w:r w:rsidR="003C7882" w:rsidRPr="006E6EA6">
        <w:rPr>
          <w:rFonts w:cs="Arial"/>
          <w:sz w:val="22"/>
          <w:szCs w:val="22"/>
          <w:lang w:val="es-ES"/>
        </w:rPr>
        <w:t xml:space="preserve"> </w:t>
      </w:r>
      <w:r w:rsidR="00607A54" w:rsidRPr="006E6EA6">
        <w:rPr>
          <w:rFonts w:cs="Arial"/>
          <w:sz w:val="22"/>
          <w:szCs w:val="22"/>
          <w:lang w:val="es-ES"/>
        </w:rPr>
        <w:t xml:space="preserve">ecuatoriana </w:t>
      </w:r>
      <w:r w:rsidR="002062A0" w:rsidRPr="006E6EA6">
        <w:rPr>
          <w:rFonts w:cs="Arial"/>
          <w:sz w:val="22"/>
          <w:szCs w:val="22"/>
          <w:lang w:val="es-ES"/>
        </w:rPr>
        <w:t>contiene disposiciones más amplias y preci</w:t>
      </w:r>
      <w:r w:rsidR="00A45F1A" w:rsidRPr="006E6EA6">
        <w:rPr>
          <w:rFonts w:cs="Arial"/>
          <w:sz w:val="22"/>
          <w:szCs w:val="22"/>
          <w:lang w:val="es-ES"/>
        </w:rPr>
        <w:t>s</w:t>
      </w:r>
      <w:r w:rsidR="002062A0" w:rsidRPr="006E6EA6">
        <w:rPr>
          <w:rFonts w:cs="Arial"/>
          <w:sz w:val="22"/>
          <w:szCs w:val="22"/>
          <w:lang w:val="es-ES"/>
        </w:rPr>
        <w:t>as</w:t>
      </w:r>
      <w:r w:rsidR="003C7882" w:rsidRPr="006E6EA6">
        <w:rPr>
          <w:rFonts w:cs="Arial"/>
          <w:sz w:val="22"/>
          <w:szCs w:val="22"/>
          <w:lang w:val="es-ES"/>
        </w:rPr>
        <w:t xml:space="preserve"> que el artículo 243 de la Decisión</w:t>
      </w:r>
      <w:r w:rsidR="002062A0" w:rsidRPr="006E6EA6">
        <w:rPr>
          <w:rFonts w:cs="Arial"/>
          <w:sz w:val="22"/>
          <w:szCs w:val="22"/>
          <w:lang w:val="es-ES"/>
        </w:rPr>
        <w:t xml:space="preserve"> 486. Ello, toda vez que el artículo 303</w:t>
      </w:r>
      <w:r w:rsidR="003C7882" w:rsidRPr="006E6EA6">
        <w:rPr>
          <w:rFonts w:cs="Arial"/>
          <w:sz w:val="22"/>
          <w:szCs w:val="22"/>
          <w:lang w:val="es-ES"/>
        </w:rPr>
        <w:t xml:space="preserve"> trata separadamente dos aspectos diferentes:</w:t>
      </w:r>
    </w:p>
    <w:p w:rsidR="003C7882" w:rsidRPr="006E6EA6" w:rsidRDefault="003C7882" w:rsidP="00981727">
      <w:pPr>
        <w:pStyle w:val="Prrafodelista"/>
        <w:spacing w:line="240" w:lineRule="auto"/>
        <w:rPr>
          <w:rFonts w:cs="Arial"/>
          <w:sz w:val="22"/>
          <w:szCs w:val="22"/>
          <w:lang w:val="es-ES"/>
        </w:rPr>
      </w:pPr>
    </w:p>
    <w:p w:rsidR="003C7882" w:rsidRPr="006E6EA6" w:rsidRDefault="003C7882" w:rsidP="00BE2FC9">
      <w:pPr>
        <w:pStyle w:val="Prrafodelista"/>
        <w:numPr>
          <w:ilvl w:val="2"/>
          <w:numId w:val="13"/>
        </w:numPr>
        <w:spacing w:line="240" w:lineRule="auto"/>
        <w:ind w:left="709" w:hanging="142"/>
        <w:rPr>
          <w:rFonts w:cs="Arial"/>
          <w:sz w:val="22"/>
          <w:szCs w:val="22"/>
          <w:lang w:val="es-ES"/>
        </w:rPr>
      </w:pPr>
      <w:r w:rsidRPr="006E6EA6">
        <w:rPr>
          <w:rFonts w:cs="Arial"/>
          <w:sz w:val="22"/>
          <w:szCs w:val="22"/>
          <w:lang w:val="es-ES"/>
        </w:rPr>
        <w:t xml:space="preserve">qué comprenden los daños y perjuicios indemnizables: dispone que ellos comprenden las </w:t>
      </w:r>
      <w:r w:rsidR="002062A0" w:rsidRPr="006E6EA6">
        <w:rPr>
          <w:rFonts w:cs="Arial"/>
          <w:sz w:val="22"/>
          <w:szCs w:val="22"/>
          <w:lang w:val="es-ES"/>
        </w:rPr>
        <w:t>“</w:t>
      </w:r>
      <w:r w:rsidRPr="006E6EA6">
        <w:rPr>
          <w:rFonts w:cs="Arial"/>
          <w:sz w:val="22"/>
          <w:szCs w:val="22"/>
          <w:lang w:val="es-ES"/>
        </w:rPr>
        <w:t>pérdidas sufridas</w:t>
      </w:r>
      <w:r w:rsidR="002062A0" w:rsidRPr="006E6EA6">
        <w:rPr>
          <w:rFonts w:cs="Arial"/>
          <w:sz w:val="22"/>
          <w:szCs w:val="22"/>
          <w:lang w:val="es-ES"/>
        </w:rPr>
        <w:t>” (es decir el “daño emergente”</w:t>
      </w:r>
      <w:r w:rsidRPr="006E6EA6">
        <w:rPr>
          <w:rFonts w:cs="Arial"/>
          <w:sz w:val="22"/>
          <w:szCs w:val="22"/>
          <w:lang w:val="es-ES"/>
        </w:rPr>
        <w:t xml:space="preserve">) y el </w:t>
      </w:r>
      <w:r w:rsidR="002062A0" w:rsidRPr="006E6EA6">
        <w:rPr>
          <w:rFonts w:cs="Arial"/>
          <w:sz w:val="22"/>
          <w:szCs w:val="22"/>
          <w:lang w:val="es-ES"/>
        </w:rPr>
        <w:t>“</w:t>
      </w:r>
      <w:r w:rsidRPr="006E6EA6">
        <w:rPr>
          <w:rFonts w:cs="Arial"/>
          <w:sz w:val="22"/>
          <w:szCs w:val="22"/>
          <w:lang w:val="es-ES"/>
        </w:rPr>
        <w:t>lucro cesante</w:t>
      </w:r>
      <w:r w:rsidR="002062A0" w:rsidRPr="006E6EA6">
        <w:rPr>
          <w:rFonts w:cs="Arial"/>
          <w:sz w:val="22"/>
          <w:szCs w:val="22"/>
          <w:lang w:val="es-ES"/>
        </w:rPr>
        <w:t>”, causados por la infracción; y,</w:t>
      </w:r>
    </w:p>
    <w:p w:rsidR="003C7882" w:rsidRPr="006E6EA6" w:rsidRDefault="003C7882" w:rsidP="00981727">
      <w:pPr>
        <w:pStyle w:val="Prrafodelista"/>
        <w:spacing w:line="240" w:lineRule="auto"/>
        <w:ind w:left="426" w:hanging="284"/>
        <w:rPr>
          <w:rFonts w:cs="Arial"/>
          <w:sz w:val="22"/>
          <w:szCs w:val="22"/>
          <w:lang w:val="es-ES"/>
        </w:rPr>
      </w:pPr>
    </w:p>
    <w:p w:rsidR="003C7882" w:rsidRPr="006E6EA6" w:rsidRDefault="003C7882" w:rsidP="00BE2FC9">
      <w:pPr>
        <w:pStyle w:val="Prrafodelista"/>
        <w:numPr>
          <w:ilvl w:val="2"/>
          <w:numId w:val="13"/>
        </w:numPr>
        <w:spacing w:line="240" w:lineRule="auto"/>
        <w:ind w:left="709" w:hanging="142"/>
        <w:rPr>
          <w:rFonts w:cs="Arial"/>
          <w:sz w:val="22"/>
          <w:szCs w:val="22"/>
          <w:lang w:val="es-ES"/>
        </w:rPr>
      </w:pPr>
      <w:r w:rsidRPr="006E6EA6">
        <w:rPr>
          <w:rFonts w:cs="Arial"/>
          <w:sz w:val="22"/>
          <w:szCs w:val="22"/>
          <w:lang w:val="es-ES"/>
        </w:rPr>
        <w:t>cómo se fija la cuantía de la indemnización por el lucro cesante (</w:t>
      </w:r>
      <w:r w:rsidR="002062A0" w:rsidRPr="006E6EA6">
        <w:rPr>
          <w:rFonts w:cs="Arial"/>
          <w:sz w:val="22"/>
          <w:szCs w:val="22"/>
          <w:lang w:val="es-ES"/>
        </w:rPr>
        <w:t>“</w:t>
      </w:r>
      <w:r w:rsidRPr="006E6EA6">
        <w:rPr>
          <w:rFonts w:cs="Arial"/>
          <w:sz w:val="22"/>
          <w:szCs w:val="22"/>
          <w:lang w:val="es-ES"/>
        </w:rPr>
        <w:t>ingresos no obtenidos</w:t>
      </w:r>
      <w:r w:rsidR="002062A0" w:rsidRPr="006E6EA6">
        <w:rPr>
          <w:rFonts w:cs="Arial"/>
          <w:sz w:val="22"/>
          <w:szCs w:val="22"/>
          <w:lang w:val="es-ES"/>
        </w:rPr>
        <w:t>”</w:t>
      </w:r>
      <w:r w:rsidRPr="006E6EA6">
        <w:rPr>
          <w:rFonts w:cs="Arial"/>
          <w:sz w:val="22"/>
          <w:szCs w:val="22"/>
          <w:lang w:val="es-ES"/>
        </w:rPr>
        <w:t>): dispone que esa cuantía debe fijarse teniendo en cuenta, entre otros, los siguientes criterios:</w:t>
      </w:r>
    </w:p>
    <w:p w:rsidR="003C7882" w:rsidRPr="006E6EA6" w:rsidRDefault="003C7882" w:rsidP="00981727">
      <w:pPr>
        <w:pStyle w:val="Prrafodelista"/>
        <w:spacing w:line="240" w:lineRule="auto"/>
        <w:ind w:left="1134"/>
        <w:rPr>
          <w:rFonts w:cs="Arial"/>
          <w:sz w:val="22"/>
          <w:szCs w:val="22"/>
          <w:lang w:val="es-ES"/>
        </w:rPr>
      </w:pPr>
    </w:p>
    <w:p w:rsidR="003C7882" w:rsidRPr="006E6EA6" w:rsidRDefault="003C7882" w:rsidP="005F4FE3">
      <w:pPr>
        <w:pStyle w:val="Prrafodelista"/>
        <w:tabs>
          <w:tab w:val="left" w:pos="709"/>
        </w:tabs>
        <w:spacing w:line="240" w:lineRule="auto"/>
        <w:ind w:left="709" w:hanging="283"/>
        <w:rPr>
          <w:rFonts w:cs="Arial"/>
          <w:sz w:val="22"/>
          <w:szCs w:val="22"/>
          <w:lang w:val="es-ES"/>
        </w:rPr>
      </w:pPr>
      <w:r w:rsidRPr="006E6EA6">
        <w:rPr>
          <w:rFonts w:cs="Arial"/>
          <w:sz w:val="22"/>
          <w:szCs w:val="22"/>
          <w:lang w:val="es-ES"/>
        </w:rPr>
        <w:t xml:space="preserve">a) </w:t>
      </w:r>
      <w:r w:rsidR="002062A0" w:rsidRPr="006E6EA6">
        <w:rPr>
          <w:rFonts w:cs="Arial"/>
          <w:sz w:val="22"/>
          <w:szCs w:val="22"/>
          <w:lang w:val="es-ES"/>
        </w:rPr>
        <w:tab/>
      </w:r>
      <w:r w:rsidRPr="006E6EA6">
        <w:rPr>
          <w:rFonts w:cs="Arial"/>
          <w:sz w:val="22"/>
          <w:szCs w:val="22"/>
          <w:lang w:val="es-ES"/>
        </w:rPr>
        <w:t xml:space="preserve">Los beneficios que el titular hubiese obtenido de no haberse producido la </w:t>
      </w:r>
      <w:r w:rsidRPr="006E6EA6">
        <w:rPr>
          <w:rFonts w:cs="Arial"/>
          <w:sz w:val="22"/>
          <w:szCs w:val="22"/>
          <w:lang w:val="es-ES"/>
        </w:rPr>
        <w:lastRenderedPageBreak/>
        <w:t xml:space="preserve">infracción; </w:t>
      </w:r>
    </w:p>
    <w:p w:rsidR="003C7882" w:rsidRPr="006E6EA6" w:rsidRDefault="003C7882" w:rsidP="00981727">
      <w:pPr>
        <w:pStyle w:val="Prrafodelista"/>
        <w:tabs>
          <w:tab w:val="left" w:pos="851"/>
        </w:tabs>
        <w:spacing w:line="240" w:lineRule="auto"/>
        <w:ind w:left="851" w:hanging="425"/>
        <w:rPr>
          <w:rFonts w:cs="Arial"/>
          <w:sz w:val="22"/>
          <w:szCs w:val="22"/>
          <w:lang w:val="es-ES"/>
        </w:rPr>
      </w:pPr>
    </w:p>
    <w:p w:rsidR="003C7882" w:rsidRPr="006E6EA6" w:rsidRDefault="003C7882" w:rsidP="005F4FE3">
      <w:pPr>
        <w:pStyle w:val="Prrafodelista"/>
        <w:tabs>
          <w:tab w:val="left" w:pos="709"/>
        </w:tabs>
        <w:spacing w:line="240" w:lineRule="auto"/>
        <w:ind w:left="851" w:hanging="425"/>
        <w:rPr>
          <w:rFonts w:cs="Arial"/>
          <w:sz w:val="22"/>
          <w:szCs w:val="22"/>
          <w:lang w:val="es-ES"/>
        </w:rPr>
      </w:pPr>
      <w:r w:rsidRPr="006E6EA6">
        <w:rPr>
          <w:rFonts w:cs="Arial"/>
          <w:sz w:val="22"/>
          <w:szCs w:val="22"/>
          <w:lang w:val="es-ES"/>
        </w:rPr>
        <w:t xml:space="preserve">b) </w:t>
      </w:r>
      <w:r w:rsidR="002062A0" w:rsidRPr="006E6EA6">
        <w:rPr>
          <w:rFonts w:cs="Arial"/>
          <w:sz w:val="22"/>
          <w:szCs w:val="22"/>
          <w:lang w:val="es-ES"/>
        </w:rPr>
        <w:tab/>
      </w:r>
      <w:r w:rsidRPr="006E6EA6">
        <w:rPr>
          <w:rFonts w:cs="Arial"/>
          <w:sz w:val="22"/>
          <w:szCs w:val="22"/>
          <w:lang w:val="es-ES"/>
        </w:rPr>
        <w:t>Los beneficios obtenidos por el infractor como consecuencia de la infracción;</w:t>
      </w:r>
    </w:p>
    <w:p w:rsidR="003C7882" w:rsidRPr="006E6EA6" w:rsidRDefault="003C7882" w:rsidP="005F4FE3">
      <w:pPr>
        <w:pStyle w:val="Prrafodelista"/>
        <w:tabs>
          <w:tab w:val="left" w:pos="709"/>
        </w:tabs>
        <w:spacing w:line="240" w:lineRule="auto"/>
        <w:ind w:left="851" w:hanging="425"/>
        <w:rPr>
          <w:rFonts w:cs="Arial"/>
          <w:sz w:val="22"/>
          <w:szCs w:val="22"/>
          <w:lang w:val="es-ES"/>
        </w:rPr>
      </w:pPr>
    </w:p>
    <w:p w:rsidR="003C7882" w:rsidRPr="006E6EA6" w:rsidRDefault="003C7882" w:rsidP="005F4FE3">
      <w:pPr>
        <w:pStyle w:val="Prrafodelista"/>
        <w:tabs>
          <w:tab w:val="left" w:pos="709"/>
        </w:tabs>
        <w:spacing w:line="240" w:lineRule="auto"/>
        <w:ind w:left="709" w:hanging="283"/>
        <w:rPr>
          <w:rFonts w:cs="Arial"/>
          <w:sz w:val="22"/>
          <w:szCs w:val="22"/>
          <w:lang w:val="es-ES"/>
        </w:rPr>
      </w:pPr>
      <w:r w:rsidRPr="006E6EA6">
        <w:rPr>
          <w:rFonts w:cs="Arial"/>
          <w:sz w:val="22"/>
          <w:szCs w:val="22"/>
          <w:lang w:val="es-ES"/>
        </w:rPr>
        <w:t xml:space="preserve">c) </w:t>
      </w:r>
      <w:r w:rsidR="002062A0" w:rsidRPr="006E6EA6">
        <w:rPr>
          <w:rFonts w:cs="Arial"/>
          <w:sz w:val="22"/>
          <w:szCs w:val="22"/>
          <w:lang w:val="es-ES"/>
        </w:rPr>
        <w:tab/>
      </w:r>
      <w:r w:rsidRPr="006E6EA6">
        <w:rPr>
          <w:rFonts w:cs="Arial"/>
          <w:sz w:val="22"/>
          <w:szCs w:val="22"/>
          <w:lang w:val="es-ES"/>
        </w:rPr>
        <w:t xml:space="preserve">El precio, </w:t>
      </w:r>
      <w:r w:rsidR="002062A0" w:rsidRPr="006E6EA6">
        <w:rPr>
          <w:rFonts w:cs="Arial"/>
          <w:sz w:val="22"/>
          <w:szCs w:val="22"/>
          <w:lang w:val="es-ES"/>
        </w:rPr>
        <w:t>remuneración</w:t>
      </w:r>
      <w:r w:rsidRPr="006E6EA6">
        <w:rPr>
          <w:rFonts w:cs="Arial"/>
          <w:sz w:val="22"/>
          <w:szCs w:val="22"/>
          <w:lang w:val="es-ES"/>
        </w:rPr>
        <w:t xml:space="preserve"> o </w:t>
      </w:r>
      <w:r w:rsidR="002062A0" w:rsidRPr="006E6EA6">
        <w:rPr>
          <w:rFonts w:cs="Arial"/>
          <w:sz w:val="22"/>
          <w:szCs w:val="22"/>
          <w:lang w:val="es-ES"/>
        </w:rPr>
        <w:t>regalía</w:t>
      </w:r>
      <w:r w:rsidRPr="006E6EA6">
        <w:rPr>
          <w:rFonts w:cs="Arial"/>
          <w:sz w:val="22"/>
          <w:szCs w:val="22"/>
          <w:lang w:val="es-ES"/>
        </w:rPr>
        <w:t xml:space="preserve"> que el infractor hubiese tenido que pagar por la </w:t>
      </w:r>
      <w:r w:rsidR="002062A0" w:rsidRPr="006E6EA6">
        <w:rPr>
          <w:rFonts w:cs="Arial"/>
          <w:sz w:val="22"/>
          <w:szCs w:val="22"/>
          <w:lang w:val="es-ES"/>
        </w:rPr>
        <w:t>explotación</w:t>
      </w:r>
      <w:r w:rsidRPr="006E6EA6">
        <w:rPr>
          <w:rFonts w:cs="Arial"/>
          <w:sz w:val="22"/>
          <w:szCs w:val="22"/>
          <w:lang w:val="es-ES"/>
        </w:rPr>
        <w:t xml:space="preserve"> del derecho infringido.</w:t>
      </w:r>
    </w:p>
    <w:p w:rsidR="003C7882" w:rsidRPr="006E6EA6" w:rsidRDefault="003C7882" w:rsidP="00981727">
      <w:pPr>
        <w:spacing w:line="240" w:lineRule="auto"/>
        <w:rPr>
          <w:rFonts w:cs="Arial"/>
          <w:sz w:val="22"/>
          <w:szCs w:val="22"/>
          <w:lang w:val="es-ES"/>
        </w:rPr>
      </w:pPr>
    </w:p>
    <w:p w:rsidR="00D55F8F" w:rsidRPr="006E6EA6" w:rsidRDefault="003C7882" w:rsidP="00BE2FC9">
      <w:pPr>
        <w:pStyle w:val="Prrafodelista"/>
        <w:widowControl/>
        <w:numPr>
          <w:ilvl w:val="0"/>
          <w:numId w:val="1"/>
        </w:numPr>
        <w:adjustRightInd/>
        <w:spacing w:line="240" w:lineRule="auto"/>
        <w:ind w:left="426" w:hanging="426"/>
        <w:contextualSpacing w:val="0"/>
        <w:textAlignment w:val="auto"/>
        <w:rPr>
          <w:rFonts w:cs="Arial"/>
          <w:b/>
          <w:sz w:val="22"/>
          <w:szCs w:val="22"/>
          <w:lang w:val="es-ES"/>
        </w:rPr>
      </w:pPr>
      <w:r w:rsidRPr="006E6EA6">
        <w:rPr>
          <w:rFonts w:cs="Arial"/>
          <w:sz w:val="22"/>
          <w:szCs w:val="22"/>
          <w:lang w:val="es-ES"/>
        </w:rPr>
        <w:t xml:space="preserve">Por su parte, el artículo 243 de la Decisión </w:t>
      </w:r>
      <w:r w:rsidR="001113D9" w:rsidRPr="006E6EA6">
        <w:rPr>
          <w:rFonts w:cs="Arial"/>
          <w:sz w:val="22"/>
          <w:szCs w:val="22"/>
          <w:lang w:val="es-ES"/>
        </w:rPr>
        <w:t>4</w:t>
      </w:r>
      <w:r w:rsidRPr="006E6EA6">
        <w:rPr>
          <w:rFonts w:cs="Arial"/>
          <w:sz w:val="22"/>
          <w:szCs w:val="22"/>
          <w:lang w:val="es-ES"/>
        </w:rPr>
        <w:t xml:space="preserve">86 </w:t>
      </w:r>
      <w:r w:rsidR="001113D9" w:rsidRPr="006E6EA6">
        <w:rPr>
          <w:rFonts w:cs="Arial"/>
          <w:sz w:val="22"/>
          <w:szCs w:val="22"/>
          <w:lang w:val="es-ES"/>
        </w:rPr>
        <w:t>abarca</w:t>
      </w:r>
      <w:r w:rsidRPr="006E6EA6">
        <w:rPr>
          <w:rFonts w:cs="Arial"/>
          <w:sz w:val="22"/>
          <w:szCs w:val="22"/>
          <w:lang w:val="es-ES"/>
        </w:rPr>
        <w:t xml:space="preserve"> ambos aspectos bajo una única categoría de </w:t>
      </w:r>
      <w:r w:rsidR="001113D9" w:rsidRPr="006E6EA6">
        <w:rPr>
          <w:rFonts w:cs="Arial"/>
          <w:sz w:val="22"/>
          <w:szCs w:val="22"/>
          <w:lang w:val="es-ES"/>
        </w:rPr>
        <w:t>“</w:t>
      </w:r>
      <w:r w:rsidRPr="006E6EA6">
        <w:rPr>
          <w:rFonts w:cs="Arial"/>
          <w:sz w:val="22"/>
          <w:szCs w:val="22"/>
          <w:lang w:val="es-ES"/>
        </w:rPr>
        <w:t>criterios</w:t>
      </w:r>
      <w:r w:rsidR="001113D9" w:rsidRPr="006E6EA6">
        <w:rPr>
          <w:rFonts w:cs="Arial"/>
          <w:sz w:val="22"/>
          <w:szCs w:val="22"/>
          <w:lang w:val="es-ES"/>
        </w:rPr>
        <w:t>”</w:t>
      </w:r>
      <w:r w:rsidRPr="006E6EA6">
        <w:rPr>
          <w:rFonts w:cs="Arial"/>
          <w:sz w:val="22"/>
          <w:szCs w:val="22"/>
          <w:lang w:val="es-ES"/>
        </w:rPr>
        <w:t>. Así, en ese artículo 243</w:t>
      </w:r>
      <w:r w:rsidR="001113D9" w:rsidRPr="006E6EA6">
        <w:rPr>
          <w:rFonts w:cs="Arial"/>
          <w:sz w:val="22"/>
          <w:szCs w:val="22"/>
          <w:lang w:val="es-ES"/>
        </w:rPr>
        <w:t xml:space="preserve"> son “</w:t>
      </w:r>
      <w:r w:rsidRPr="006E6EA6">
        <w:rPr>
          <w:rFonts w:cs="Arial"/>
          <w:sz w:val="22"/>
          <w:szCs w:val="22"/>
          <w:lang w:val="es-ES"/>
        </w:rPr>
        <w:t>crite</w:t>
      </w:r>
      <w:r w:rsidR="001113D9" w:rsidRPr="006E6EA6">
        <w:rPr>
          <w:rFonts w:cs="Arial"/>
          <w:sz w:val="22"/>
          <w:szCs w:val="22"/>
          <w:lang w:val="es-ES"/>
        </w:rPr>
        <w:t>rios”</w:t>
      </w:r>
      <w:r w:rsidRPr="006E6EA6">
        <w:rPr>
          <w:rFonts w:cs="Arial"/>
          <w:sz w:val="22"/>
          <w:szCs w:val="22"/>
          <w:lang w:val="es-ES"/>
        </w:rPr>
        <w:t xml:space="preserve"> tanto los efectos perjudiciales del acto infractor (es decir, el daño emergente y el lucro cesante) como la manera de cuantificar la indemnización.  </w:t>
      </w:r>
    </w:p>
    <w:p w:rsidR="00D55F8F" w:rsidRPr="006E6EA6" w:rsidRDefault="00D55F8F" w:rsidP="00BE2FC9">
      <w:pPr>
        <w:pStyle w:val="Prrafodelista"/>
        <w:widowControl/>
        <w:adjustRightInd/>
        <w:spacing w:line="240" w:lineRule="auto"/>
        <w:ind w:left="426" w:hanging="426"/>
        <w:contextualSpacing w:val="0"/>
        <w:textAlignment w:val="auto"/>
        <w:rPr>
          <w:rFonts w:cs="Arial"/>
          <w:b/>
          <w:sz w:val="22"/>
          <w:szCs w:val="22"/>
          <w:lang w:val="es-ES"/>
        </w:rPr>
      </w:pPr>
    </w:p>
    <w:p w:rsidR="003C7882" w:rsidRPr="006E6EA6" w:rsidRDefault="003C7882" w:rsidP="00BE2FC9">
      <w:pPr>
        <w:pStyle w:val="Prrafodelista"/>
        <w:widowControl/>
        <w:numPr>
          <w:ilvl w:val="0"/>
          <w:numId w:val="1"/>
        </w:numPr>
        <w:adjustRightInd/>
        <w:spacing w:line="240" w:lineRule="auto"/>
        <w:ind w:left="426" w:hanging="426"/>
        <w:contextualSpacing w:val="0"/>
        <w:textAlignment w:val="auto"/>
        <w:rPr>
          <w:rFonts w:cs="Arial"/>
          <w:b/>
          <w:sz w:val="22"/>
          <w:szCs w:val="22"/>
          <w:lang w:val="es-ES"/>
        </w:rPr>
      </w:pPr>
      <w:r w:rsidRPr="006E6EA6">
        <w:rPr>
          <w:rFonts w:cs="Arial"/>
          <w:sz w:val="22"/>
          <w:szCs w:val="22"/>
          <w:lang w:val="es-ES"/>
        </w:rPr>
        <w:t>En cuanto a los criterios referidos específicamente a la manera de calcular la indemnización, el artículo 243 de la Decisión 486 sólo menciona dos, de modo no exhaustivo:</w:t>
      </w:r>
    </w:p>
    <w:p w:rsidR="003C7882" w:rsidRPr="006E6EA6" w:rsidRDefault="003C7882" w:rsidP="00981727">
      <w:pPr>
        <w:pStyle w:val="Prrafodelista"/>
        <w:spacing w:line="240" w:lineRule="auto"/>
        <w:rPr>
          <w:rFonts w:cs="Arial"/>
          <w:sz w:val="22"/>
          <w:szCs w:val="22"/>
          <w:lang w:val="es-ES"/>
        </w:rPr>
      </w:pPr>
    </w:p>
    <w:p w:rsidR="003C7882" w:rsidRPr="006E6EA6" w:rsidRDefault="003C7882" w:rsidP="00BE2FC9">
      <w:pPr>
        <w:pStyle w:val="Prrafodelista"/>
        <w:numPr>
          <w:ilvl w:val="0"/>
          <w:numId w:val="37"/>
        </w:numPr>
        <w:tabs>
          <w:tab w:val="left" w:pos="1276"/>
        </w:tabs>
        <w:spacing w:line="240" w:lineRule="auto"/>
        <w:ind w:left="709" w:hanging="283"/>
        <w:rPr>
          <w:rFonts w:cs="Arial"/>
          <w:sz w:val="22"/>
          <w:szCs w:val="22"/>
          <w:lang w:val="es-ES"/>
        </w:rPr>
      </w:pPr>
      <w:r w:rsidRPr="006E6EA6">
        <w:rPr>
          <w:rFonts w:cs="Arial"/>
          <w:sz w:val="22"/>
          <w:szCs w:val="22"/>
          <w:lang w:val="es-ES"/>
        </w:rPr>
        <w:t>el monto de los beneficios obtenidos por el infractor como resultado de la infracción; o,</w:t>
      </w:r>
    </w:p>
    <w:p w:rsidR="003C7882" w:rsidRPr="006E6EA6" w:rsidRDefault="003C7882" w:rsidP="00BE2FC9">
      <w:pPr>
        <w:pStyle w:val="Prrafodelista"/>
        <w:tabs>
          <w:tab w:val="left" w:pos="709"/>
          <w:tab w:val="left" w:pos="851"/>
        </w:tabs>
        <w:spacing w:line="240" w:lineRule="auto"/>
        <w:ind w:left="709" w:hanging="283"/>
        <w:rPr>
          <w:rFonts w:cs="Arial"/>
          <w:sz w:val="22"/>
          <w:szCs w:val="22"/>
          <w:lang w:val="es-ES"/>
        </w:rPr>
      </w:pPr>
    </w:p>
    <w:p w:rsidR="003C7882" w:rsidRPr="006E6EA6" w:rsidRDefault="003C7882" w:rsidP="00BE2FC9">
      <w:pPr>
        <w:pStyle w:val="Prrafodelista"/>
        <w:tabs>
          <w:tab w:val="left" w:pos="709"/>
        </w:tabs>
        <w:spacing w:line="240" w:lineRule="auto"/>
        <w:ind w:left="709" w:hanging="283"/>
        <w:rPr>
          <w:rFonts w:cs="Arial"/>
          <w:sz w:val="22"/>
          <w:szCs w:val="22"/>
          <w:lang w:val="es-ES"/>
        </w:rPr>
      </w:pPr>
      <w:r w:rsidRPr="006E6EA6">
        <w:rPr>
          <w:rFonts w:cs="Arial"/>
          <w:sz w:val="22"/>
          <w:szCs w:val="22"/>
          <w:lang w:val="es-ES"/>
        </w:rPr>
        <w:t xml:space="preserve">b) </w:t>
      </w:r>
      <w:r w:rsidR="001113D9" w:rsidRPr="006E6EA6">
        <w:rPr>
          <w:rFonts w:cs="Arial"/>
          <w:sz w:val="22"/>
          <w:szCs w:val="22"/>
          <w:lang w:val="es-ES"/>
        </w:rPr>
        <w:tab/>
      </w:r>
      <w:r w:rsidRPr="006E6EA6">
        <w:rPr>
          <w:rFonts w:cs="Arial"/>
          <w:sz w:val="22"/>
          <w:szCs w:val="22"/>
          <w:lang w:val="es-ES"/>
        </w:rPr>
        <w:t>el precio que el infractor habría pagado por concepto de una licencia contractual, teniendo en cuenta el valor comercial del derecho infringido y las licencias ya concedidas.</w:t>
      </w:r>
    </w:p>
    <w:p w:rsidR="003C7882" w:rsidRPr="006E6EA6" w:rsidRDefault="003C7882" w:rsidP="00981727">
      <w:pPr>
        <w:spacing w:line="240" w:lineRule="auto"/>
        <w:rPr>
          <w:rFonts w:cs="Arial"/>
          <w:b/>
          <w:sz w:val="22"/>
          <w:szCs w:val="22"/>
          <w:lang w:val="es-ES"/>
        </w:rPr>
      </w:pPr>
    </w:p>
    <w:p w:rsidR="003C7882" w:rsidRPr="006E6EA6" w:rsidRDefault="001961B0" w:rsidP="00BE2FC9">
      <w:pPr>
        <w:pStyle w:val="Prrafodelista"/>
        <w:widowControl/>
        <w:numPr>
          <w:ilvl w:val="0"/>
          <w:numId w:val="1"/>
        </w:numPr>
        <w:adjustRightInd/>
        <w:spacing w:line="240" w:lineRule="auto"/>
        <w:ind w:left="426" w:hanging="426"/>
        <w:contextualSpacing w:val="0"/>
        <w:textAlignment w:val="auto"/>
        <w:rPr>
          <w:rFonts w:cs="Arial"/>
          <w:b/>
          <w:sz w:val="22"/>
          <w:szCs w:val="22"/>
          <w:lang w:val="es-ES"/>
        </w:rPr>
      </w:pPr>
      <w:r w:rsidRPr="006E6EA6">
        <w:rPr>
          <w:rFonts w:cs="Arial"/>
          <w:sz w:val="22"/>
          <w:szCs w:val="22"/>
          <w:lang w:val="es-ES"/>
        </w:rPr>
        <w:t>Al respecto</w:t>
      </w:r>
      <w:r w:rsidR="001113D9" w:rsidRPr="006E6EA6">
        <w:rPr>
          <w:rFonts w:cs="Arial"/>
          <w:sz w:val="22"/>
          <w:szCs w:val="22"/>
          <w:lang w:val="es-ES"/>
        </w:rPr>
        <w:t>, e</w:t>
      </w:r>
      <w:r w:rsidR="003C7882" w:rsidRPr="006E6EA6">
        <w:rPr>
          <w:rFonts w:cs="Arial"/>
          <w:sz w:val="22"/>
          <w:szCs w:val="22"/>
          <w:lang w:val="es-ES"/>
        </w:rPr>
        <w:t>n el Proceso 204-IP-2013, el TJCA concluyó lo siguiente sobre esos dos criterios contenidos en los literales b) y c) del artículo 243</w:t>
      </w:r>
      <w:r w:rsidRPr="006E6EA6">
        <w:rPr>
          <w:rFonts w:cs="Arial"/>
          <w:sz w:val="22"/>
          <w:szCs w:val="22"/>
          <w:lang w:val="es-ES"/>
        </w:rPr>
        <w:t xml:space="preserve"> de la Decisión 486</w:t>
      </w:r>
      <w:r w:rsidR="003C7882" w:rsidRPr="006E6EA6">
        <w:rPr>
          <w:rFonts w:cs="Arial"/>
          <w:sz w:val="22"/>
          <w:szCs w:val="22"/>
          <w:lang w:val="es-ES"/>
        </w:rPr>
        <w:t>:</w:t>
      </w:r>
    </w:p>
    <w:p w:rsidR="003C7882" w:rsidRPr="006E6EA6" w:rsidRDefault="003C7882" w:rsidP="00BE2FC9">
      <w:pPr>
        <w:pStyle w:val="Prrafodelista"/>
        <w:spacing w:line="240" w:lineRule="auto"/>
        <w:ind w:left="426" w:right="567" w:hanging="426"/>
        <w:rPr>
          <w:rFonts w:cs="Arial"/>
          <w:sz w:val="22"/>
          <w:szCs w:val="22"/>
          <w:lang w:val="es-ES"/>
        </w:rPr>
      </w:pPr>
    </w:p>
    <w:p w:rsidR="003C7882" w:rsidRPr="006E6EA6" w:rsidRDefault="00D55F8F" w:rsidP="00BE2FC9">
      <w:pPr>
        <w:pStyle w:val="Prrafodelista"/>
        <w:spacing w:line="240" w:lineRule="auto"/>
        <w:ind w:left="426"/>
        <w:rPr>
          <w:rFonts w:cs="Arial"/>
          <w:sz w:val="22"/>
          <w:szCs w:val="22"/>
          <w:lang w:val="es-ES"/>
        </w:rPr>
      </w:pPr>
      <w:r w:rsidRPr="006E6EA6">
        <w:rPr>
          <w:rFonts w:cs="Arial"/>
          <w:sz w:val="22"/>
          <w:szCs w:val="22"/>
          <w:lang w:val="es-ES"/>
        </w:rPr>
        <w:t>“</w:t>
      </w:r>
      <w:r w:rsidRPr="006E6EA6">
        <w:rPr>
          <w:rFonts w:cs="Arial"/>
          <w:i/>
          <w:sz w:val="22"/>
          <w:szCs w:val="22"/>
          <w:lang w:val="es-ES"/>
        </w:rPr>
        <w:t>CUARTO: Sobre si los criterios señalados en el artículo 2</w:t>
      </w:r>
      <w:r w:rsidR="001961B0" w:rsidRPr="006E6EA6">
        <w:rPr>
          <w:rFonts w:cs="Arial"/>
          <w:i/>
          <w:sz w:val="22"/>
          <w:szCs w:val="22"/>
          <w:lang w:val="es-ES"/>
        </w:rPr>
        <w:t>43 son excluyentes entre sí o si</w:t>
      </w:r>
      <w:r w:rsidRPr="006E6EA6">
        <w:rPr>
          <w:rFonts w:cs="Arial"/>
          <w:i/>
          <w:sz w:val="22"/>
          <w:szCs w:val="22"/>
          <w:lang w:val="es-ES"/>
        </w:rPr>
        <w:t xml:space="preserve"> son complementarios para que de esta manera el Juez consultante pueda aplicarlos, este Tribunal advierte que los criterios señalados en los literales b) y c) constituyen un desarrollo de lo que se considera ‘lucro cesante’. Es decir, lo que pudo haber ganado el titular de no haber existido usurpación: lo que ganó el usurpador es lo que el titular debió haber ganado y el precio de la licencia es lo que hubiera podido obtener si lo hubiera licenciado.</w:t>
      </w:r>
      <w:r w:rsidRPr="006E6EA6">
        <w:rPr>
          <w:rFonts w:cs="Arial"/>
          <w:sz w:val="22"/>
          <w:szCs w:val="22"/>
          <w:lang w:val="es-ES"/>
        </w:rPr>
        <w:t>”</w:t>
      </w:r>
    </w:p>
    <w:p w:rsidR="00CB1BEC" w:rsidRPr="006E6EA6" w:rsidRDefault="00CB1BEC" w:rsidP="00BE2FC9">
      <w:pPr>
        <w:pStyle w:val="Prrafodelista"/>
        <w:spacing w:line="240" w:lineRule="auto"/>
        <w:ind w:left="426" w:hanging="426"/>
        <w:rPr>
          <w:rFonts w:cs="Arial"/>
          <w:i/>
          <w:sz w:val="22"/>
          <w:szCs w:val="22"/>
          <w:lang w:val="es-ES"/>
        </w:rPr>
      </w:pPr>
    </w:p>
    <w:p w:rsidR="001E6ADC" w:rsidRPr="006E6EA6" w:rsidRDefault="00CA7894" w:rsidP="00BE2FC9">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Lo anterior</w:t>
      </w:r>
      <w:r w:rsidR="003C7882" w:rsidRPr="006E6EA6">
        <w:rPr>
          <w:rFonts w:cs="Arial"/>
          <w:sz w:val="22"/>
          <w:szCs w:val="22"/>
          <w:lang w:val="es-ES"/>
        </w:rPr>
        <w:t xml:space="preserve"> llevaría a entender que los dos criterios son acumulativos y que la indemnización apunta solo a resarcir el daño emergente y el lucro cesante efectivamente sufridos por el reclamante.   </w:t>
      </w:r>
    </w:p>
    <w:p w:rsidR="001E6ADC" w:rsidRPr="006E6EA6" w:rsidRDefault="001E6ADC" w:rsidP="00BE2FC9">
      <w:pPr>
        <w:pStyle w:val="Prrafodelista"/>
        <w:widowControl/>
        <w:adjustRightInd/>
        <w:spacing w:line="240" w:lineRule="auto"/>
        <w:ind w:left="426" w:hanging="426"/>
        <w:contextualSpacing w:val="0"/>
        <w:textAlignment w:val="auto"/>
        <w:rPr>
          <w:rFonts w:cs="Arial"/>
          <w:sz w:val="22"/>
          <w:szCs w:val="22"/>
          <w:lang w:val="es-ES"/>
        </w:rPr>
      </w:pPr>
    </w:p>
    <w:p w:rsidR="001E6ADC" w:rsidRPr="006E6EA6" w:rsidRDefault="001961B0" w:rsidP="00BE2FC9">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Por otra parte, </w:t>
      </w:r>
      <w:r w:rsidR="003C7882" w:rsidRPr="006E6EA6">
        <w:rPr>
          <w:rFonts w:cs="Arial"/>
          <w:sz w:val="22"/>
          <w:szCs w:val="22"/>
          <w:lang w:val="es-ES"/>
        </w:rPr>
        <w:t xml:space="preserve">se observa que el artículo 303 de la ley </w:t>
      </w:r>
      <w:r w:rsidRPr="006E6EA6">
        <w:rPr>
          <w:rFonts w:cs="Arial"/>
          <w:sz w:val="22"/>
          <w:szCs w:val="22"/>
          <w:lang w:val="es-ES"/>
        </w:rPr>
        <w:t xml:space="preserve">ecuatoriana </w:t>
      </w:r>
      <w:r w:rsidR="003C7882" w:rsidRPr="006E6EA6">
        <w:rPr>
          <w:rFonts w:cs="Arial"/>
          <w:sz w:val="22"/>
          <w:szCs w:val="22"/>
          <w:lang w:val="es-ES"/>
        </w:rPr>
        <w:t>menciona expresamente</w:t>
      </w:r>
      <w:r w:rsidRPr="006E6EA6">
        <w:rPr>
          <w:rFonts w:cs="Arial"/>
          <w:sz w:val="22"/>
          <w:szCs w:val="22"/>
          <w:lang w:val="es-ES"/>
        </w:rPr>
        <w:t>,</w:t>
      </w:r>
      <w:r w:rsidR="003C7882" w:rsidRPr="006E6EA6">
        <w:rPr>
          <w:rFonts w:cs="Arial"/>
          <w:sz w:val="22"/>
          <w:szCs w:val="22"/>
          <w:lang w:val="es-ES"/>
        </w:rPr>
        <w:t xml:space="preserve"> como un tercer criterio para cuantificar el lucro cesante, el siguiente: los beneficios que el titular hubiese obtenido de no haberse producido la infracción.</w:t>
      </w:r>
      <w:r w:rsidRPr="006E6EA6">
        <w:rPr>
          <w:rFonts w:cs="Arial"/>
          <w:sz w:val="22"/>
          <w:szCs w:val="22"/>
          <w:lang w:val="es-ES"/>
        </w:rPr>
        <w:t xml:space="preserve"> Dicho criterio no se encuentra expresamente mencionado en el artículo 243 de la Decisión 486.</w:t>
      </w:r>
    </w:p>
    <w:p w:rsidR="00AA0A8E" w:rsidRPr="006E6EA6" w:rsidRDefault="00AA0A8E" w:rsidP="00BE2FC9">
      <w:pPr>
        <w:pStyle w:val="Prrafodelista"/>
        <w:widowControl/>
        <w:adjustRightInd/>
        <w:spacing w:line="240" w:lineRule="auto"/>
        <w:ind w:left="426" w:hanging="426"/>
        <w:contextualSpacing w:val="0"/>
        <w:textAlignment w:val="auto"/>
        <w:rPr>
          <w:rFonts w:cs="Arial"/>
          <w:sz w:val="22"/>
          <w:szCs w:val="22"/>
          <w:lang w:val="es-ES"/>
        </w:rPr>
      </w:pPr>
    </w:p>
    <w:p w:rsidR="008B1788" w:rsidRDefault="008B1788" w:rsidP="00BE2FC9">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En ese sentido, la disposición del artículo 303 de la Ley ecuatoriana es más detallada y amplia que la del artículo 243 de la Decisión 486; por lo que todo lo dispuesto en el artículo 243 queda subsumido en </w:t>
      </w:r>
      <w:r w:rsidR="00534EEC" w:rsidRPr="006E6EA6">
        <w:rPr>
          <w:rFonts w:cs="Arial"/>
          <w:sz w:val="22"/>
          <w:szCs w:val="22"/>
          <w:lang w:val="es-ES"/>
        </w:rPr>
        <w:t xml:space="preserve">el </w:t>
      </w:r>
      <w:r w:rsidRPr="006E6EA6">
        <w:rPr>
          <w:rFonts w:cs="Arial"/>
          <w:sz w:val="22"/>
          <w:szCs w:val="22"/>
          <w:lang w:val="es-ES"/>
        </w:rPr>
        <w:t>artículo 303. Asimismo, no se enc</w:t>
      </w:r>
      <w:r w:rsidR="00A45F1A" w:rsidRPr="006E6EA6">
        <w:rPr>
          <w:rFonts w:cs="Arial"/>
          <w:sz w:val="22"/>
          <w:szCs w:val="22"/>
          <w:lang w:val="es-ES"/>
        </w:rPr>
        <w:t>o</w:t>
      </w:r>
      <w:r w:rsidRPr="006E6EA6">
        <w:rPr>
          <w:rFonts w:cs="Arial"/>
          <w:sz w:val="22"/>
          <w:szCs w:val="22"/>
          <w:lang w:val="es-ES"/>
        </w:rPr>
        <w:t>ntra</w:t>
      </w:r>
      <w:r w:rsidR="00A45F1A" w:rsidRPr="006E6EA6">
        <w:rPr>
          <w:rFonts w:cs="Arial"/>
          <w:sz w:val="22"/>
          <w:szCs w:val="22"/>
          <w:lang w:val="es-ES"/>
        </w:rPr>
        <w:t>ría</w:t>
      </w:r>
      <w:r w:rsidRPr="006E6EA6">
        <w:rPr>
          <w:rFonts w:cs="Arial"/>
          <w:sz w:val="22"/>
          <w:szCs w:val="22"/>
          <w:lang w:val="es-ES"/>
        </w:rPr>
        <w:t xml:space="preserve"> alguna disposición del artículo 303 que cont</w:t>
      </w:r>
      <w:r w:rsidR="00534EEC" w:rsidRPr="006E6EA6">
        <w:rPr>
          <w:rFonts w:cs="Arial"/>
          <w:sz w:val="22"/>
          <w:szCs w:val="22"/>
          <w:lang w:val="es-ES"/>
        </w:rPr>
        <w:t xml:space="preserve">radiga </w:t>
      </w:r>
      <w:r w:rsidRPr="006E6EA6">
        <w:rPr>
          <w:rFonts w:cs="Arial"/>
          <w:sz w:val="22"/>
          <w:szCs w:val="22"/>
          <w:lang w:val="es-ES"/>
        </w:rPr>
        <w:t>o impida la aplicación del artículo 243 de la Decisión 486.</w:t>
      </w:r>
    </w:p>
    <w:p w:rsidR="005F4FE3" w:rsidRPr="005F4FE3" w:rsidRDefault="005F4FE3" w:rsidP="005F4FE3">
      <w:pPr>
        <w:pStyle w:val="Prrafodelista"/>
        <w:rPr>
          <w:rFonts w:cs="Arial"/>
          <w:sz w:val="22"/>
          <w:szCs w:val="22"/>
          <w:lang w:val="es-ES"/>
        </w:rPr>
      </w:pPr>
    </w:p>
    <w:p w:rsidR="00105961" w:rsidRPr="006E6EA6" w:rsidRDefault="00105961" w:rsidP="004035A7">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En consideración a ello, </w:t>
      </w:r>
      <w:r w:rsidR="00CA7894" w:rsidRPr="006E6EA6">
        <w:rPr>
          <w:rFonts w:cs="Arial"/>
          <w:sz w:val="22"/>
          <w:szCs w:val="22"/>
          <w:lang w:val="es-ES"/>
        </w:rPr>
        <w:t xml:space="preserve">esta Secretaría General considera que </w:t>
      </w:r>
      <w:r w:rsidRPr="006E6EA6">
        <w:rPr>
          <w:rFonts w:cs="Arial"/>
          <w:sz w:val="22"/>
          <w:szCs w:val="22"/>
          <w:lang w:val="es-ES"/>
        </w:rPr>
        <w:t>la sente</w:t>
      </w:r>
      <w:r w:rsidR="0035113F" w:rsidRPr="006E6EA6">
        <w:rPr>
          <w:rFonts w:cs="Arial"/>
          <w:sz w:val="22"/>
          <w:szCs w:val="22"/>
          <w:lang w:val="es-ES"/>
        </w:rPr>
        <w:t>ncia del Tribunal Distrital no contraviene lo dispuesto en</w:t>
      </w:r>
      <w:r w:rsidRPr="006E6EA6">
        <w:rPr>
          <w:rFonts w:cs="Arial"/>
          <w:sz w:val="22"/>
          <w:szCs w:val="22"/>
          <w:lang w:val="es-ES"/>
        </w:rPr>
        <w:t xml:space="preserve"> la interpretación prejudicial </w:t>
      </w:r>
      <w:r w:rsidR="00CA7894" w:rsidRPr="006E6EA6">
        <w:rPr>
          <w:rFonts w:cs="Arial"/>
          <w:sz w:val="22"/>
          <w:szCs w:val="22"/>
          <w:lang w:val="es-ES"/>
        </w:rPr>
        <w:t xml:space="preserve">del Proceso No. </w:t>
      </w:r>
      <w:r w:rsidRPr="006E6EA6">
        <w:rPr>
          <w:rFonts w:cs="Arial"/>
          <w:sz w:val="22"/>
          <w:szCs w:val="22"/>
          <w:lang w:val="es-ES"/>
        </w:rPr>
        <w:t xml:space="preserve">04-IP-2013 cuando resuelve que la indemnización por los daños y </w:t>
      </w:r>
      <w:r w:rsidRPr="006E6EA6">
        <w:rPr>
          <w:rFonts w:cs="Arial"/>
          <w:sz w:val="22"/>
          <w:szCs w:val="22"/>
          <w:lang w:val="es-ES"/>
        </w:rPr>
        <w:lastRenderedPageBreak/>
        <w:t xml:space="preserve">perjuicios debe calcularse en la forma prevista en el artículo 303 de la ley nacional ecuatoriana.  </w:t>
      </w:r>
    </w:p>
    <w:p w:rsidR="00105961" w:rsidRPr="006E6EA6" w:rsidRDefault="00105961" w:rsidP="004035A7">
      <w:pPr>
        <w:pStyle w:val="Prrafodelista"/>
        <w:widowControl/>
        <w:adjustRightInd/>
        <w:spacing w:line="240" w:lineRule="auto"/>
        <w:ind w:left="426" w:hanging="426"/>
        <w:contextualSpacing w:val="0"/>
        <w:textAlignment w:val="auto"/>
        <w:rPr>
          <w:rFonts w:cs="Arial"/>
          <w:sz w:val="22"/>
          <w:szCs w:val="22"/>
          <w:lang w:val="es-ES"/>
        </w:rPr>
      </w:pPr>
    </w:p>
    <w:p w:rsidR="00AB4774" w:rsidRPr="006E6EA6" w:rsidRDefault="00073A1E" w:rsidP="004035A7">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Ahora bien, la reclamante ha señalado que “[a]</w:t>
      </w:r>
      <w:r w:rsidRPr="006E6EA6">
        <w:rPr>
          <w:rFonts w:cs="Arial"/>
          <w:i/>
          <w:sz w:val="22"/>
          <w:szCs w:val="22"/>
          <w:lang w:val="es-ES"/>
        </w:rPr>
        <w:t>l margen de que dicha norma</w:t>
      </w:r>
      <w:r w:rsidRPr="006E6EA6">
        <w:rPr>
          <w:rFonts w:cs="Arial"/>
          <w:sz w:val="22"/>
          <w:szCs w:val="22"/>
          <w:lang w:val="es-ES"/>
        </w:rPr>
        <w:t xml:space="preserve"> [artículo 303 de la Ley de Propiedad Intelectual ecuatoriana] </w:t>
      </w:r>
      <w:r w:rsidRPr="006E6EA6">
        <w:rPr>
          <w:rFonts w:cs="Arial"/>
          <w:i/>
          <w:sz w:val="22"/>
          <w:szCs w:val="22"/>
          <w:lang w:val="es-ES"/>
        </w:rPr>
        <w:t>pueda tener mucha similitud con la norma comunitaria correspondiente, el aspecto que debemos tomar en cuenta es si el juez nacional adoptó en su sentencia la interpretación del Tribunal Andino</w:t>
      </w:r>
      <w:r w:rsidRPr="006E6EA6">
        <w:rPr>
          <w:rFonts w:cs="Arial"/>
          <w:sz w:val="22"/>
          <w:szCs w:val="22"/>
          <w:lang w:val="es-ES"/>
        </w:rPr>
        <w:t>”.</w:t>
      </w:r>
      <w:r w:rsidRPr="006E6EA6">
        <w:rPr>
          <w:rFonts w:cs="Arial"/>
          <w:sz w:val="22"/>
          <w:szCs w:val="22"/>
          <w:vertAlign w:val="superscript"/>
        </w:rPr>
        <w:footnoteReference w:id="29"/>
      </w:r>
      <w:r w:rsidR="00105961" w:rsidRPr="006E6EA6">
        <w:rPr>
          <w:rFonts w:cs="Arial"/>
          <w:sz w:val="22"/>
          <w:szCs w:val="22"/>
          <w:vertAlign w:val="superscript"/>
          <w:lang w:val="es-ES"/>
        </w:rPr>
        <w:t xml:space="preserve"> </w:t>
      </w:r>
    </w:p>
    <w:p w:rsidR="00334232" w:rsidRPr="006E6EA6" w:rsidRDefault="00334232" w:rsidP="004035A7">
      <w:pPr>
        <w:pStyle w:val="Prrafodelista"/>
        <w:widowControl/>
        <w:adjustRightInd/>
        <w:spacing w:line="240" w:lineRule="auto"/>
        <w:ind w:left="426" w:hanging="426"/>
        <w:contextualSpacing w:val="0"/>
        <w:textAlignment w:val="auto"/>
        <w:rPr>
          <w:rFonts w:cs="Arial"/>
          <w:sz w:val="22"/>
          <w:szCs w:val="22"/>
          <w:lang w:val="es-ES"/>
        </w:rPr>
      </w:pPr>
    </w:p>
    <w:p w:rsidR="00C603E2" w:rsidRPr="006E6EA6" w:rsidRDefault="00105961" w:rsidP="004035A7">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Al respecto,</w:t>
      </w:r>
      <w:r w:rsidR="00AA0A8E" w:rsidRPr="006E6EA6">
        <w:rPr>
          <w:rFonts w:cs="Arial"/>
          <w:sz w:val="22"/>
          <w:szCs w:val="22"/>
          <w:lang w:val="es-ES"/>
        </w:rPr>
        <w:t xml:space="preserve"> </w:t>
      </w:r>
      <w:r w:rsidRPr="006E6EA6">
        <w:rPr>
          <w:rFonts w:cs="Arial"/>
          <w:sz w:val="22"/>
          <w:szCs w:val="22"/>
          <w:lang w:val="es-ES"/>
        </w:rPr>
        <w:t xml:space="preserve">como se citó en los párrafos </w:t>
      </w:r>
      <w:r w:rsidR="009377AA" w:rsidRPr="006E6EA6">
        <w:rPr>
          <w:rFonts w:cs="Arial"/>
          <w:sz w:val="22"/>
          <w:szCs w:val="22"/>
          <w:lang w:val="es-ES"/>
        </w:rPr>
        <w:t>[3</w:t>
      </w:r>
      <w:r w:rsidR="00F56B65" w:rsidRPr="006E6EA6">
        <w:rPr>
          <w:rFonts w:cs="Arial"/>
          <w:sz w:val="22"/>
          <w:szCs w:val="22"/>
          <w:lang w:val="es-ES"/>
        </w:rPr>
        <w:t>3</w:t>
      </w:r>
      <w:r w:rsidRPr="006E6EA6">
        <w:rPr>
          <w:rFonts w:cs="Arial"/>
          <w:sz w:val="22"/>
          <w:szCs w:val="22"/>
          <w:lang w:val="es-ES"/>
        </w:rPr>
        <w:t>] y [</w:t>
      </w:r>
      <w:r w:rsidR="00F56B65" w:rsidRPr="006E6EA6">
        <w:rPr>
          <w:rFonts w:cs="Arial"/>
          <w:sz w:val="22"/>
          <w:szCs w:val="22"/>
          <w:lang w:val="es-ES"/>
        </w:rPr>
        <w:t>34</w:t>
      </w:r>
      <w:r w:rsidR="009377AA" w:rsidRPr="006E6EA6">
        <w:rPr>
          <w:rFonts w:cs="Arial"/>
          <w:sz w:val="22"/>
          <w:szCs w:val="22"/>
          <w:lang w:val="es-ES"/>
        </w:rPr>
        <w:t>]</w:t>
      </w:r>
      <w:r w:rsidRPr="006E6EA6">
        <w:rPr>
          <w:rFonts w:cs="Arial"/>
          <w:sz w:val="22"/>
          <w:szCs w:val="22"/>
          <w:lang w:val="es-ES"/>
        </w:rPr>
        <w:t>,</w:t>
      </w:r>
      <w:r w:rsidR="00C603E2" w:rsidRPr="006E6EA6">
        <w:rPr>
          <w:rFonts w:cs="Arial"/>
          <w:sz w:val="22"/>
          <w:szCs w:val="22"/>
          <w:lang w:val="es-ES"/>
        </w:rPr>
        <w:t xml:space="preserve"> el Tribunal de Justicia de la Comunidad Andina ha expresado </w:t>
      </w:r>
      <w:r w:rsidR="00097333" w:rsidRPr="006E6EA6">
        <w:rPr>
          <w:rFonts w:cs="Arial"/>
          <w:sz w:val="22"/>
          <w:szCs w:val="22"/>
          <w:lang w:val="es-ES"/>
        </w:rPr>
        <w:t xml:space="preserve">en los Procesos </w:t>
      </w:r>
      <w:r w:rsidR="00010AB3" w:rsidRPr="006E6EA6">
        <w:rPr>
          <w:rFonts w:cs="Arial"/>
          <w:sz w:val="22"/>
          <w:szCs w:val="22"/>
          <w:lang w:val="es-ES"/>
        </w:rPr>
        <w:t xml:space="preserve">Nos. </w:t>
      </w:r>
      <w:r w:rsidR="00097333" w:rsidRPr="006E6EA6">
        <w:rPr>
          <w:rFonts w:cs="Arial"/>
          <w:sz w:val="22"/>
          <w:szCs w:val="22"/>
          <w:lang w:val="es-ES"/>
        </w:rPr>
        <w:t>058-IP-2014 y 14</w:t>
      </w:r>
      <w:r w:rsidR="00C603E2" w:rsidRPr="006E6EA6">
        <w:rPr>
          <w:rFonts w:cs="Arial"/>
          <w:sz w:val="22"/>
          <w:szCs w:val="22"/>
          <w:lang w:val="es-ES"/>
        </w:rPr>
        <w:t>9-IP-2011 que el juez nacional debe tomar la interpretación prejudicial como parámetro interpretativo y que debe acatarla de manera integral y de conformidad con el sentido de la misma.</w:t>
      </w:r>
    </w:p>
    <w:p w:rsidR="00105961" w:rsidRPr="006E6EA6" w:rsidRDefault="00105961" w:rsidP="004035A7">
      <w:pPr>
        <w:pStyle w:val="Prrafodelista"/>
        <w:widowControl/>
        <w:adjustRightInd/>
        <w:spacing w:line="240" w:lineRule="auto"/>
        <w:ind w:left="426" w:hanging="426"/>
        <w:contextualSpacing w:val="0"/>
        <w:textAlignment w:val="auto"/>
        <w:rPr>
          <w:rFonts w:cs="Arial"/>
          <w:sz w:val="22"/>
          <w:szCs w:val="22"/>
          <w:lang w:val="es-ES"/>
        </w:rPr>
      </w:pPr>
    </w:p>
    <w:p w:rsidR="007F0AC2" w:rsidRPr="006E6EA6" w:rsidRDefault="00A40745" w:rsidP="004035A7">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Sobre el particular, </w:t>
      </w:r>
      <w:r w:rsidR="00A87236" w:rsidRPr="006E6EA6">
        <w:rPr>
          <w:rFonts w:cs="Arial"/>
          <w:sz w:val="22"/>
          <w:szCs w:val="22"/>
          <w:lang w:val="es-ES"/>
        </w:rPr>
        <w:t xml:space="preserve">a efectos de determinar si el juez nacional ecuatoriano acató la Interpretación Prejudicial del Proceso </w:t>
      </w:r>
      <w:r w:rsidR="0000560A" w:rsidRPr="006E6EA6">
        <w:rPr>
          <w:rFonts w:cs="Arial"/>
          <w:sz w:val="22"/>
          <w:szCs w:val="22"/>
          <w:lang w:val="es-ES"/>
        </w:rPr>
        <w:t xml:space="preserve">No. </w:t>
      </w:r>
      <w:r w:rsidR="00A87236" w:rsidRPr="006E6EA6">
        <w:rPr>
          <w:rFonts w:cs="Arial"/>
          <w:sz w:val="22"/>
          <w:szCs w:val="22"/>
          <w:lang w:val="es-ES"/>
        </w:rPr>
        <w:t xml:space="preserve">04-IP-2013, </w:t>
      </w:r>
      <w:r w:rsidR="00010AB3" w:rsidRPr="006E6EA6">
        <w:rPr>
          <w:rFonts w:cs="Arial"/>
          <w:sz w:val="22"/>
          <w:szCs w:val="22"/>
          <w:lang w:val="es-ES"/>
        </w:rPr>
        <w:t>es preciso</w:t>
      </w:r>
      <w:r w:rsidR="007F0AC2" w:rsidRPr="006E6EA6">
        <w:rPr>
          <w:rFonts w:cs="Arial"/>
          <w:sz w:val="22"/>
          <w:szCs w:val="22"/>
          <w:lang w:val="es-ES"/>
        </w:rPr>
        <w:t xml:space="preserve"> traer a colación lo señalado por la Sala Especializada de lo Contencioso Administrativo, en su Resolución No. 1270-2016</w:t>
      </w:r>
      <w:r w:rsidR="007F0AC2" w:rsidRPr="006E6EA6">
        <w:rPr>
          <w:rFonts w:cs="Arial"/>
          <w:sz w:val="22"/>
          <w:szCs w:val="22"/>
          <w:vertAlign w:val="superscript"/>
        </w:rPr>
        <w:footnoteReference w:id="30"/>
      </w:r>
      <w:r w:rsidR="007F0AC2" w:rsidRPr="006E6EA6">
        <w:rPr>
          <w:rFonts w:cs="Arial"/>
          <w:sz w:val="22"/>
          <w:szCs w:val="22"/>
          <w:lang w:val="es-ES"/>
        </w:rPr>
        <w:t>, mediante la cual resuelve el Recurso de Casación interpuesto por ECUAQUÍMICA:</w:t>
      </w:r>
    </w:p>
    <w:p w:rsidR="00046525" w:rsidRPr="006E6EA6" w:rsidRDefault="00046525" w:rsidP="00981727">
      <w:pPr>
        <w:widowControl/>
        <w:tabs>
          <w:tab w:val="left" w:pos="567"/>
        </w:tabs>
        <w:adjustRightInd/>
        <w:spacing w:line="240" w:lineRule="auto"/>
        <w:textAlignment w:val="auto"/>
        <w:rPr>
          <w:rFonts w:cs="Arial"/>
          <w:sz w:val="22"/>
          <w:szCs w:val="22"/>
          <w:lang w:val="es-ES"/>
        </w:rPr>
      </w:pPr>
    </w:p>
    <w:p w:rsidR="00AA0A8E" w:rsidRPr="006E6EA6" w:rsidRDefault="00AA0A8E" w:rsidP="004035A7">
      <w:pPr>
        <w:widowControl/>
        <w:adjustRightInd/>
        <w:spacing w:line="240" w:lineRule="auto"/>
        <w:ind w:left="709"/>
        <w:textAlignment w:val="auto"/>
        <w:rPr>
          <w:rFonts w:cs="Arial"/>
          <w:i/>
          <w:sz w:val="22"/>
          <w:szCs w:val="22"/>
          <w:lang w:val="es-ES"/>
        </w:rPr>
      </w:pPr>
      <w:r w:rsidRPr="006E6EA6">
        <w:rPr>
          <w:rFonts w:cs="Arial"/>
          <w:sz w:val="22"/>
          <w:szCs w:val="22"/>
          <w:lang w:val="es-ES"/>
        </w:rPr>
        <w:t>“</w:t>
      </w:r>
      <w:r w:rsidR="0052475D" w:rsidRPr="006E6EA6">
        <w:rPr>
          <w:rFonts w:cs="Arial"/>
          <w:sz w:val="22"/>
          <w:szCs w:val="22"/>
          <w:lang w:val="es-ES"/>
        </w:rPr>
        <w:t xml:space="preserve">(…) </w:t>
      </w:r>
      <w:r w:rsidR="00001AC5" w:rsidRPr="006E6EA6">
        <w:rPr>
          <w:rFonts w:cs="Arial"/>
          <w:i/>
          <w:sz w:val="22"/>
          <w:szCs w:val="22"/>
          <w:lang w:val="es-ES"/>
        </w:rPr>
        <w:t xml:space="preserve">Al respecto si bien el Tribunal distrital lo </w:t>
      </w:r>
      <w:r w:rsidR="00001AC5" w:rsidRPr="006E6EA6">
        <w:rPr>
          <w:rFonts w:cs="Arial"/>
          <w:sz w:val="22"/>
          <w:szCs w:val="22"/>
          <w:lang w:val="es-ES"/>
        </w:rPr>
        <w:t>(SIC)</w:t>
      </w:r>
      <w:r w:rsidR="00001AC5" w:rsidRPr="006E6EA6">
        <w:rPr>
          <w:rFonts w:cs="Arial"/>
          <w:i/>
          <w:sz w:val="22"/>
          <w:szCs w:val="22"/>
          <w:lang w:val="es-ES"/>
        </w:rPr>
        <w:t xml:space="preserve"> Contencioso Administrativo No. 1 no hace referencia en su sentencia a dicho proceso, dado que </w:t>
      </w:r>
      <w:r w:rsidR="00001AC5" w:rsidRPr="006E6EA6">
        <w:rPr>
          <w:rFonts w:cs="Arial"/>
          <w:i/>
          <w:sz w:val="22"/>
          <w:szCs w:val="22"/>
          <w:u w:val="single"/>
          <w:lang w:val="es-ES"/>
        </w:rPr>
        <w:t>el mismo constituye elemento necesario para elaborar la premisa normativa</w:t>
      </w:r>
      <w:r w:rsidR="00001AC5" w:rsidRPr="006E6EA6">
        <w:rPr>
          <w:rFonts w:cs="Arial"/>
          <w:i/>
          <w:sz w:val="22"/>
          <w:szCs w:val="22"/>
          <w:lang w:val="es-ES"/>
        </w:rPr>
        <w:t xml:space="preserve"> (y no fáctica) aplicable al caso concreto, es necesario resaltar que obra de autos dicha interpretación Judicial (fojas 807-833), donde el Tribunal de Justicia de la Comunidad Andina en relación a los actos de competencia desleal señala en sus conclusiones:</w:t>
      </w:r>
    </w:p>
    <w:p w:rsidR="003C4939" w:rsidRPr="006E6EA6" w:rsidRDefault="003C4939" w:rsidP="004035A7">
      <w:pPr>
        <w:widowControl/>
        <w:adjustRightInd/>
        <w:spacing w:line="240" w:lineRule="auto"/>
        <w:ind w:left="709"/>
        <w:textAlignment w:val="auto"/>
        <w:rPr>
          <w:rFonts w:cs="Arial"/>
          <w:i/>
          <w:sz w:val="22"/>
          <w:szCs w:val="22"/>
          <w:lang w:val="es-ES"/>
        </w:rPr>
      </w:pPr>
    </w:p>
    <w:p w:rsidR="00C531F2" w:rsidRPr="006E6EA6" w:rsidRDefault="0052475D" w:rsidP="004035A7">
      <w:pPr>
        <w:widowControl/>
        <w:adjustRightInd/>
        <w:spacing w:line="240" w:lineRule="auto"/>
        <w:ind w:left="709"/>
        <w:textAlignment w:val="auto"/>
        <w:rPr>
          <w:rFonts w:cs="Arial"/>
          <w:i/>
          <w:sz w:val="22"/>
          <w:szCs w:val="22"/>
          <w:lang w:val="es-ES"/>
        </w:rPr>
      </w:pPr>
      <w:r w:rsidRPr="006E6EA6">
        <w:rPr>
          <w:rFonts w:cs="Arial"/>
          <w:i/>
          <w:sz w:val="22"/>
          <w:szCs w:val="22"/>
          <w:lang w:val="es-ES"/>
        </w:rPr>
        <w:t xml:space="preserve">‘PRIMERO: …Dentro de los actos de descrédito comercial se encuentran todas aquellas aseveraciones falsas sobre el establecimiento, los productos o la actividad industrial o comercial de un competidor, que tengan el efecto de desacreditarlo ante el público consumidor. Los actos de competencia desleal por el descrédito comercial se encuentran relacionados a la utilización de la marca registrada para amparar productos prohibidos’. </w:t>
      </w:r>
      <w:r w:rsidR="003C4939" w:rsidRPr="006E6EA6">
        <w:rPr>
          <w:rFonts w:cs="Arial"/>
          <w:i/>
          <w:sz w:val="22"/>
          <w:szCs w:val="22"/>
          <w:lang w:val="es-ES"/>
        </w:rPr>
        <w:t xml:space="preserve">En la parte considerativa de la interpretación judicial, el Tribunal de Justicia </w:t>
      </w:r>
      <w:r w:rsidRPr="006E6EA6">
        <w:rPr>
          <w:rFonts w:cs="Arial"/>
          <w:i/>
          <w:sz w:val="22"/>
          <w:szCs w:val="22"/>
          <w:lang w:val="es-ES"/>
        </w:rPr>
        <w:t>de la Comunidad Andina menciona:</w:t>
      </w:r>
      <w:r w:rsidR="003C4939" w:rsidRPr="006E6EA6">
        <w:rPr>
          <w:rFonts w:cs="Arial"/>
          <w:i/>
          <w:sz w:val="22"/>
          <w:szCs w:val="22"/>
          <w:lang w:val="es-ES"/>
        </w:rPr>
        <w:t xml:space="preserve"> ‘lo que se pretende con el ejercicio de la acción por competencia desleal es no solo la calificación de la conducta como tal y la orden del Juez para que suspenda o impida la conducta, sino que cabe la indemnización de daños y perjuicios, para lo cual, se deberá consultar si el ordenamiento jurídico del País Miembro permite dicha pretensión en el marco de la acción de competencia </w:t>
      </w:r>
      <w:r w:rsidR="00C531F2" w:rsidRPr="006E6EA6">
        <w:rPr>
          <w:rFonts w:cs="Arial"/>
          <w:i/>
          <w:sz w:val="22"/>
          <w:szCs w:val="22"/>
          <w:lang w:val="es-ES"/>
        </w:rPr>
        <w:t>desleal</w:t>
      </w:r>
      <w:r w:rsidR="003C4939" w:rsidRPr="006E6EA6">
        <w:rPr>
          <w:rFonts w:cs="Arial"/>
          <w:i/>
          <w:sz w:val="22"/>
          <w:szCs w:val="22"/>
          <w:lang w:val="es-ES"/>
        </w:rPr>
        <w:t>,</w:t>
      </w:r>
      <w:r w:rsidR="00C531F2" w:rsidRPr="006E6EA6">
        <w:rPr>
          <w:rFonts w:cs="Arial"/>
          <w:i/>
          <w:sz w:val="22"/>
          <w:szCs w:val="22"/>
          <w:lang w:val="es-ES"/>
        </w:rPr>
        <w:t xml:space="preserve"> o si prevé que la indemnización de perjuicios debe ser solicitada mediante un proceso diferente, o como un incidente o procedimiento específico ante el mismo Juez que conoce del proceso de competencia desleal.</w:t>
      </w:r>
    </w:p>
    <w:p w:rsidR="00C531F2" w:rsidRPr="006E6EA6" w:rsidRDefault="00C531F2" w:rsidP="00981727">
      <w:pPr>
        <w:widowControl/>
        <w:adjustRightInd/>
        <w:spacing w:line="240" w:lineRule="auto"/>
        <w:ind w:left="1134"/>
        <w:textAlignment w:val="auto"/>
        <w:rPr>
          <w:rFonts w:cs="Arial"/>
          <w:i/>
          <w:sz w:val="22"/>
          <w:szCs w:val="22"/>
          <w:lang w:val="es-ES"/>
        </w:rPr>
      </w:pPr>
    </w:p>
    <w:p w:rsidR="003C4939" w:rsidRPr="006E6EA6" w:rsidRDefault="00C531F2" w:rsidP="0065256D">
      <w:pPr>
        <w:widowControl/>
        <w:adjustRightInd/>
        <w:spacing w:line="240" w:lineRule="auto"/>
        <w:ind w:left="709"/>
        <w:textAlignment w:val="auto"/>
        <w:rPr>
          <w:rFonts w:cs="Arial"/>
          <w:sz w:val="22"/>
          <w:szCs w:val="22"/>
          <w:lang w:val="es-ES"/>
        </w:rPr>
      </w:pPr>
      <w:r w:rsidRPr="006E6EA6">
        <w:rPr>
          <w:rFonts w:cs="Arial"/>
          <w:i/>
          <w:sz w:val="22"/>
          <w:szCs w:val="22"/>
          <w:lang w:val="es-ES"/>
        </w:rPr>
        <w:t xml:space="preserve">De conformidad con lo anterior, la Entidad consultante, deberá atenerse a lo que disponga la legislación interna en relación con la indemnización de daños y perjuicios como consecuencia de un acto de competencia desleal.’ De lo </w:t>
      </w:r>
      <w:r w:rsidRPr="006E6EA6">
        <w:rPr>
          <w:rFonts w:cs="Arial"/>
          <w:i/>
          <w:sz w:val="22"/>
          <w:szCs w:val="22"/>
          <w:lang w:val="es-ES"/>
        </w:rPr>
        <w:lastRenderedPageBreak/>
        <w:t xml:space="preserve">expuesto, </w:t>
      </w:r>
      <w:r w:rsidRPr="006E6EA6">
        <w:rPr>
          <w:rFonts w:cs="Arial"/>
          <w:i/>
          <w:sz w:val="22"/>
          <w:szCs w:val="22"/>
          <w:u w:val="single"/>
          <w:lang w:val="es-ES"/>
        </w:rPr>
        <w:t>resulta que el Tribunal de Instancia sí aplicó el sentido y alcance de lo manifestado por el Tribunal de justicia supranacional en la Interpretación Prejudicial en el Proceso No. 04-IP-2013, al establecer los actos de competencia desleal, artículo 285 de la Ley de Propiedad Intelectual, y por otro, la forma de determinar los daños y perjuicios resultantes de estos actos, que según el Tribunal supranacional debe ser aquella establecidas en las jurisdicciones internas de cada Estado parte, es decir, el artículo 303 de la Ley de Propiedad Intelectual</w:t>
      </w:r>
      <w:r w:rsidRPr="006E6EA6">
        <w:rPr>
          <w:rFonts w:cs="Arial"/>
          <w:sz w:val="22"/>
          <w:szCs w:val="22"/>
          <w:lang w:val="es-ES"/>
        </w:rPr>
        <w:t>.”</w:t>
      </w:r>
      <w:r w:rsidRPr="006E6EA6">
        <w:rPr>
          <w:rStyle w:val="Refdenotaalpie"/>
          <w:rFonts w:cs="Arial"/>
          <w:sz w:val="22"/>
          <w:szCs w:val="22"/>
          <w:lang w:val="es-ES"/>
        </w:rPr>
        <w:footnoteReference w:id="31"/>
      </w:r>
      <w:r w:rsidRPr="006E6EA6">
        <w:rPr>
          <w:rFonts w:cs="Arial"/>
          <w:sz w:val="22"/>
          <w:szCs w:val="22"/>
          <w:lang w:val="es-ES"/>
        </w:rPr>
        <w:t xml:space="preserve">  </w:t>
      </w:r>
      <w:r w:rsidR="0052475D" w:rsidRPr="006E6EA6">
        <w:rPr>
          <w:rFonts w:cs="Arial"/>
          <w:sz w:val="22"/>
          <w:szCs w:val="22"/>
          <w:lang w:val="es-ES"/>
        </w:rPr>
        <w:t>(Énfasis agregado)</w:t>
      </w:r>
    </w:p>
    <w:p w:rsidR="00BE4F1E" w:rsidRPr="006E6EA6" w:rsidRDefault="00BE4F1E" w:rsidP="00981727">
      <w:pPr>
        <w:pStyle w:val="Prrafodelista"/>
        <w:widowControl/>
        <w:adjustRightInd/>
        <w:spacing w:line="240" w:lineRule="auto"/>
        <w:ind w:left="0"/>
        <w:contextualSpacing w:val="0"/>
        <w:textAlignment w:val="auto"/>
        <w:rPr>
          <w:rFonts w:cs="Arial"/>
          <w:sz w:val="22"/>
          <w:szCs w:val="22"/>
          <w:lang w:val="es-ES"/>
        </w:rPr>
      </w:pPr>
    </w:p>
    <w:p w:rsidR="007F0AC2" w:rsidRPr="006E6EA6" w:rsidRDefault="007F0AC2"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Como se puede observar, la República del Ecuador, a través de la Sala Especializada de lo Contencioso Administrativo, manifestó, en su Resolución No. 1270-2016</w:t>
      </w:r>
      <w:r w:rsidRPr="00EE64EB">
        <w:rPr>
          <w:rStyle w:val="Refdenotaalpie"/>
          <w:lang w:val="es-ES"/>
        </w:rPr>
        <w:footnoteReference w:id="32"/>
      </w:r>
      <w:r w:rsidRPr="006E6EA6">
        <w:rPr>
          <w:rFonts w:cs="Arial"/>
          <w:sz w:val="22"/>
          <w:szCs w:val="22"/>
          <w:lang w:val="es-ES"/>
        </w:rPr>
        <w:t xml:space="preserve">, que el Tribunal Distrital </w:t>
      </w:r>
      <w:r w:rsidRPr="006E6EA6">
        <w:rPr>
          <w:rFonts w:cs="Arial"/>
          <w:sz w:val="22"/>
          <w:szCs w:val="22"/>
          <w:u w:val="single"/>
          <w:lang w:val="es-ES"/>
        </w:rPr>
        <w:t xml:space="preserve">sí aplicó el sentido y alcance de lo manifestado por el Tribunal de </w:t>
      </w:r>
      <w:r w:rsidR="006F39DE" w:rsidRPr="006E6EA6">
        <w:rPr>
          <w:rFonts w:cs="Arial"/>
          <w:sz w:val="22"/>
          <w:szCs w:val="22"/>
          <w:u w:val="single"/>
          <w:lang w:val="es-ES"/>
        </w:rPr>
        <w:t xml:space="preserve">Justicia </w:t>
      </w:r>
      <w:r w:rsidRPr="006E6EA6">
        <w:rPr>
          <w:rFonts w:cs="Arial"/>
          <w:sz w:val="22"/>
          <w:szCs w:val="22"/>
          <w:u w:val="single"/>
          <w:lang w:val="es-ES"/>
        </w:rPr>
        <w:t>supranacional en la Interpretación Prejudicial en el Proceso No. 04-IP-2013, al establecer los actos de competencia desleal y la determina</w:t>
      </w:r>
      <w:r w:rsidR="006F39DE" w:rsidRPr="006E6EA6">
        <w:rPr>
          <w:rFonts w:cs="Arial"/>
          <w:sz w:val="22"/>
          <w:szCs w:val="22"/>
          <w:u w:val="single"/>
          <w:lang w:val="es-ES"/>
        </w:rPr>
        <w:t>ción de</w:t>
      </w:r>
      <w:r w:rsidRPr="006E6EA6">
        <w:rPr>
          <w:rFonts w:cs="Arial"/>
          <w:sz w:val="22"/>
          <w:szCs w:val="22"/>
          <w:u w:val="single"/>
          <w:lang w:val="es-ES"/>
        </w:rPr>
        <w:t xml:space="preserve"> los daños y perjuicios resultantes de estos actos</w:t>
      </w:r>
      <w:r w:rsidRPr="006E6EA6">
        <w:rPr>
          <w:rFonts w:cs="Arial"/>
          <w:sz w:val="22"/>
          <w:szCs w:val="22"/>
          <w:lang w:val="es-ES"/>
        </w:rPr>
        <w:t>.</w:t>
      </w:r>
    </w:p>
    <w:p w:rsidR="007F0AC2" w:rsidRPr="006E6EA6" w:rsidRDefault="007F0AC2" w:rsidP="0065256D">
      <w:pPr>
        <w:pStyle w:val="Prrafodelista"/>
        <w:widowControl/>
        <w:adjustRightInd/>
        <w:spacing w:line="240" w:lineRule="auto"/>
        <w:ind w:left="426" w:hanging="426"/>
        <w:contextualSpacing w:val="0"/>
        <w:textAlignment w:val="auto"/>
        <w:rPr>
          <w:rFonts w:cs="Arial"/>
          <w:sz w:val="22"/>
          <w:szCs w:val="22"/>
          <w:lang w:val="es-ES"/>
        </w:rPr>
      </w:pPr>
    </w:p>
    <w:p w:rsidR="00376CA6" w:rsidRPr="006E6EA6" w:rsidRDefault="007741CF"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Asimismo</w:t>
      </w:r>
      <w:r w:rsidR="00376CA6" w:rsidRPr="006E6EA6">
        <w:rPr>
          <w:rFonts w:cs="Arial"/>
          <w:sz w:val="22"/>
          <w:szCs w:val="22"/>
          <w:lang w:val="es-ES"/>
        </w:rPr>
        <w:t xml:space="preserve">, en el numeral 3.5.1 de la </w:t>
      </w:r>
      <w:r w:rsidR="009B2884" w:rsidRPr="006E6EA6">
        <w:rPr>
          <w:rFonts w:cs="Arial"/>
          <w:sz w:val="22"/>
          <w:szCs w:val="22"/>
          <w:lang w:val="es-ES"/>
        </w:rPr>
        <w:t xml:space="preserve">parte </w:t>
      </w:r>
      <w:r w:rsidR="00376CA6" w:rsidRPr="006E6EA6">
        <w:rPr>
          <w:rFonts w:cs="Arial"/>
          <w:sz w:val="22"/>
          <w:szCs w:val="22"/>
          <w:lang w:val="es-ES"/>
        </w:rPr>
        <w:t>considerativa de la Resolución No. 1270-2016</w:t>
      </w:r>
      <w:r w:rsidR="00527F6C" w:rsidRPr="006E6EA6">
        <w:rPr>
          <w:rFonts w:cs="Arial"/>
          <w:sz w:val="22"/>
          <w:szCs w:val="22"/>
          <w:lang w:val="es-ES"/>
        </w:rPr>
        <w:t xml:space="preserve">, </w:t>
      </w:r>
      <w:r w:rsidR="009B2884" w:rsidRPr="006E6EA6">
        <w:rPr>
          <w:rFonts w:cs="Arial"/>
          <w:sz w:val="22"/>
          <w:szCs w:val="22"/>
          <w:lang w:val="es-ES"/>
        </w:rPr>
        <w:t>la Sala Especializada en lo Contencioso Administrativo</w:t>
      </w:r>
      <w:r w:rsidR="007B6588" w:rsidRPr="006E6EA6">
        <w:rPr>
          <w:rFonts w:cs="Arial"/>
          <w:sz w:val="22"/>
          <w:szCs w:val="22"/>
          <w:lang w:val="es-ES"/>
        </w:rPr>
        <w:t xml:space="preserve"> citó</w:t>
      </w:r>
      <w:r w:rsidR="00376CA6" w:rsidRPr="006E6EA6">
        <w:rPr>
          <w:rFonts w:cs="Arial"/>
          <w:sz w:val="22"/>
          <w:szCs w:val="22"/>
          <w:lang w:val="es-ES"/>
        </w:rPr>
        <w:t xml:space="preserve"> textualmente las conclusiones arribadas por el Tribunal de Justicia de la Comunidad Andina en el Proceso </w:t>
      </w:r>
      <w:r w:rsidR="009B2884" w:rsidRPr="006E6EA6">
        <w:rPr>
          <w:rFonts w:cs="Arial"/>
          <w:sz w:val="22"/>
          <w:szCs w:val="22"/>
          <w:lang w:val="es-ES"/>
        </w:rPr>
        <w:t>04-IP-2013 (páginas 10 a</w:t>
      </w:r>
      <w:r w:rsidR="00632149" w:rsidRPr="006E6EA6">
        <w:rPr>
          <w:rFonts w:cs="Arial"/>
          <w:sz w:val="22"/>
          <w:szCs w:val="22"/>
          <w:lang w:val="es-ES"/>
        </w:rPr>
        <w:t xml:space="preserve"> </w:t>
      </w:r>
      <w:r w:rsidR="009B2884" w:rsidRPr="006E6EA6">
        <w:rPr>
          <w:rFonts w:cs="Arial"/>
          <w:sz w:val="22"/>
          <w:szCs w:val="22"/>
          <w:lang w:val="es-ES"/>
        </w:rPr>
        <w:t>l</w:t>
      </w:r>
      <w:r w:rsidR="00632149" w:rsidRPr="006E6EA6">
        <w:rPr>
          <w:rFonts w:cs="Arial"/>
          <w:sz w:val="22"/>
          <w:szCs w:val="22"/>
          <w:lang w:val="es-ES"/>
        </w:rPr>
        <w:t>a</w:t>
      </w:r>
      <w:r w:rsidR="009B2884" w:rsidRPr="006E6EA6">
        <w:rPr>
          <w:rFonts w:cs="Arial"/>
          <w:sz w:val="22"/>
          <w:szCs w:val="22"/>
          <w:lang w:val="es-ES"/>
        </w:rPr>
        <w:t xml:space="preserve"> 14 de</w:t>
      </w:r>
      <w:r w:rsidR="00BC17E9" w:rsidRPr="006E6EA6">
        <w:rPr>
          <w:rFonts w:cs="Arial"/>
          <w:sz w:val="22"/>
          <w:szCs w:val="22"/>
          <w:lang w:val="es-ES"/>
        </w:rPr>
        <w:t xml:space="preserve"> la Resolución No. 1270-2016), arribando a la siguiente conclusión:</w:t>
      </w:r>
    </w:p>
    <w:p w:rsidR="009B2884" w:rsidRPr="006E6EA6" w:rsidRDefault="009B2884" w:rsidP="00981727">
      <w:pPr>
        <w:widowControl/>
        <w:adjustRightInd/>
        <w:spacing w:line="240" w:lineRule="auto"/>
        <w:textAlignment w:val="auto"/>
        <w:rPr>
          <w:rFonts w:cs="Arial"/>
          <w:sz w:val="22"/>
          <w:szCs w:val="22"/>
          <w:lang w:val="es-ES"/>
        </w:rPr>
      </w:pPr>
    </w:p>
    <w:p w:rsidR="009B2884" w:rsidRPr="006E6EA6" w:rsidRDefault="009B2884" w:rsidP="0065256D">
      <w:pPr>
        <w:widowControl/>
        <w:adjustRightInd/>
        <w:spacing w:line="240" w:lineRule="auto"/>
        <w:ind w:left="709"/>
        <w:textAlignment w:val="auto"/>
        <w:rPr>
          <w:rFonts w:cs="Arial"/>
          <w:sz w:val="22"/>
          <w:szCs w:val="22"/>
          <w:lang w:val="es-ES"/>
        </w:rPr>
      </w:pPr>
      <w:r w:rsidRPr="006E6EA6">
        <w:rPr>
          <w:rFonts w:cs="Arial"/>
          <w:sz w:val="22"/>
          <w:szCs w:val="22"/>
          <w:lang w:val="es-ES"/>
        </w:rPr>
        <w:t>“</w:t>
      </w:r>
      <w:r w:rsidRPr="006E6EA6">
        <w:rPr>
          <w:rFonts w:cs="Arial"/>
          <w:i/>
          <w:sz w:val="22"/>
          <w:szCs w:val="22"/>
          <w:lang w:val="es-ES"/>
        </w:rPr>
        <w:t>(…) esta Sala Especializada no encuentra de qué manera pudo la enunciación de estas normas</w:t>
      </w:r>
      <w:r w:rsidR="00B474E7" w:rsidRPr="006E6EA6">
        <w:rPr>
          <w:rFonts w:cs="Arial"/>
          <w:i/>
          <w:sz w:val="22"/>
          <w:szCs w:val="22"/>
          <w:lang w:val="es-ES"/>
        </w:rPr>
        <w:t xml:space="preserve"> </w:t>
      </w:r>
      <w:r w:rsidR="00B474E7" w:rsidRPr="006E6EA6">
        <w:rPr>
          <w:rFonts w:cs="Arial"/>
          <w:sz w:val="22"/>
          <w:szCs w:val="22"/>
          <w:lang w:val="es-ES"/>
        </w:rPr>
        <w:t>[</w:t>
      </w:r>
      <w:r w:rsidR="004C34A2" w:rsidRPr="006E6EA6">
        <w:rPr>
          <w:rFonts w:cs="Arial"/>
          <w:sz w:val="22"/>
          <w:szCs w:val="22"/>
          <w:lang w:val="es-ES"/>
        </w:rPr>
        <w:t>artículo 35 del Tratado de Creación del Tribunal de J</w:t>
      </w:r>
      <w:r w:rsidR="0061356A" w:rsidRPr="006E6EA6">
        <w:rPr>
          <w:rFonts w:cs="Arial"/>
          <w:sz w:val="22"/>
          <w:szCs w:val="22"/>
          <w:lang w:val="es-ES"/>
        </w:rPr>
        <w:t>usticia de la Comunidad Andina</w:t>
      </w:r>
      <w:r w:rsidR="00B474E7" w:rsidRPr="006E6EA6">
        <w:rPr>
          <w:rFonts w:cs="Arial"/>
          <w:sz w:val="22"/>
          <w:szCs w:val="22"/>
          <w:lang w:val="es-ES"/>
        </w:rPr>
        <w:t>]</w:t>
      </w:r>
      <w:r w:rsidRPr="006E6EA6">
        <w:rPr>
          <w:rFonts w:cs="Arial"/>
          <w:i/>
          <w:sz w:val="22"/>
          <w:szCs w:val="22"/>
          <w:lang w:val="es-ES"/>
        </w:rPr>
        <w:t xml:space="preserve"> alterar el sentido final de la decisión, cuando por el contrario, todo su contenido se encuentra dirigido precisamente a sancionar la utilización y explotación de una marca sin autorización de su titular; a definir los actos de competencia desleal; así como establecer los recursos y medidas cautelares en favor de los perjudicados, tanto por el uso indebido de sus marcas como por los actos de competencia desleal (…).</w:t>
      </w:r>
      <w:r w:rsidRPr="006E6EA6">
        <w:rPr>
          <w:rFonts w:cs="Arial"/>
          <w:sz w:val="22"/>
          <w:szCs w:val="22"/>
          <w:lang w:val="es-ES"/>
        </w:rPr>
        <w:t>”</w:t>
      </w:r>
      <w:r w:rsidRPr="006E6EA6">
        <w:rPr>
          <w:rStyle w:val="Refdenotaalpie"/>
          <w:rFonts w:cs="Arial"/>
          <w:sz w:val="22"/>
          <w:szCs w:val="22"/>
          <w:lang w:val="es-ES"/>
        </w:rPr>
        <w:footnoteReference w:id="33"/>
      </w:r>
    </w:p>
    <w:p w:rsidR="004C7048" w:rsidRPr="006E6EA6" w:rsidRDefault="004C7048" w:rsidP="00981727">
      <w:pPr>
        <w:pStyle w:val="Prrafodelista"/>
        <w:widowControl/>
        <w:adjustRightInd/>
        <w:spacing w:line="240" w:lineRule="auto"/>
        <w:ind w:left="0"/>
        <w:contextualSpacing w:val="0"/>
        <w:textAlignment w:val="auto"/>
        <w:rPr>
          <w:rFonts w:cs="Arial"/>
          <w:sz w:val="22"/>
          <w:szCs w:val="22"/>
          <w:lang w:val="es-ES"/>
        </w:rPr>
      </w:pPr>
    </w:p>
    <w:p w:rsidR="00FA0008" w:rsidRPr="006E6EA6" w:rsidRDefault="00FA0008"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En ese sentido, si bien en la Sentencia del Tribunal Distrital de lo Contencioso Administrativo No. 1 de fecha 21 de octubre de 2014 y en la providencia de fecha 16 de enero de 2017</w:t>
      </w:r>
      <w:r w:rsidR="00D40DB2" w:rsidRPr="006E6EA6">
        <w:rPr>
          <w:rStyle w:val="Refdenotaalpie"/>
          <w:rFonts w:cs="Arial"/>
          <w:sz w:val="22"/>
          <w:szCs w:val="22"/>
          <w:lang w:val="es-ES"/>
        </w:rPr>
        <w:footnoteReference w:id="34"/>
      </w:r>
      <w:r w:rsidRPr="006E6EA6">
        <w:rPr>
          <w:rFonts w:cs="Arial"/>
          <w:sz w:val="22"/>
          <w:szCs w:val="22"/>
          <w:lang w:val="es-ES"/>
        </w:rPr>
        <w:t xml:space="preserve"> </w:t>
      </w:r>
      <w:r w:rsidR="00D40DB2" w:rsidRPr="006E6EA6">
        <w:rPr>
          <w:rFonts w:cs="Arial"/>
          <w:sz w:val="22"/>
          <w:szCs w:val="22"/>
          <w:lang w:val="es-ES"/>
        </w:rPr>
        <w:t>(actos materia de reclamo</w:t>
      </w:r>
      <w:r w:rsidR="003568DB" w:rsidRPr="006E6EA6">
        <w:rPr>
          <w:rFonts w:cs="Arial"/>
          <w:sz w:val="22"/>
          <w:szCs w:val="22"/>
          <w:lang w:val="es-ES"/>
        </w:rPr>
        <w:t xml:space="preserve"> ante este órgano comunitario</w:t>
      </w:r>
      <w:r w:rsidRPr="006E6EA6">
        <w:rPr>
          <w:rFonts w:cs="Arial"/>
          <w:sz w:val="22"/>
          <w:szCs w:val="22"/>
          <w:lang w:val="es-ES"/>
        </w:rPr>
        <w:t>), no se hace referencia expresa a la Interpretación Prejudicial</w:t>
      </w:r>
      <w:r w:rsidR="003568DB" w:rsidRPr="006E6EA6">
        <w:rPr>
          <w:rFonts w:cs="Arial"/>
          <w:sz w:val="22"/>
          <w:szCs w:val="22"/>
          <w:lang w:val="es-ES"/>
        </w:rPr>
        <w:t xml:space="preserve"> 04-IP-2013</w:t>
      </w:r>
      <w:r w:rsidRPr="006E6EA6">
        <w:rPr>
          <w:rFonts w:cs="Arial"/>
          <w:sz w:val="22"/>
          <w:szCs w:val="22"/>
          <w:lang w:val="es-ES"/>
        </w:rPr>
        <w:t xml:space="preserve">; esta Secretaría </w:t>
      </w:r>
      <w:r w:rsidR="003568DB" w:rsidRPr="006E6EA6">
        <w:rPr>
          <w:rFonts w:cs="Arial"/>
          <w:sz w:val="22"/>
          <w:szCs w:val="22"/>
          <w:lang w:val="es-ES"/>
        </w:rPr>
        <w:t xml:space="preserve">General </w:t>
      </w:r>
      <w:r w:rsidRPr="006E6EA6">
        <w:rPr>
          <w:rFonts w:cs="Arial"/>
          <w:sz w:val="22"/>
          <w:szCs w:val="22"/>
          <w:lang w:val="es-ES"/>
        </w:rPr>
        <w:t>considera (principalmente, sobre la base de lo dispuesto en la Resolución No. 1270-2016) que el juez nacional de la República del Ecuador sí tomó en consideración los criterios expuestos por el Tribunal de Justicia de la Comunidad Andina en el Proceso 04-IP-2013.</w:t>
      </w:r>
    </w:p>
    <w:p w:rsidR="004C7048" w:rsidRPr="006E6EA6" w:rsidRDefault="004C7048" w:rsidP="00981727">
      <w:pPr>
        <w:pStyle w:val="Prrafodelista"/>
        <w:widowControl/>
        <w:adjustRightInd/>
        <w:spacing w:line="240" w:lineRule="auto"/>
        <w:ind w:left="0"/>
        <w:contextualSpacing w:val="0"/>
        <w:textAlignment w:val="auto"/>
        <w:rPr>
          <w:rFonts w:cs="Arial"/>
          <w:sz w:val="22"/>
          <w:szCs w:val="22"/>
          <w:lang w:val="es-ES"/>
        </w:rPr>
      </w:pPr>
    </w:p>
    <w:p w:rsidR="00DA3821" w:rsidRPr="006E6EA6" w:rsidRDefault="00334232"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Sin perjuicio de lo </w:t>
      </w:r>
      <w:r w:rsidR="004C7048" w:rsidRPr="006E6EA6">
        <w:rPr>
          <w:rFonts w:cs="Arial"/>
          <w:sz w:val="22"/>
          <w:szCs w:val="22"/>
          <w:lang w:val="es-ES"/>
        </w:rPr>
        <w:t>anterior</w:t>
      </w:r>
      <w:r w:rsidR="00872A5E" w:rsidRPr="006E6EA6">
        <w:rPr>
          <w:rFonts w:cs="Arial"/>
          <w:sz w:val="22"/>
          <w:szCs w:val="22"/>
          <w:lang w:val="es-ES"/>
        </w:rPr>
        <w:t>, esta Secretaría</w:t>
      </w:r>
      <w:r w:rsidR="00D35DB3" w:rsidRPr="006E6EA6">
        <w:rPr>
          <w:rFonts w:cs="Arial"/>
          <w:sz w:val="22"/>
          <w:szCs w:val="22"/>
          <w:lang w:val="es-ES"/>
        </w:rPr>
        <w:t xml:space="preserve"> General</w:t>
      </w:r>
      <w:r w:rsidR="00872A5E" w:rsidRPr="006E6EA6">
        <w:rPr>
          <w:rFonts w:cs="Arial"/>
          <w:sz w:val="22"/>
          <w:szCs w:val="22"/>
          <w:lang w:val="es-ES"/>
        </w:rPr>
        <w:t xml:space="preserve"> estima</w:t>
      </w:r>
      <w:r w:rsidRPr="006E6EA6">
        <w:rPr>
          <w:rFonts w:cs="Arial"/>
          <w:sz w:val="22"/>
          <w:szCs w:val="22"/>
          <w:lang w:val="es-ES"/>
        </w:rPr>
        <w:t xml:space="preserve"> adecuado pronunciarse respecto </w:t>
      </w:r>
      <w:r w:rsidR="009508B9" w:rsidRPr="006E6EA6">
        <w:rPr>
          <w:rFonts w:cs="Arial"/>
          <w:sz w:val="22"/>
          <w:szCs w:val="22"/>
          <w:lang w:val="es-ES"/>
        </w:rPr>
        <w:t>a</w:t>
      </w:r>
      <w:r w:rsidRPr="006E6EA6">
        <w:rPr>
          <w:rFonts w:cs="Arial"/>
          <w:sz w:val="22"/>
          <w:szCs w:val="22"/>
          <w:lang w:val="es-ES"/>
        </w:rPr>
        <w:t xml:space="preserve"> los demás aspectos alegados por la reclamante </w:t>
      </w:r>
      <w:r w:rsidR="00984548" w:rsidRPr="006E6EA6">
        <w:rPr>
          <w:rFonts w:cs="Arial"/>
          <w:sz w:val="22"/>
          <w:szCs w:val="22"/>
          <w:lang w:val="es-ES"/>
        </w:rPr>
        <w:t>que</w:t>
      </w:r>
      <w:r w:rsidR="006050B6" w:rsidRPr="006E6EA6">
        <w:rPr>
          <w:rFonts w:cs="Arial"/>
          <w:sz w:val="22"/>
          <w:szCs w:val="22"/>
          <w:lang w:val="es-ES"/>
        </w:rPr>
        <w:t xml:space="preserve"> -a su criterio-</w:t>
      </w:r>
      <w:r w:rsidR="00984548" w:rsidRPr="006E6EA6">
        <w:rPr>
          <w:rFonts w:cs="Arial"/>
          <w:sz w:val="22"/>
          <w:szCs w:val="22"/>
          <w:lang w:val="es-ES"/>
        </w:rPr>
        <w:t xml:space="preserve"> sustentarían</w:t>
      </w:r>
      <w:r w:rsidR="00DA3821" w:rsidRPr="006E6EA6">
        <w:rPr>
          <w:rFonts w:cs="Arial"/>
          <w:sz w:val="22"/>
          <w:szCs w:val="22"/>
          <w:lang w:val="es-ES"/>
        </w:rPr>
        <w:t xml:space="preserve"> </w:t>
      </w:r>
      <w:r w:rsidR="00984548" w:rsidRPr="006E6EA6">
        <w:rPr>
          <w:rFonts w:cs="Arial"/>
          <w:sz w:val="22"/>
          <w:szCs w:val="22"/>
          <w:lang w:val="es-ES"/>
        </w:rPr>
        <w:t>que</w:t>
      </w:r>
      <w:r w:rsidR="00DA3821" w:rsidRPr="006E6EA6">
        <w:rPr>
          <w:rFonts w:cs="Arial"/>
          <w:sz w:val="22"/>
          <w:szCs w:val="22"/>
          <w:lang w:val="es-ES"/>
        </w:rPr>
        <w:t xml:space="preserve"> el procedimiento </w:t>
      </w:r>
      <w:r w:rsidR="00984548" w:rsidRPr="006E6EA6">
        <w:rPr>
          <w:rFonts w:cs="Arial"/>
          <w:sz w:val="22"/>
          <w:szCs w:val="22"/>
          <w:lang w:val="es-ES"/>
        </w:rPr>
        <w:t xml:space="preserve">interno </w:t>
      </w:r>
      <w:r w:rsidR="00DA3821" w:rsidRPr="006E6EA6">
        <w:rPr>
          <w:rFonts w:cs="Arial"/>
          <w:sz w:val="22"/>
          <w:szCs w:val="22"/>
          <w:lang w:val="es-ES"/>
        </w:rPr>
        <w:t xml:space="preserve">para determinar el monto establecido como </w:t>
      </w:r>
      <w:r w:rsidR="00DA3821" w:rsidRPr="006E6EA6">
        <w:rPr>
          <w:rFonts w:cs="Arial"/>
          <w:sz w:val="22"/>
          <w:szCs w:val="22"/>
          <w:lang w:val="es-ES"/>
        </w:rPr>
        <w:lastRenderedPageBreak/>
        <w:t xml:space="preserve">indemnización de daños y perjuicios habría estado alejado de los parámetros establecidos por el TJCA; </w:t>
      </w:r>
      <w:r w:rsidR="00D35DB3" w:rsidRPr="006E6EA6">
        <w:rPr>
          <w:rFonts w:cs="Arial"/>
          <w:sz w:val="22"/>
          <w:szCs w:val="22"/>
          <w:lang w:val="es-ES"/>
        </w:rPr>
        <w:t>a saber</w:t>
      </w:r>
      <w:r w:rsidR="00DA3821" w:rsidRPr="006E6EA6">
        <w:rPr>
          <w:rFonts w:cs="Arial"/>
          <w:sz w:val="22"/>
          <w:szCs w:val="22"/>
          <w:lang w:val="es-ES"/>
        </w:rPr>
        <w:t>:</w:t>
      </w:r>
      <w:r w:rsidR="00BE4F1E" w:rsidRPr="006E6EA6">
        <w:rPr>
          <w:rFonts w:cs="Arial"/>
          <w:sz w:val="22"/>
          <w:szCs w:val="22"/>
          <w:lang w:val="es-ES"/>
        </w:rPr>
        <w:t xml:space="preserve"> a) e</w:t>
      </w:r>
      <w:r w:rsidR="00DA3821" w:rsidRPr="006E6EA6">
        <w:rPr>
          <w:rFonts w:cs="Arial"/>
          <w:sz w:val="22"/>
          <w:szCs w:val="22"/>
          <w:lang w:val="es-ES"/>
        </w:rPr>
        <w:t xml:space="preserve">l juez nacional no consideró el análisis realizado por el </w:t>
      </w:r>
      <w:r w:rsidR="0052117B" w:rsidRPr="006E6EA6">
        <w:rPr>
          <w:rFonts w:cs="Arial"/>
          <w:sz w:val="22"/>
          <w:szCs w:val="22"/>
          <w:lang w:val="es-ES"/>
        </w:rPr>
        <w:t>TJCA</w:t>
      </w:r>
      <w:r w:rsidR="00DA3821" w:rsidRPr="006E6EA6">
        <w:rPr>
          <w:rFonts w:cs="Arial"/>
          <w:sz w:val="22"/>
          <w:szCs w:val="22"/>
          <w:lang w:val="es-ES"/>
        </w:rPr>
        <w:t xml:space="preserve"> sobre el aprovechamiento de la reputación ajena y la dilución de la marca notoriame</w:t>
      </w:r>
      <w:r w:rsidR="009508B9" w:rsidRPr="006E6EA6">
        <w:rPr>
          <w:rFonts w:cs="Arial"/>
          <w:sz w:val="22"/>
          <w:szCs w:val="22"/>
          <w:lang w:val="es-ES"/>
        </w:rPr>
        <w:t>nte conocida, ni el análisis del</w:t>
      </w:r>
      <w:r w:rsidR="00BE4F1E" w:rsidRPr="006E6EA6">
        <w:rPr>
          <w:rFonts w:cs="Arial"/>
          <w:sz w:val="22"/>
          <w:szCs w:val="22"/>
          <w:lang w:val="es-ES"/>
        </w:rPr>
        <w:t xml:space="preserve"> riesgo de dilución; y, b) </w:t>
      </w:r>
      <w:r w:rsidR="00661A55" w:rsidRPr="006E6EA6">
        <w:rPr>
          <w:rFonts w:cs="Arial"/>
          <w:sz w:val="22"/>
          <w:szCs w:val="22"/>
          <w:lang w:val="es-ES"/>
        </w:rPr>
        <w:t>el informe pericial del perito designado por el juez nacional no consideró los parámetros establecidos por el TJCA.</w:t>
      </w:r>
    </w:p>
    <w:p w:rsidR="00DA3821" w:rsidRPr="006E6EA6" w:rsidRDefault="00DA3821" w:rsidP="0065256D">
      <w:pPr>
        <w:pStyle w:val="Prrafodelista"/>
        <w:widowControl/>
        <w:adjustRightInd/>
        <w:spacing w:line="240" w:lineRule="auto"/>
        <w:ind w:left="426" w:hanging="426"/>
        <w:contextualSpacing w:val="0"/>
        <w:textAlignment w:val="auto"/>
        <w:rPr>
          <w:rFonts w:cs="Arial"/>
          <w:sz w:val="22"/>
          <w:szCs w:val="22"/>
          <w:lang w:val="es-ES"/>
        </w:rPr>
      </w:pPr>
    </w:p>
    <w:p w:rsidR="00DA3821" w:rsidRPr="006E6EA6" w:rsidRDefault="00DA3821"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En las siguientes líneas se desarrolla el análisis de los puntos a) y b)</w:t>
      </w:r>
      <w:r w:rsidR="00661A55" w:rsidRPr="006E6EA6">
        <w:rPr>
          <w:rFonts w:cs="Arial"/>
          <w:sz w:val="22"/>
          <w:szCs w:val="22"/>
          <w:lang w:val="es-ES"/>
        </w:rPr>
        <w:t>, referidos en el párrafo precedente</w:t>
      </w:r>
      <w:r w:rsidRPr="006E6EA6">
        <w:rPr>
          <w:rFonts w:cs="Arial"/>
          <w:sz w:val="22"/>
          <w:szCs w:val="22"/>
          <w:lang w:val="es-ES"/>
        </w:rPr>
        <w:t>:</w:t>
      </w:r>
    </w:p>
    <w:p w:rsidR="00DA3821" w:rsidRPr="006E6EA6" w:rsidRDefault="00DA3821" w:rsidP="0065256D">
      <w:pPr>
        <w:pStyle w:val="Prrafodelista"/>
        <w:widowControl/>
        <w:adjustRightInd/>
        <w:spacing w:line="240" w:lineRule="auto"/>
        <w:ind w:left="426" w:hanging="426"/>
        <w:contextualSpacing w:val="0"/>
        <w:textAlignment w:val="auto"/>
        <w:rPr>
          <w:rFonts w:cs="Arial"/>
          <w:sz w:val="22"/>
          <w:szCs w:val="22"/>
          <w:lang w:val="es-ES"/>
        </w:rPr>
      </w:pPr>
    </w:p>
    <w:p w:rsidR="00DA3821" w:rsidRPr="006E6EA6" w:rsidRDefault="00DA3821" w:rsidP="0065256D">
      <w:pPr>
        <w:pStyle w:val="Prrafodelista"/>
        <w:widowControl/>
        <w:numPr>
          <w:ilvl w:val="0"/>
          <w:numId w:val="33"/>
        </w:numPr>
        <w:adjustRightInd/>
        <w:spacing w:line="240" w:lineRule="auto"/>
        <w:ind w:left="709" w:hanging="283"/>
        <w:textAlignment w:val="auto"/>
        <w:rPr>
          <w:rFonts w:cs="Arial"/>
          <w:i/>
          <w:sz w:val="22"/>
          <w:szCs w:val="22"/>
          <w:u w:val="single"/>
          <w:lang w:val="es-ES"/>
        </w:rPr>
      </w:pPr>
      <w:r w:rsidRPr="006E6EA6">
        <w:rPr>
          <w:rFonts w:cs="Arial"/>
          <w:i/>
          <w:sz w:val="22"/>
          <w:szCs w:val="22"/>
          <w:u w:val="single"/>
          <w:lang w:val="es-ES"/>
        </w:rPr>
        <w:t xml:space="preserve">Respecto a que el juez nacional no consideró el análisis realizado por el </w:t>
      </w:r>
      <w:r w:rsidR="00661A55" w:rsidRPr="006E6EA6">
        <w:rPr>
          <w:rFonts w:cs="Arial"/>
          <w:i/>
          <w:sz w:val="22"/>
          <w:szCs w:val="22"/>
          <w:u w:val="single"/>
          <w:lang w:val="es-ES"/>
        </w:rPr>
        <w:t>TJCA</w:t>
      </w:r>
      <w:r w:rsidRPr="006E6EA6">
        <w:rPr>
          <w:rFonts w:cs="Arial"/>
          <w:i/>
          <w:sz w:val="22"/>
          <w:szCs w:val="22"/>
          <w:u w:val="single"/>
          <w:lang w:val="es-ES"/>
        </w:rPr>
        <w:t xml:space="preserve"> sobre el aprovechamiento de la reputación ajena y la dilución de la marca notoriamente conocida, y el riesgo de dilución</w:t>
      </w:r>
      <w:r w:rsidRPr="006E6EA6">
        <w:rPr>
          <w:rFonts w:cs="Arial"/>
          <w:sz w:val="22"/>
          <w:szCs w:val="22"/>
          <w:u w:val="single"/>
          <w:lang w:val="es-ES"/>
        </w:rPr>
        <w:t>:</w:t>
      </w:r>
    </w:p>
    <w:p w:rsidR="00DA3821" w:rsidRPr="006E6EA6" w:rsidRDefault="00DA3821" w:rsidP="0065256D">
      <w:pPr>
        <w:pStyle w:val="Prrafodelista"/>
        <w:widowControl/>
        <w:adjustRightInd/>
        <w:spacing w:line="240" w:lineRule="auto"/>
        <w:ind w:left="426" w:hanging="426"/>
        <w:contextualSpacing w:val="0"/>
        <w:textAlignment w:val="auto"/>
        <w:rPr>
          <w:rFonts w:cs="Arial"/>
          <w:sz w:val="22"/>
          <w:szCs w:val="22"/>
          <w:lang w:val="es-ES"/>
        </w:rPr>
      </w:pPr>
    </w:p>
    <w:p w:rsidR="00334232" w:rsidRPr="006E6EA6" w:rsidRDefault="00DA3821"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D</w:t>
      </w:r>
      <w:r w:rsidR="00334232" w:rsidRPr="006E6EA6">
        <w:rPr>
          <w:rFonts w:cs="Arial"/>
          <w:sz w:val="22"/>
          <w:szCs w:val="22"/>
          <w:lang w:val="es-ES"/>
        </w:rPr>
        <w:t>e acuerdo a lo expresamente indicado por la reclamante</w:t>
      </w:r>
      <w:r w:rsidR="007B4153" w:rsidRPr="006E6EA6">
        <w:rPr>
          <w:rFonts w:cs="Arial"/>
          <w:sz w:val="22"/>
          <w:szCs w:val="22"/>
          <w:lang w:val="es-ES"/>
        </w:rPr>
        <w:t>,</w:t>
      </w:r>
      <w:r w:rsidR="00334232" w:rsidRPr="006E6EA6">
        <w:rPr>
          <w:rFonts w:cs="Arial"/>
          <w:sz w:val="22"/>
          <w:szCs w:val="22"/>
          <w:lang w:val="es-ES"/>
        </w:rPr>
        <w:t xml:space="preserve"> la presentación de su reclamo “</w:t>
      </w:r>
      <w:r w:rsidR="00334232" w:rsidRPr="006E6EA6">
        <w:rPr>
          <w:rFonts w:cs="Arial"/>
          <w:i/>
          <w:sz w:val="22"/>
          <w:szCs w:val="22"/>
          <w:lang w:val="es-ES"/>
        </w:rPr>
        <w:t xml:space="preserve">tiene que ver con la falta de adopción en la sentencia del juez consultante de la interpretación prejudicial obligatoria integra o total dictada por el Tribunal de Justicia de la Comunidad Andina </w:t>
      </w:r>
      <w:r w:rsidR="00334232" w:rsidRPr="006E6EA6">
        <w:rPr>
          <w:rFonts w:cs="Arial"/>
          <w:i/>
          <w:sz w:val="22"/>
          <w:szCs w:val="22"/>
          <w:u w:val="single"/>
          <w:lang w:val="es-ES"/>
        </w:rPr>
        <w:t>en lo relativo a los elementos que se deben tomar en cuenta por parte de Juez para la liquidación de los daños y perjuicios ocasionados</w:t>
      </w:r>
      <w:r w:rsidR="00334232" w:rsidRPr="006E6EA6">
        <w:rPr>
          <w:rFonts w:cs="Arial"/>
          <w:sz w:val="22"/>
          <w:szCs w:val="22"/>
          <w:lang w:val="es-ES"/>
        </w:rPr>
        <w:t>”</w:t>
      </w:r>
      <w:r w:rsidR="00334232" w:rsidRPr="006E6EA6">
        <w:rPr>
          <w:rFonts w:cs="Arial"/>
          <w:sz w:val="22"/>
          <w:szCs w:val="22"/>
          <w:vertAlign w:val="superscript"/>
        </w:rPr>
        <w:footnoteReference w:id="35"/>
      </w:r>
      <w:r w:rsidR="00334232" w:rsidRPr="006E6EA6">
        <w:rPr>
          <w:rFonts w:cs="Arial"/>
          <w:sz w:val="22"/>
          <w:szCs w:val="22"/>
          <w:lang w:val="es-ES"/>
        </w:rPr>
        <w:t>. (Énfasis agregado)</w:t>
      </w:r>
    </w:p>
    <w:p w:rsidR="00334232" w:rsidRPr="006E6EA6" w:rsidRDefault="00334232" w:rsidP="00981727">
      <w:pPr>
        <w:pStyle w:val="Prrafodelista"/>
        <w:widowControl/>
        <w:adjustRightInd/>
        <w:spacing w:line="240" w:lineRule="auto"/>
        <w:ind w:left="0"/>
        <w:contextualSpacing w:val="0"/>
        <w:textAlignment w:val="auto"/>
        <w:rPr>
          <w:rFonts w:cs="Arial"/>
          <w:sz w:val="22"/>
          <w:szCs w:val="22"/>
          <w:lang w:val="es-ES"/>
        </w:rPr>
      </w:pPr>
    </w:p>
    <w:p w:rsidR="001E3B88" w:rsidRPr="006E6EA6" w:rsidRDefault="007B4153" w:rsidP="0065256D">
      <w:pPr>
        <w:pStyle w:val="Prrafodelista"/>
        <w:widowControl/>
        <w:numPr>
          <w:ilvl w:val="0"/>
          <w:numId w:val="1"/>
        </w:numPr>
        <w:adjustRightInd/>
        <w:spacing w:line="240" w:lineRule="auto"/>
        <w:ind w:left="426" w:hanging="426"/>
        <w:contextualSpacing w:val="0"/>
        <w:textAlignment w:val="auto"/>
        <w:rPr>
          <w:rFonts w:cs="Arial"/>
          <w:bCs/>
          <w:sz w:val="22"/>
          <w:szCs w:val="22"/>
        </w:rPr>
      </w:pPr>
      <w:r w:rsidRPr="006E6EA6">
        <w:rPr>
          <w:rFonts w:cs="Arial"/>
          <w:bCs/>
          <w:sz w:val="22"/>
          <w:szCs w:val="22"/>
        </w:rPr>
        <w:t>En tal sentido</w:t>
      </w:r>
      <w:r w:rsidR="001E3B88" w:rsidRPr="006E6EA6">
        <w:rPr>
          <w:rFonts w:cs="Arial"/>
          <w:bCs/>
          <w:sz w:val="22"/>
          <w:szCs w:val="22"/>
        </w:rPr>
        <w:t>, si bien de la revisión de la interpretación prejudicial del Proceso</w:t>
      </w:r>
      <w:r w:rsidR="00C63491" w:rsidRPr="006E6EA6">
        <w:rPr>
          <w:rFonts w:cs="Arial"/>
          <w:bCs/>
          <w:sz w:val="22"/>
          <w:szCs w:val="22"/>
        </w:rPr>
        <w:t xml:space="preserve"> No.</w:t>
      </w:r>
      <w:r w:rsidR="001E3B88" w:rsidRPr="006E6EA6">
        <w:rPr>
          <w:rFonts w:cs="Arial"/>
          <w:bCs/>
          <w:sz w:val="22"/>
          <w:szCs w:val="22"/>
        </w:rPr>
        <w:t xml:space="preserve"> 04-IP-2013 se observa que el TJCA emitió pronunciamiento respecto de los artículos 238, 241, 243, 245, 246, 247, 258 y 259 de la Decisión 486, a solicitud del juez ecuatoriano y, de oficio, de los artículos 155, 267 y 268 de la misma Decisión; en atención a lo señalado en el </w:t>
      </w:r>
      <w:r w:rsidRPr="006E6EA6">
        <w:rPr>
          <w:rFonts w:cs="Arial"/>
          <w:bCs/>
          <w:sz w:val="22"/>
          <w:szCs w:val="22"/>
        </w:rPr>
        <w:t xml:space="preserve">reclamo, el presente caso se centra </w:t>
      </w:r>
      <w:r w:rsidR="001E3B88" w:rsidRPr="006E6EA6">
        <w:rPr>
          <w:rFonts w:cs="Arial"/>
          <w:bCs/>
          <w:sz w:val="22"/>
          <w:szCs w:val="22"/>
        </w:rPr>
        <w:t xml:space="preserve">únicamente en lo relativo a </w:t>
      </w:r>
      <w:r w:rsidRPr="006E6EA6">
        <w:rPr>
          <w:rFonts w:cs="Arial"/>
          <w:bCs/>
          <w:sz w:val="22"/>
          <w:szCs w:val="22"/>
        </w:rPr>
        <w:t>los elementos para la liquidación de los daños y perjuicios (artículo 243 de la Decisión 486).</w:t>
      </w:r>
    </w:p>
    <w:p w:rsidR="001E3B88" w:rsidRPr="006E6EA6" w:rsidRDefault="001E3B88" w:rsidP="0065256D">
      <w:pPr>
        <w:pStyle w:val="Prrafodelista"/>
        <w:widowControl/>
        <w:adjustRightInd/>
        <w:spacing w:line="240" w:lineRule="auto"/>
        <w:ind w:left="426" w:hanging="426"/>
        <w:contextualSpacing w:val="0"/>
        <w:textAlignment w:val="auto"/>
        <w:rPr>
          <w:rFonts w:cs="Arial"/>
          <w:sz w:val="22"/>
          <w:szCs w:val="22"/>
          <w:lang w:val="es-ES"/>
        </w:rPr>
      </w:pPr>
    </w:p>
    <w:p w:rsidR="00DA3821" w:rsidRPr="006E6EA6" w:rsidRDefault="00DA3821"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Ahora bien, </w:t>
      </w:r>
      <w:r w:rsidR="00C25301" w:rsidRPr="006E6EA6">
        <w:rPr>
          <w:rFonts w:cs="Arial"/>
          <w:sz w:val="22"/>
          <w:szCs w:val="22"/>
          <w:lang w:val="es-ES"/>
        </w:rPr>
        <w:t>mediante</w:t>
      </w:r>
      <w:r w:rsidR="00D0178A" w:rsidRPr="006E6EA6">
        <w:rPr>
          <w:rFonts w:cs="Arial"/>
          <w:sz w:val="22"/>
          <w:szCs w:val="22"/>
          <w:lang w:val="es-ES"/>
        </w:rPr>
        <w:t xml:space="preserve"> Comunicación</w:t>
      </w:r>
      <w:r w:rsidR="00C25301" w:rsidRPr="006E6EA6">
        <w:rPr>
          <w:rFonts w:cs="Arial"/>
          <w:sz w:val="22"/>
          <w:szCs w:val="22"/>
          <w:lang w:val="es-ES"/>
        </w:rPr>
        <w:t xml:space="preserve"> SG/E/SJ/1742/2018 de fecha 10 de septiembre de 2018</w:t>
      </w:r>
      <w:r w:rsidR="00D0178A" w:rsidRPr="006E6EA6">
        <w:rPr>
          <w:rFonts w:cs="Arial"/>
          <w:sz w:val="22"/>
          <w:szCs w:val="22"/>
          <w:lang w:val="es-ES"/>
        </w:rPr>
        <w:t xml:space="preserve">, </w:t>
      </w:r>
      <w:r w:rsidR="00C25301" w:rsidRPr="006E6EA6">
        <w:rPr>
          <w:rFonts w:cs="Arial"/>
          <w:sz w:val="22"/>
          <w:szCs w:val="22"/>
          <w:lang w:val="es-ES"/>
        </w:rPr>
        <w:t>esta Secretaría General requirió a la reclamante que, en relación a los elementos que no habrían sido tomados en cuenta por el juez nacional para la liquidación de los daños y perjuicios, precise con claridad cuál o cuáles habrían sido los elementos de la interpretación Prejudicial que el juez nacional no habría tomado en cuenta. Como respuesta a dicho requerimiento, l</w:t>
      </w:r>
      <w:r w:rsidRPr="006E6EA6">
        <w:rPr>
          <w:rFonts w:cs="Arial"/>
          <w:sz w:val="22"/>
          <w:szCs w:val="22"/>
          <w:lang w:val="es-ES"/>
        </w:rPr>
        <w:t>a reclamante manifestó los siguiente:</w:t>
      </w:r>
    </w:p>
    <w:p w:rsidR="00334232" w:rsidRPr="006E6EA6" w:rsidRDefault="00334232" w:rsidP="00981727">
      <w:pPr>
        <w:pStyle w:val="Prrafodelista"/>
        <w:spacing w:line="240" w:lineRule="auto"/>
        <w:rPr>
          <w:rFonts w:cs="Arial"/>
          <w:sz w:val="22"/>
          <w:szCs w:val="22"/>
          <w:lang w:val="es-ES"/>
        </w:rPr>
      </w:pPr>
    </w:p>
    <w:p w:rsidR="00C25301" w:rsidRPr="006E6EA6" w:rsidRDefault="00C25301" w:rsidP="0065256D">
      <w:pPr>
        <w:pStyle w:val="Sinespaciado"/>
        <w:ind w:left="851" w:right="-2"/>
        <w:jc w:val="both"/>
        <w:rPr>
          <w:rFonts w:ascii="Arial" w:hAnsi="Arial" w:cs="Arial"/>
        </w:rPr>
      </w:pPr>
      <w:r w:rsidRPr="006E6EA6">
        <w:rPr>
          <w:rFonts w:ascii="Arial" w:hAnsi="Arial" w:cs="Arial"/>
        </w:rPr>
        <w:t>“</w:t>
      </w:r>
      <w:r w:rsidRPr="006E6EA6">
        <w:rPr>
          <w:rFonts w:ascii="Arial" w:hAnsi="Arial" w:cs="Arial"/>
          <w:i/>
        </w:rPr>
        <w:t xml:space="preserve">Precisando algunos de los elementos de la interpretación prejudicial no tomados en cuenta por el Tribunal Distrital de los Contencioso Administrativo N° 1 de Ecuador, tenemos que </w:t>
      </w:r>
      <w:r w:rsidRPr="006E6EA6">
        <w:rPr>
          <w:rFonts w:ascii="Arial" w:hAnsi="Arial" w:cs="Arial"/>
          <w:i/>
          <w:u w:val="single"/>
        </w:rPr>
        <w:t>no consideró el análisis realizado por el Tribunal Andino sobre el aprovechamiento de la reputación ajena y la dilución de la marca notoriamente conocida</w:t>
      </w:r>
      <w:r w:rsidRPr="006E6EA6">
        <w:rPr>
          <w:rFonts w:ascii="Arial" w:hAnsi="Arial" w:cs="Arial"/>
          <w:i/>
        </w:rPr>
        <w:t xml:space="preserve">, pues de haberlo hecho no habría emitido un pronunciamiento tan contradictorio como el de negar notoriedad de las marcas del reclamante y aceptar parcialmente la demanda en lo relativo a las pretensiones de competencia desleal y dilución marcaria, aspecto este último propio de los signos notorios. El juez nacional </w:t>
      </w:r>
      <w:r w:rsidRPr="006E6EA6">
        <w:rPr>
          <w:rFonts w:ascii="Arial" w:hAnsi="Arial" w:cs="Arial"/>
          <w:i/>
          <w:u w:val="single"/>
        </w:rPr>
        <w:t>no tomó en cuenta el análisis de la interpretación prejudicial sobre el riesgo de dilución</w:t>
      </w:r>
      <w:r w:rsidRPr="006E6EA6">
        <w:rPr>
          <w:rFonts w:ascii="Arial" w:hAnsi="Arial" w:cs="Arial"/>
          <w:i/>
        </w:rPr>
        <w:t xml:space="preserve">, evidenciado cuando en la parte considerativa de la sentencia expresa que el infractor ha realizado actos de competencia desleal al haber comercializado un producto que contiene pentaclorofenol, prohibido de importarse y comercializarse en el Ecuador, utilizando la marca MADEROL sin autorización alguna, ‘diluyendo el valor de dicha marca’; es decir, si hubiera tomado en cuenta el análisis de la </w:t>
      </w:r>
      <w:r w:rsidRPr="006E6EA6">
        <w:rPr>
          <w:rFonts w:ascii="Arial" w:hAnsi="Arial" w:cs="Arial"/>
          <w:i/>
        </w:rPr>
        <w:lastRenderedPageBreak/>
        <w:t>interpretación prejudicial, habría conceptualizado claramente la razón de ser de las instituciones de propiedad industrial respecto de las cuales se estaba pronunciando, y que el juez comunitario había explicado, al interpretar las normas comunitarias .</w:t>
      </w:r>
      <w:r w:rsidRPr="006E6EA6">
        <w:rPr>
          <w:rFonts w:ascii="Arial" w:hAnsi="Arial" w:cs="Arial"/>
        </w:rPr>
        <w:t>”</w:t>
      </w:r>
      <w:r w:rsidRPr="006E6EA6">
        <w:rPr>
          <w:rStyle w:val="Refdenotaalpie"/>
          <w:rFonts w:ascii="Arial" w:hAnsi="Arial" w:cs="Arial"/>
        </w:rPr>
        <w:footnoteReference w:id="36"/>
      </w:r>
      <w:r w:rsidRPr="006E6EA6">
        <w:rPr>
          <w:rFonts w:ascii="Arial" w:hAnsi="Arial" w:cs="Arial"/>
        </w:rPr>
        <w:t xml:space="preserve"> (Énfasis agregado)</w:t>
      </w:r>
    </w:p>
    <w:p w:rsidR="00334232" w:rsidRPr="006E6EA6" w:rsidRDefault="00334232" w:rsidP="00981727">
      <w:pPr>
        <w:spacing w:line="240" w:lineRule="auto"/>
        <w:rPr>
          <w:rFonts w:cs="Arial"/>
          <w:sz w:val="22"/>
          <w:szCs w:val="22"/>
        </w:rPr>
      </w:pPr>
    </w:p>
    <w:p w:rsidR="00DA3821" w:rsidRPr="006E6EA6" w:rsidRDefault="00334232"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Como se puede observar, la reclamante hace alusión a “el aprovechamiento de la reputación ajena y la dilución de la marca notoriamente conocida” y al “riesgo de dilución”; </w:t>
      </w:r>
      <w:r w:rsidR="005731A4" w:rsidRPr="006E6EA6">
        <w:rPr>
          <w:rFonts w:cs="Arial"/>
          <w:sz w:val="22"/>
          <w:szCs w:val="22"/>
          <w:lang w:val="es-ES"/>
        </w:rPr>
        <w:t xml:space="preserve">no </w:t>
      </w:r>
      <w:r w:rsidR="00C63491" w:rsidRPr="006E6EA6">
        <w:rPr>
          <w:rFonts w:cs="Arial"/>
          <w:sz w:val="22"/>
          <w:szCs w:val="22"/>
          <w:lang w:val="es-ES"/>
        </w:rPr>
        <w:t>obstante</w:t>
      </w:r>
      <w:r w:rsidRPr="006E6EA6">
        <w:rPr>
          <w:rFonts w:cs="Arial"/>
          <w:sz w:val="22"/>
          <w:szCs w:val="22"/>
          <w:lang w:val="es-ES"/>
        </w:rPr>
        <w:t xml:space="preserve">, estos elementos no se encuentran </w:t>
      </w:r>
      <w:r w:rsidR="005731A4" w:rsidRPr="006E6EA6">
        <w:rPr>
          <w:rFonts w:cs="Arial"/>
          <w:sz w:val="22"/>
          <w:szCs w:val="22"/>
          <w:lang w:val="es-ES"/>
        </w:rPr>
        <w:t>comprendidos en el alcance d</w:t>
      </w:r>
      <w:r w:rsidRPr="006E6EA6">
        <w:rPr>
          <w:rFonts w:cs="Arial"/>
          <w:sz w:val="22"/>
          <w:szCs w:val="22"/>
          <w:lang w:val="es-ES"/>
        </w:rPr>
        <w:t xml:space="preserve">el artículo 243 de la Decisión 486, ni en la interpretación </w:t>
      </w:r>
      <w:r w:rsidR="005731A4" w:rsidRPr="006E6EA6">
        <w:rPr>
          <w:rFonts w:cs="Arial"/>
          <w:sz w:val="22"/>
          <w:szCs w:val="22"/>
          <w:lang w:val="es-ES"/>
        </w:rPr>
        <w:t>de</w:t>
      </w:r>
      <w:r w:rsidRPr="006E6EA6">
        <w:rPr>
          <w:rFonts w:cs="Arial"/>
          <w:sz w:val="22"/>
          <w:szCs w:val="22"/>
          <w:lang w:val="es-ES"/>
        </w:rPr>
        <w:t xml:space="preserve"> dicho artículo, efectuada por el</w:t>
      </w:r>
      <w:r w:rsidR="004C7048" w:rsidRPr="006E6EA6">
        <w:rPr>
          <w:rFonts w:cs="Arial"/>
          <w:sz w:val="22"/>
          <w:szCs w:val="22"/>
          <w:lang w:val="es-ES"/>
        </w:rPr>
        <w:t xml:space="preserve"> TJCA en el Proceso 0</w:t>
      </w:r>
      <w:r w:rsidR="000D771F" w:rsidRPr="006E6EA6">
        <w:rPr>
          <w:rFonts w:cs="Arial"/>
          <w:sz w:val="22"/>
          <w:szCs w:val="22"/>
          <w:lang w:val="es-ES"/>
        </w:rPr>
        <w:t>4</w:t>
      </w:r>
      <w:r w:rsidR="004C7048" w:rsidRPr="006E6EA6">
        <w:rPr>
          <w:rFonts w:cs="Arial"/>
          <w:sz w:val="22"/>
          <w:szCs w:val="22"/>
          <w:lang w:val="es-ES"/>
        </w:rPr>
        <w:t xml:space="preserve">-IP-2013 </w:t>
      </w:r>
      <w:r w:rsidR="005731A4" w:rsidRPr="006E6EA6">
        <w:rPr>
          <w:rFonts w:cs="Arial"/>
          <w:sz w:val="22"/>
          <w:szCs w:val="22"/>
          <w:lang w:val="es-ES"/>
        </w:rPr>
        <w:t>respecto a</w:t>
      </w:r>
      <w:r w:rsidRPr="006E6EA6">
        <w:rPr>
          <w:rFonts w:cs="Arial"/>
          <w:sz w:val="22"/>
          <w:szCs w:val="22"/>
          <w:lang w:val="es-ES"/>
        </w:rPr>
        <w:t xml:space="preserve"> los criterios que se deben tomar en cuenta para el cálculo de la indemnización de los daños y perjuicios.  </w:t>
      </w:r>
    </w:p>
    <w:p w:rsidR="00DA3821" w:rsidRPr="006E6EA6" w:rsidRDefault="00DA3821" w:rsidP="0065256D">
      <w:pPr>
        <w:pStyle w:val="Prrafodelista"/>
        <w:widowControl/>
        <w:adjustRightInd/>
        <w:spacing w:line="240" w:lineRule="auto"/>
        <w:ind w:left="426" w:hanging="426"/>
        <w:contextualSpacing w:val="0"/>
        <w:textAlignment w:val="auto"/>
        <w:rPr>
          <w:rFonts w:cs="Arial"/>
          <w:sz w:val="22"/>
          <w:szCs w:val="22"/>
          <w:lang w:val="es-ES"/>
        </w:rPr>
      </w:pPr>
    </w:p>
    <w:p w:rsidR="005731A4" w:rsidRPr="006E6EA6" w:rsidRDefault="005731A4"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Sin perjuicio de lo anterior, cabe mencionar que dichos aspectos</w:t>
      </w:r>
      <w:r w:rsidR="00B028CB" w:rsidRPr="006E6EA6">
        <w:rPr>
          <w:rFonts w:cs="Arial"/>
          <w:sz w:val="22"/>
          <w:szCs w:val="22"/>
          <w:lang w:val="es-ES"/>
        </w:rPr>
        <w:t xml:space="preserve"> (el aprovechamiento de la reputación ajena y la dilución de la marca notoriamente conocida, y el riesgo de dilución) </w:t>
      </w:r>
      <w:r w:rsidRPr="006E6EA6">
        <w:rPr>
          <w:rFonts w:cs="Arial"/>
          <w:sz w:val="22"/>
          <w:szCs w:val="22"/>
          <w:lang w:val="es-ES"/>
        </w:rPr>
        <w:t xml:space="preserve"> </w:t>
      </w:r>
      <w:r w:rsidR="00B028CB" w:rsidRPr="006E6EA6">
        <w:rPr>
          <w:rFonts w:cs="Arial"/>
          <w:sz w:val="22"/>
          <w:szCs w:val="22"/>
          <w:lang w:val="es-ES"/>
        </w:rPr>
        <w:t xml:space="preserve">sí </w:t>
      </w:r>
      <w:r w:rsidRPr="006E6EA6">
        <w:rPr>
          <w:rFonts w:cs="Arial"/>
          <w:sz w:val="22"/>
          <w:szCs w:val="22"/>
          <w:lang w:val="es-ES"/>
        </w:rPr>
        <w:t>fueron analizados por el Tribunal Distrital de lo Contencioso Administrativo No. 1 en los “Considerando” Quinto y Sexto de la Sentencia de fecha 21 de octubre de 2014.</w:t>
      </w:r>
      <w:r w:rsidR="00980CFB" w:rsidRPr="006E6EA6">
        <w:rPr>
          <w:rStyle w:val="Refdenotaalpie"/>
          <w:rFonts w:cs="Arial"/>
          <w:sz w:val="22"/>
          <w:szCs w:val="22"/>
          <w:lang w:val="es-ES"/>
        </w:rPr>
        <w:footnoteReference w:id="37"/>
      </w:r>
    </w:p>
    <w:p w:rsidR="005731A4" w:rsidRPr="006E6EA6" w:rsidRDefault="005731A4" w:rsidP="0065256D">
      <w:pPr>
        <w:pStyle w:val="Prrafodelista"/>
        <w:widowControl/>
        <w:adjustRightInd/>
        <w:spacing w:line="240" w:lineRule="auto"/>
        <w:ind w:left="426" w:hanging="426"/>
        <w:contextualSpacing w:val="0"/>
        <w:textAlignment w:val="auto"/>
        <w:rPr>
          <w:rFonts w:cs="Arial"/>
          <w:sz w:val="22"/>
          <w:szCs w:val="22"/>
          <w:lang w:val="es-ES"/>
        </w:rPr>
      </w:pPr>
    </w:p>
    <w:p w:rsidR="00A40CFA" w:rsidRPr="006E6EA6" w:rsidRDefault="00A40CFA" w:rsidP="0065256D">
      <w:pPr>
        <w:pStyle w:val="Prrafodelista"/>
        <w:widowControl/>
        <w:numPr>
          <w:ilvl w:val="0"/>
          <w:numId w:val="33"/>
        </w:numPr>
        <w:adjustRightInd/>
        <w:spacing w:line="240" w:lineRule="auto"/>
        <w:ind w:left="709" w:hanging="283"/>
        <w:textAlignment w:val="auto"/>
        <w:rPr>
          <w:rFonts w:cs="Arial"/>
          <w:sz w:val="22"/>
          <w:szCs w:val="22"/>
          <w:lang w:val="es-ES"/>
        </w:rPr>
      </w:pPr>
      <w:r w:rsidRPr="006E6EA6">
        <w:rPr>
          <w:rFonts w:cs="Arial"/>
          <w:i/>
          <w:sz w:val="22"/>
          <w:szCs w:val="22"/>
          <w:u w:val="single"/>
          <w:lang w:val="es-ES"/>
        </w:rPr>
        <w:t>Respecto a que el informe del perito designado por el juez nacional no consideró los parámetros establecidos por el TJCA</w:t>
      </w:r>
      <w:r w:rsidRPr="006E6EA6">
        <w:rPr>
          <w:rFonts w:cs="Arial"/>
          <w:sz w:val="22"/>
          <w:szCs w:val="22"/>
          <w:lang w:val="es-ES"/>
        </w:rPr>
        <w:t>:</w:t>
      </w:r>
    </w:p>
    <w:p w:rsidR="005E3C49" w:rsidRPr="006E6EA6" w:rsidRDefault="005E3C49" w:rsidP="0065256D">
      <w:pPr>
        <w:pStyle w:val="Prrafodelista"/>
        <w:widowControl/>
        <w:adjustRightInd/>
        <w:spacing w:line="240" w:lineRule="auto"/>
        <w:ind w:left="426" w:hanging="426"/>
        <w:contextualSpacing w:val="0"/>
        <w:textAlignment w:val="auto"/>
        <w:rPr>
          <w:rFonts w:cs="Arial"/>
          <w:sz w:val="22"/>
          <w:szCs w:val="22"/>
          <w:lang w:val="es-ES"/>
        </w:rPr>
      </w:pPr>
    </w:p>
    <w:p w:rsidR="004A67F9" w:rsidRPr="006E6EA6" w:rsidRDefault="00914946"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E</w:t>
      </w:r>
      <w:r w:rsidR="00A7419C" w:rsidRPr="006E6EA6">
        <w:rPr>
          <w:rFonts w:cs="Arial"/>
          <w:sz w:val="22"/>
          <w:szCs w:val="22"/>
          <w:lang w:val="es-ES"/>
        </w:rPr>
        <w:t xml:space="preserve">n este punto </w:t>
      </w:r>
      <w:r w:rsidR="004A67F9" w:rsidRPr="006E6EA6">
        <w:rPr>
          <w:rFonts w:cs="Arial"/>
          <w:sz w:val="22"/>
          <w:szCs w:val="22"/>
          <w:lang w:val="es-ES"/>
        </w:rPr>
        <w:t>es preciso</w:t>
      </w:r>
      <w:r w:rsidR="00A7419C" w:rsidRPr="006E6EA6">
        <w:rPr>
          <w:rFonts w:cs="Arial"/>
          <w:sz w:val="22"/>
          <w:szCs w:val="22"/>
          <w:lang w:val="es-ES"/>
        </w:rPr>
        <w:t xml:space="preserve"> señalar que</w:t>
      </w:r>
      <w:r w:rsidRPr="006E6EA6">
        <w:rPr>
          <w:rFonts w:cs="Arial"/>
          <w:sz w:val="22"/>
          <w:szCs w:val="22"/>
          <w:lang w:val="es-ES"/>
        </w:rPr>
        <w:t>,</w:t>
      </w:r>
      <w:r w:rsidR="00A7419C" w:rsidRPr="006E6EA6">
        <w:rPr>
          <w:rFonts w:cs="Arial"/>
          <w:sz w:val="22"/>
          <w:szCs w:val="22"/>
          <w:lang w:val="es-ES"/>
        </w:rPr>
        <w:t xml:space="preserve"> </w:t>
      </w:r>
      <w:r w:rsidR="004A67F9" w:rsidRPr="006E6EA6">
        <w:rPr>
          <w:rFonts w:cs="Arial"/>
          <w:sz w:val="22"/>
          <w:szCs w:val="22"/>
          <w:lang w:val="es-ES"/>
        </w:rPr>
        <w:t>de acuerdo con lo señalado por reiterada jurisprudencia del Tribunal de Justicia de la Comunidad Andina</w:t>
      </w:r>
      <w:r w:rsidR="004A67F9" w:rsidRPr="006E6EA6">
        <w:rPr>
          <w:rStyle w:val="Refdenotaalpie"/>
          <w:rFonts w:cs="Arial"/>
          <w:sz w:val="22"/>
          <w:szCs w:val="22"/>
          <w:lang w:val="es-ES"/>
        </w:rPr>
        <w:footnoteReference w:id="38"/>
      </w:r>
      <w:r w:rsidR="004A67F9" w:rsidRPr="006E6EA6">
        <w:rPr>
          <w:rFonts w:cs="Arial"/>
          <w:sz w:val="22"/>
          <w:szCs w:val="22"/>
          <w:lang w:val="es-ES"/>
        </w:rPr>
        <w:t xml:space="preserve">, </w:t>
      </w:r>
      <w:r w:rsidR="00A7419C" w:rsidRPr="006E6EA6">
        <w:rPr>
          <w:rFonts w:cs="Arial"/>
          <w:sz w:val="22"/>
          <w:szCs w:val="22"/>
          <w:lang w:val="es-ES"/>
        </w:rPr>
        <w:t xml:space="preserve">por vía de la interpretación prejudicial, el TJCA no interpreta el contenido y alcance del derecho nacional ni califica los hechos materia de proceso, ya que </w:t>
      </w:r>
      <w:r w:rsidR="00A7419C" w:rsidRPr="006E6EA6">
        <w:rPr>
          <w:rFonts w:cs="Arial"/>
          <w:sz w:val="22"/>
          <w:szCs w:val="22"/>
          <w:u w:val="single"/>
          <w:lang w:val="es-ES"/>
        </w:rPr>
        <w:t>se limita a precisar el contenido y alcance de las normas andinas, desde un punto de vista jurídico</w:t>
      </w:r>
      <w:r w:rsidR="000A6FA3" w:rsidRPr="006E6EA6">
        <w:rPr>
          <w:rStyle w:val="Refdenotaalpie"/>
          <w:rFonts w:cs="Arial"/>
          <w:sz w:val="22"/>
          <w:szCs w:val="22"/>
          <w:lang w:val="es-ES"/>
        </w:rPr>
        <w:footnoteReference w:id="39"/>
      </w:r>
      <w:r w:rsidR="00A7419C" w:rsidRPr="006E6EA6">
        <w:rPr>
          <w:rFonts w:cs="Arial"/>
          <w:sz w:val="22"/>
          <w:szCs w:val="22"/>
          <w:lang w:val="es-ES"/>
        </w:rPr>
        <w:t>. En tal sentido, a modo general, esta Secretaria General tiene a bien indicar que la interpretación prejudicial no se puede utilizar para revaluar los actos jurisdiccionales nacionales o servir como un recurso de revisión o alzada de tales actos</w:t>
      </w:r>
      <w:r w:rsidR="00C71812" w:rsidRPr="006E6EA6">
        <w:rPr>
          <w:rFonts w:cs="Arial"/>
          <w:sz w:val="22"/>
          <w:szCs w:val="22"/>
          <w:lang w:val="es-ES"/>
        </w:rPr>
        <w:t>.</w:t>
      </w:r>
    </w:p>
    <w:p w:rsidR="004A45A0" w:rsidRPr="006E6EA6" w:rsidRDefault="004A45A0" w:rsidP="00981727">
      <w:pPr>
        <w:pStyle w:val="Prrafodelista"/>
        <w:widowControl/>
        <w:adjustRightInd/>
        <w:spacing w:line="240" w:lineRule="auto"/>
        <w:ind w:left="0"/>
        <w:contextualSpacing w:val="0"/>
        <w:textAlignment w:val="auto"/>
        <w:rPr>
          <w:rFonts w:cs="Arial"/>
          <w:sz w:val="22"/>
          <w:szCs w:val="22"/>
          <w:lang w:val="es-ES"/>
        </w:rPr>
      </w:pPr>
    </w:p>
    <w:p w:rsidR="00E34C15" w:rsidRPr="006E6EA6" w:rsidRDefault="003B322C"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Ahora bien</w:t>
      </w:r>
      <w:r w:rsidR="00A7419C" w:rsidRPr="006E6EA6">
        <w:rPr>
          <w:rFonts w:cs="Arial"/>
          <w:sz w:val="22"/>
          <w:szCs w:val="22"/>
          <w:lang w:val="es-ES"/>
        </w:rPr>
        <w:t>,</w:t>
      </w:r>
      <w:r w:rsidRPr="006E6EA6">
        <w:rPr>
          <w:rFonts w:cs="Arial"/>
          <w:sz w:val="22"/>
          <w:szCs w:val="22"/>
          <w:lang w:val="es-ES"/>
        </w:rPr>
        <w:t xml:space="preserve"> respecto a lo alegado por l</w:t>
      </w:r>
      <w:r w:rsidR="000D771F" w:rsidRPr="006E6EA6">
        <w:rPr>
          <w:rFonts w:cs="Arial"/>
          <w:sz w:val="22"/>
          <w:szCs w:val="22"/>
          <w:lang w:val="es-ES"/>
        </w:rPr>
        <w:t>a</w:t>
      </w:r>
      <w:r w:rsidRPr="006E6EA6">
        <w:rPr>
          <w:rFonts w:cs="Arial"/>
          <w:sz w:val="22"/>
          <w:szCs w:val="22"/>
          <w:lang w:val="es-ES"/>
        </w:rPr>
        <w:t xml:space="preserve"> reclamante</w:t>
      </w:r>
      <w:r w:rsidR="00B0050B" w:rsidRPr="006E6EA6">
        <w:rPr>
          <w:rFonts w:cs="Arial"/>
          <w:sz w:val="22"/>
          <w:szCs w:val="22"/>
          <w:lang w:val="es-ES"/>
        </w:rPr>
        <w:t>,</w:t>
      </w:r>
      <w:r w:rsidRPr="006E6EA6">
        <w:rPr>
          <w:rFonts w:cs="Arial"/>
          <w:sz w:val="22"/>
          <w:szCs w:val="22"/>
          <w:lang w:val="es-ES"/>
        </w:rPr>
        <w:t xml:space="preserve"> referido a que el informe del perito designado por el juez nacional</w:t>
      </w:r>
      <w:r w:rsidR="0000707F" w:rsidRPr="006E6EA6">
        <w:rPr>
          <w:rFonts w:cs="Arial"/>
          <w:sz w:val="22"/>
          <w:szCs w:val="22"/>
          <w:lang w:val="es-ES"/>
        </w:rPr>
        <w:t xml:space="preserve"> mediante la Providencia de fecha 16 de enero de 2017</w:t>
      </w:r>
      <w:r w:rsidRPr="006E6EA6">
        <w:rPr>
          <w:rFonts w:cs="Arial"/>
          <w:sz w:val="22"/>
          <w:szCs w:val="22"/>
          <w:lang w:val="es-ES"/>
        </w:rPr>
        <w:t xml:space="preserve"> no consideró los parámetros establecidos por el TJCA,</w:t>
      </w:r>
      <w:r w:rsidR="00A7419C" w:rsidRPr="006E6EA6">
        <w:rPr>
          <w:rFonts w:cs="Arial"/>
          <w:sz w:val="22"/>
          <w:szCs w:val="22"/>
          <w:lang w:val="es-ES"/>
        </w:rPr>
        <w:t xml:space="preserve"> se observa que </w:t>
      </w:r>
      <w:r w:rsidR="00C71812" w:rsidRPr="006E6EA6">
        <w:rPr>
          <w:rFonts w:cs="Arial"/>
          <w:sz w:val="22"/>
          <w:szCs w:val="22"/>
          <w:lang w:val="es-ES"/>
        </w:rPr>
        <w:t xml:space="preserve">en </w:t>
      </w:r>
      <w:r w:rsidR="00A7419C" w:rsidRPr="006E6EA6">
        <w:rPr>
          <w:rFonts w:cs="Arial"/>
          <w:sz w:val="22"/>
          <w:szCs w:val="22"/>
          <w:lang w:val="es-ES"/>
        </w:rPr>
        <w:t xml:space="preserve">el </w:t>
      </w:r>
      <w:r w:rsidR="0041249A" w:rsidRPr="006E6EA6">
        <w:rPr>
          <w:rFonts w:cs="Arial"/>
          <w:sz w:val="22"/>
          <w:szCs w:val="22"/>
          <w:lang w:val="es-ES"/>
        </w:rPr>
        <w:t>reclamo presentado por INDUALCA</w:t>
      </w:r>
      <w:r w:rsidR="00A7419C" w:rsidRPr="006E6EA6">
        <w:rPr>
          <w:rFonts w:cs="Arial"/>
          <w:sz w:val="22"/>
          <w:szCs w:val="22"/>
          <w:lang w:val="es-ES"/>
        </w:rPr>
        <w:t xml:space="preserve"> se ha</w:t>
      </w:r>
      <w:r w:rsidR="0000707F" w:rsidRPr="006E6EA6">
        <w:rPr>
          <w:rFonts w:cs="Arial"/>
          <w:sz w:val="22"/>
          <w:szCs w:val="22"/>
          <w:lang w:val="es-ES"/>
        </w:rPr>
        <w:t>ce</w:t>
      </w:r>
      <w:r w:rsidR="00A7419C" w:rsidRPr="006E6EA6">
        <w:rPr>
          <w:rFonts w:cs="Arial"/>
          <w:sz w:val="22"/>
          <w:szCs w:val="22"/>
          <w:lang w:val="es-ES"/>
        </w:rPr>
        <w:t xml:space="preserve"> referencia a </w:t>
      </w:r>
      <w:r w:rsidRPr="006E6EA6">
        <w:rPr>
          <w:rFonts w:cs="Arial"/>
          <w:sz w:val="22"/>
          <w:szCs w:val="22"/>
          <w:lang w:val="es-ES"/>
        </w:rPr>
        <w:t>los siguientes actos:</w:t>
      </w:r>
    </w:p>
    <w:p w:rsidR="00A7419C" w:rsidRPr="006E6EA6" w:rsidRDefault="00C474E6" w:rsidP="0065256D">
      <w:pPr>
        <w:pStyle w:val="Prrafodelista"/>
        <w:spacing w:line="240" w:lineRule="auto"/>
        <w:ind w:left="426"/>
        <w:rPr>
          <w:rFonts w:cs="Arial"/>
          <w:i/>
          <w:sz w:val="22"/>
          <w:szCs w:val="22"/>
          <w:lang w:val="es-ES"/>
        </w:rPr>
      </w:pPr>
      <w:r w:rsidRPr="006E6EA6">
        <w:rPr>
          <w:rFonts w:cs="Arial"/>
          <w:sz w:val="22"/>
          <w:szCs w:val="22"/>
          <w:lang w:val="es-ES"/>
        </w:rPr>
        <w:lastRenderedPageBreak/>
        <w:t>“</w:t>
      </w:r>
      <w:r w:rsidR="00A7419C" w:rsidRPr="006E6EA6">
        <w:rPr>
          <w:rFonts w:cs="Arial"/>
          <w:i/>
          <w:sz w:val="22"/>
          <w:szCs w:val="22"/>
          <w:lang w:val="es-ES"/>
        </w:rPr>
        <w:t>(…)</w:t>
      </w:r>
      <w:r w:rsidR="00E34C15" w:rsidRPr="006E6EA6">
        <w:rPr>
          <w:rFonts w:cs="Arial"/>
          <w:i/>
          <w:sz w:val="22"/>
          <w:szCs w:val="22"/>
          <w:lang w:val="es-ES"/>
        </w:rPr>
        <w:t xml:space="preserve"> </w:t>
      </w:r>
      <w:r w:rsidR="00E34C15" w:rsidRPr="006E6EA6">
        <w:rPr>
          <w:rFonts w:cs="Arial"/>
          <w:sz w:val="22"/>
          <w:szCs w:val="22"/>
          <w:lang w:val="es-ES"/>
        </w:rPr>
        <w:t>[la]</w:t>
      </w:r>
      <w:r w:rsidR="00A7419C" w:rsidRPr="006E6EA6">
        <w:rPr>
          <w:rFonts w:cs="Arial"/>
          <w:sz w:val="22"/>
          <w:szCs w:val="22"/>
          <w:lang w:val="es-ES"/>
        </w:rPr>
        <w:t xml:space="preserve"> </w:t>
      </w:r>
      <w:r w:rsidR="00A7419C" w:rsidRPr="006E6EA6">
        <w:rPr>
          <w:rFonts w:cs="Arial"/>
          <w:i/>
          <w:sz w:val="22"/>
          <w:szCs w:val="22"/>
          <w:lang w:val="es-ES"/>
        </w:rPr>
        <w:t>perito designado por el Tribunal Consultante, quien en su informe se limita a efectuar los cálculos con la información sesgada que le proporciona la empresa ECUAQUÍMICA C.A. de los periodos 2000 al 2005, sin tomar en cuenta que dentro del proceso consta un análisis de importación que evidencia que desde el año 1996 la empresa ECUAQUÍMICA C.A. ha efectuado importaciones del producto Maderol 1-10, información base del peritaje presentado por el Perito Milton Alfredo Tobar Barrionuevo.</w:t>
      </w:r>
    </w:p>
    <w:p w:rsidR="00A7419C" w:rsidRPr="006E6EA6" w:rsidRDefault="00A7419C" w:rsidP="0065256D">
      <w:pPr>
        <w:pStyle w:val="Prrafodelista"/>
        <w:spacing w:line="240" w:lineRule="auto"/>
        <w:ind w:left="426" w:hanging="426"/>
        <w:rPr>
          <w:rFonts w:cs="Arial"/>
          <w:i/>
          <w:sz w:val="22"/>
          <w:szCs w:val="22"/>
          <w:lang w:val="es-ES"/>
        </w:rPr>
      </w:pPr>
    </w:p>
    <w:p w:rsidR="00EE5785" w:rsidRPr="006E6EA6" w:rsidRDefault="00EE5785" w:rsidP="0065256D">
      <w:pPr>
        <w:pStyle w:val="Prrafodelista"/>
        <w:spacing w:line="240" w:lineRule="auto"/>
        <w:ind w:left="426"/>
        <w:rPr>
          <w:rFonts w:cs="Arial"/>
          <w:i/>
          <w:sz w:val="22"/>
          <w:szCs w:val="22"/>
          <w:lang w:val="es-ES"/>
        </w:rPr>
      </w:pPr>
      <w:r w:rsidRPr="006E6EA6">
        <w:rPr>
          <w:rFonts w:cs="Arial"/>
          <w:i/>
          <w:sz w:val="22"/>
          <w:szCs w:val="22"/>
          <w:lang w:val="es-ES"/>
        </w:rPr>
        <w:t>(…)</w:t>
      </w:r>
    </w:p>
    <w:p w:rsidR="00E34C15" w:rsidRPr="006E6EA6" w:rsidRDefault="00E34C15" w:rsidP="0065256D">
      <w:pPr>
        <w:pStyle w:val="Prrafodelista"/>
        <w:spacing w:line="240" w:lineRule="auto"/>
        <w:ind w:left="426" w:hanging="426"/>
        <w:rPr>
          <w:rFonts w:cs="Arial"/>
          <w:i/>
          <w:sz w:val="22"/>
          <w:szCs w:val="22"/>
          <w:lang w:val="es-ES"/>
        </w:rPr>
      </w:pPr>
    </w:p>
    <w:p w:rsidR="00A7419C" w:rsidRPr="006E6EA6" w:rsidRDefault="00EE5785" w:rsidP="0065256D">
      <w:pPr>
        <w:pStyle w:val="Prrafodelista"/>
        <w:spacing w:line="240" w:lineRule="auto"/>
        <w:ind w:left="426"/>
        <w:rPr>
          <w:rFonts w:cs="Arial"/>
          <w:i/>
          <w:sz w:val="22"/>
          <w:szCs w:val="22"/>
          <w:lang w:val="es-ES"/>
        </w:rPr>
      </w:pPr>
      <w:r w:rsidRPr="006E6EA6">
        <w:rPr>
          <w:rFonts w:cs="Arial"/>
          <w:i/>
          <w:sz w:val="22"/>
          <w:szCs w:val="22"/>
          <w:lang w:val="es-ES"/>
        </w:rPr>
        <w:t>Así mismo la Sra. Perito pese a tener como referencia el peritaje del Dr. Marco Vinicio Guerra quien manifiesta el porcentaje de regalía que debería haber percibido en regalía INDUALCA C.A. fijándole en un 7.5% del valor de ut</w:t>
      </w:r>
      <w:r w:rsidR="00E34C15" w:rsidRPr="006E6EA6">
        <w:rPr>
          <w:rFonts w:cs="Arial"/>
          <w:i/>
          <w:sz w:val="22"/>
          <w:szCs w:val="22"/>
          <w:lang w:val="es-ES"/>
        </w:rPr>
        <w:t>ilidad no lo</w:t>
      </w:r>
      <w:r w:rsidR="00914946" w:rsidRPr="006E6EA6">
        <w:rPr>
          <w:rFonts w:cs="Arial"/>
          <w:i/>
          <w:sz w:val="22"/>
          <w:szCs w:val="22"/>
          <w:lang w:val="es-ES"/>
        </w:rPr>
        <w:t xml:space="preserve"> toma</w:t>
      </w:r>
      <w:r w:rsidR="00E34C15" w:rsidRPr="006E6EA6">
        <w:rPr>
          <w:rFonts w:cs="Arial"/>
          <w:i/>
          <w:sz w:val="22"/>
          <w:szCs w:val="22"/>
          <w:lang w:val="es-ES"/>
        </w:rPr>
        <w:t xml:space="preserve"> en cuenta en su primer informe. En el informe ampliatorio de forma Anti técnica aplica un porcentaje del 5% por concepto de regalía haciendo constar en su cuadro de cálculo número 1 que corresponde a la tasa de interés anual.</w:t>
      </w:r>
      <w:r w:rsidR="00C71812" w:rsidRPr="006E6EA6">
        <w:rPr>
          <w:rFonts w:cs="Arial"/>
          <w:i/>
          <w:sz w:val="22"/>
          <w:szCs w:val="22"/>
          <w:lang w:val="es-ES"/>
        </w:rPr>
        <w:t xml:space="preserve"> </w:t>
      </w:r>
      <w:r w:rsidR="00C71812" w:rsidRPr="006E6EA6">
        <w:rPr>
          <w:rFonts w:cs="Arial"/>
          <w:sz w:val="22"/>
          <w:szCs w:val="22"/>
          <w:lang w:val="es-ES"/>
        </w:rPr>
        <w:t>(SIC)</w:t>
      </w:r>
    </w:p>
    <w:p w:rsidR="00E34C15" w:rsidRPr="006E6EA6" w:rsidRDefault="00E34C15" w:rsidP="00981727">
      <w:pPr>
        <w:pStyle w:val="Prrafodelista"/>
        <w:spacing w:line="240" w:lineRule="auto"/>
        <w:ind w:left="1134"/>
        <w:rPr>
          <w:rFonts w:cs="Arial"/>
          <w:i/>
          <w:sz w:val="22"/>
          <w:szCs w:val="22"/>
          <w:lang w:val="es-ES"/>
        </w:rPr>
      </w:pPr>
    </w:p>
    <w:p w:rsidR="00E34C15" w:rsidRPr="006E6EA6" w:rsidRDefault="00E34C15" w:rsidP="0065256D">
      <w:pPr>
        <w:pStyle w:val="Prrafodelista"/>
        <w:spacing w:line="240" w:lineRule="auto"/>
        <w:ind w:left="1134" w:hanging="708"/>
        <w:rPr>
          <w:rFonts w:cs="Arial"/>
          <w:i/>
          <w:sz w:val="22"/>
          <w:szCs w:val="22"/>
          <w:lang w:val="es-ES"/>
        </w:rPr>
      </w:pPr>
      <w:r w:rsidRPr="006E6EA6">
        <w:rPr>
          <w:rFonts w:cs="Arial"/>
          <w:i/>
          <w:sz w:val="22"/>
          <w:szCs w:val="22"/>
          <w:lang w:val="es-ES"/>
        </w:rPr>
        <w:t>(…)</w:t>
      </w:r>
    </w:p>
    <w:p w:rsidR="00E34C15" w:rsidRPr="006E6EA6" w:rsidRDefault="00E34C15" w:rsidP="00981727">
      <w:pPr>
        <w:pStyle w:val="Prrafodelista"/>
        <w:spacing w:line="240" w:lineRule="auto"/>
        <w:ind w:left="1134"/>
        <w:rPr>
          <w:rFonts w:cs="Arial"/>
          <w:i/>
          <w:sz w:val="22"/>
          <w:szCs w:val="22"/>
          <w:lang w:val="es-ES"/>
        </w:rPr>
      </w:pPr>
    </w:p>
    <w:p w:rsidR="00E34C15" w:rsidRPr="006E6EA6" w:rsidRDefault="00E34C15" w:rsidP="0065256D">
      <w:pPr>
        <w:pStyle w:val="Prrafodelista"/>
        <w:spacing w:line="240" w:lineRule="auto"/>
        <w:ind w:left="426"/>
        <w:rPr>
          <w:rFonts w:cs="Arial"/>
          <w:i/>
          <w:sz w:val="22"/>
          <w:szCs w:val="22"/>
          <w:lang w:val="es-ES"/>
        </w:rPr>
      </w:pPr>
      <w:r w:rsidRPr="006E6EA6">
        <w:rPr>
          <w:rFonts w:cs="Arial"/>
          <w:i/>
          <w:sz w:val="22"/>
          <w:szCs w:val="22"/>
          <w:lang w:val="es-ES"/>
        </w:rPr>
        <w:t>A sí mismo en su primer informe comete una serie de errores duplicando el valor de los costos tanto de envasado como de operación y adicionando gastos de administración y provisión de cuentas incobrables (…) incluye gastos que corresponden a una etapa de transformación del producto como si este durante su almacenamiento en EACUAQUÍMCA C.A. sufriese alguna transformación, es decir desconoce que este producto es de tipo final (…)</w:t>
      </w:r>
      <w:r w:rsidR="00C71812" w:rsidRPr="006E6EA6">
        <w:rPr>
          <w:rFonts w:cs="Arial"/>
          <w:i/>
          <w:sz w:val="22"/>
          <w:szCs w:val="22"/>
          <w:lang w:val="es-ES"/>
        </w:rPr>
        <w:t xml:space="preserve">. </w:t>
      </w:r>
      <w:r w:rsidR="00C71812" w:rsidRPr="006E6EA6">
        <w:rPr>
          <w:rFonts w:cs="Arial"/>
          <w:sz w:val="22"/>
          <w:szCs w:val="22"/>
          <w:lang w:val="es-ES"/>
        </w:rPr>
        <w:t>(SIC)</w:t>
      </w:r>
    </w:p>
    <w:p w:rsidR="00E34C15" w:rsidRPr="006E6EA6" w:rsidRDefault="00E34C15" w:rsidP="0065256D">
      <w:pPr>
        <w:pStyle w:val="Prrafodelista"/>
        <w:spacing w:line="240" w:lineRule="auto"/>
        <w:ind w:left="426"/>
        <w:rPr>
          <w:rFonts w:cs="Arial"/>
          <w:i/>
          <w:sz w:val="22"/>
          <w:szCs w:val="22"/>
          <w:lang w:val="es-ES"/>
        </w:rPr>
      </w:pPr>
    </w:p>
    <w:p w:rsidR="00E34C15" w:rsidRPr="006E6EA6" w:rsidRDefault="00E34C15" w:rsidP="0065256D">
      <w:pPr>
        <w:pStyle w:val="Prrafodelista"/>
        <w:spacing w:line="240" w:lineRule="auto"/>
        <w:ind w:left="426"/>
        <w:rPr>
          <w:rFonts w:cs="Arial"/>
          <w:i/>
          <w:sz w:val="22"/>
          <w:szCs w:val="22"/>
          <w:lang w:val="es-ES"/>
        </w:rPr>
      </w:pPr>
      <w:r w:rsidRPr="006E6EA6">
        <w:rPr>
          <w:rFonts w:cs="Arial"/>
          <w:i/>
          <w:sz w:val="22"/>
          <w:szCs w:val="22"/>
          <w:lang w:val="es-ES"/>
        </w:rPr>
        <w:t>La Sra. Perito no ha mantenido coherencia entre sus cálculos (…)</w:t>
      </w:r>
    </w:p>
    <w:p w:rsidR="00E34C15" w:rsidRPr="006E6EA6" w:rsidRDefault="00E34C15" w:rsidP="0065256D">
      <w:pPr>
        <w:pStyle w:val="Prrafodelista"/>
        <w:spacing w:line="240" w:lineRule="auto"/>
        <w:ind w:left="426"/>
        <w:rPr>
          <w:rFonts w:cs="Arial"/>
          <w:i/>
          <w:sz w:val="22"/>
          <w:szCs w:val="22"/>
          <w:lang w:val="es-ES"/>
        </w:rPr>
      </w:pPr>
    </w:p>
    <w:p w:rsidR="00A7419C" w:rsidRPr="006E6EA6" w:rsidRDefault="00E34C15" w:rsidP="0065256D">
      <w:pPr>
        <w:pStyle w:val="Prrafodelista"/>
        <w:spacing w:line="240" w:lineRule="auto"/>
        <w:ind w:left="426"/>
        <w:rPr>
          <w:rFonts w:cs="Arial"/>
          <w:i/>
          <w:sz w:val="22"/>
          <w:szCs w:val="22"/>
          <w:lang w:val="es-ES"/>
        </w:rPr>
      </w:pPr>
      <w:r w:rsidRPr="006E6EA6">
        <w:rPr>
          <w:rFonts w:cs="Arial"/>
          <w:i/>
          <w:sz w:val="22"/>
          <w:szCs w:val="22"/>
          <w:lang w:val="es-ES"/>
        </w:rPr>
        <w:t>En relación de la liquidación efectuada por el cálculo de daños y perjuicios presenta como rubro un valor de utilidad operacional que no concuerda con la utilidad calculada (…).</w:t>
      </w:r>
      <w:r w:rsidRPr="006E6EA6">
        <w:rPr>
          <w:rFonts w:cs="Arial"/>
          <w:sz w:val="22"/>
          <w:szCs w:val="22"/>
          <w:lang w:val="es-ES"/>
        </w:rPr>
        <w:t>”</w:t>
      </w:r>
      <w:r w:rsidRPr="006E6EA6">
        <w:rPr>
          <w:rStyle w:val="Refdenotaalpie"/>
          <w:rFonts w:cs="Arial"/>
          <w:sz w:val="22"/>
          <w:szCs w:val="22"/>
          <w:lang w:val="es-ES"/>
        </w:rPr>
        <w:footnoteReference w:id="40"/>
      </w:r>
      <w:r w:rsidRPr="006E6EA6">
        <w:rPr>
          <w:rFonts w:cs="Arial"/>
          <w:sz w:val="22"/>
          <w:szCs w:val="22"/>
          <w:lang w:val="es-ES"/>
        </w:rPr>
        <w:t xml:space="preserve"> </w:t>
      </w:r>
    </w:p>
    <w:p w:rsidR="004C7048" w:rsidRPr="006E6EA6" w:rsidRDefault="004C7048" w:rsidP="00981727">
      <w:pPr>
        <w:pStyle w:val="Prrafodelista"/>
        <w:widowControl/>
        <w:adjustRightInd/>
        <w:spacing w:line="240" w:lineRule="auto"/>
        <w:ind w:left="0"/>
        <w:contextualSpacing w:val="0"/>
        <w:textAlignment w:val="auto"/>
        <w:rPr>
          <w:rFonts w:cs="Arial"/>
          <w:sz w:val="22"/>
          <w:szCs w:val="22"/>
          <w:lang w:val="es-ES"/>
        </w:rPr>
      </w:pPr>
    </w:p>
    <w:p w:rsidR="00486D97" w:rsidRPr="006E6EA6" w:rsidRDefault="00744FCD"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Como se puede observar, las</w:t>
      </w:r>
      <w:r w:rsidR="005E3C49" w:rsidRPr="006E6EA6">
        <w:rPr>
          <w:rFonts w:cs="Arial"/>
          <w:sz w:val="22"/>
          <w:szCs w:val="22"/>
          <w:lang w:val="es-ES"/>
        </w:rPr>
        <w:t xml:space="preserve"> alegaciones de la reclamante </w:t>
      </w:r>
      <w:r w:rsidR="00945A05" w:rsidRPr="006E6EA6">
        <w:rPr>
          <w:rFonts w:cs="Arial"/>
          <w:sz w:val="22"/>
          <w:szCs w:val="22"/>
          <w:lang w:val="es-ES"/>
        </w:rPr>
        <w:t xml:space="preserve">respecto al informe del perito designado por el juez nacional </w:t>
      </w:r>
      <w:r w:rsidR="005D103C" w:rsidRPr="006E6EA6">
        <w:rPr>
          <w:rFonts w:cs="Arial"/>
          <w:sz w:val="22"/>
          <w:szCs w:val="22"/>
          <w:lang w:val="es-ES"/>
        </w:rPr>
        <w:t xml:space="preserve">mediante la providencia de fecha 16 de enero de 2017 </w:t>
      </w:r>
      <w:r w:rsidR="007A5025" w:rsidRPr="006E6EA6">
        <w:rPr>
          <w:rFonts w:cs="Arial"/>
          <w:sz w:val="22"/>
          <w:szCs w:val="22"/>
          <w:lang w:val="es-ES"/>
        </w:rPr>
        <w:t>se refieren a hechos y cuestiones técnicas vinculada</w:t>
      </w:r>
      <w:r w:rsidRPr="006E6EA6">
        <w:rPr>
          <w:rFonts w:cs="Arial"/>
          <w:sz w:val="22"/>
          <w:szCs w:val="22"/>
          <w:lang w:val="es-ES"/>
        </w:rPr>
        <w:t xml:space="preserve">s al proceso interno; y </w:t>
      </w:r>
      <w:r w:rsidR="003B322C" w:rsidRPr="006E6EA6">
        <w:rPr>
          <w:rFonts w:cs="Arial"/>
          <w:sz w:val="22"/>
          <w:szCs w:val="22"/>
          <w:lang w:val="es-ES"/>
        </w:rPr>
        <w:t>no a criterios interpretativos desarrollados por el Tribunal</w:t>
      </w:r>
      <w:r w:rsidRPr="006E6EA6">
        <w:rPr>
          <w:rFonts w:cs="Arial"/>
          <w:sz w:val="22"/>
          <w:szCs w:val="22"/>
          <w:lang w:val="es-ES"/>
        </w:rPr>
        <w:t xml:space="preserve"> en el Proceso </w:t>
      </w:r>
      <w:r w:rsidR="005D103C" w:rsidRPr="006E6EA6">
        <w:rPr>
          <w:rFonts w:cs="Arial"/>
          <w:sz w:val="22"/>
          <w:szCs w:val="22"/>
          <w:lang w:val="es-ES"/>
        </w:rPr>
        <w:t xml:space="preserve">No. </w:t>
      </w:r>
      <w:r w:rsidRPr="006E6EA6">
        <w:rPr>
          <w:rFonts w:cs="Arial"/>
          <w:sz w:val="22"/>
          <w:szCs w:val="22"/>
          <w:lang w:val="es-ES"/>
        </w:rPr>
        <w:t xml:space="preserve">04-IP-2013, específicamente, respecto al artículo 243 de la Decisión 486, el cual únicamente establece criterios </w:t>
      </w:r>
      <w:r w:rsidRPr="006E6EA6">
        <w:rPr>
          <w:rFonts w:cs="Arial"/>
          <w:sz w:val="22"/>
          <w:szCs w:val="22"/>
          <w:u w:val="single"/>
          <w:lang w:val="es-ES"/>
        </w:rPr>
        <w:t>generales</w:t>
      </w:r>
      <w:r w:rsidRPr="006E6EA6">
        <w:rPr>
          <w:rFonts w:cs="Arial"/>
          <w:sz w:val="22"/>
          <w:szCs w:val="22"/>
          <w:lang w:val="es-ES"/>
        </w:rPr>
        <w:t xml:space="preserve"> para el cálculo de la indemnización por daños y perjuicios.</w:t>
      </w:r>
    </w:p>
    <w:p w:rsidR="00486D97" w:rsidRPr="006E6EA6" w:rsidRDefault="00486D97" w:rsidP="0065256D">
      <w:pPr>
        <w:pStyle w:val="Prrafodelista"/>
        <w:widowControl/>
        <w:adjustRightInd/>
        <w:spacing w:line="240" w:lineRule="auto"/>
        <w:ind w:left="426" w:hanging="426"/>
        <w:contextualSpacing w:val="0"/>
        <w:textAlignment w:val="auto"/>
        <w:rPr>
          <w:rFonts w:cs="Arial"/>
          <w:sz w:val="22"/>
          <w:szCs w:val="22"/>
          <w:lang w:val="es-ES"/>
        </w:rPr>
      </w:pPr>
    </w:p>
    <w:p w:rsidR="00744FCD" w:rsidRPr="006E6EA6" w:rsidRDefault="000D771F"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Asimismo, </w:t>
      </w:r>
      <w:r w:rsidR="00486D97" w:rsidRPr="006E6EA6">
        <w:rPr>
          <w:rFonts w:cs="Arial"/>
          <w:sz w:val="22"/>
          <w:szCs w:val="22"/>
          <w:lang w:val="es-ES"/>
        </w:rPr>
        <w:t>es necesario precisar que la providencia de fecha 16 de enero de 2017, resulta ser un acto de mero trámite mediante el cual el Tribunal Distrital de lo Contencioso Administrativo, designa a un perito para que conforme a la Sentencia del 21 de octubre de 2014 emita un informe.</w:t>
      </w:r>
      <w:r w:rsidR="00942061" w:rsidRPr="006E6EA6">
        <w:rPr>
          <w:rFonts w:cs="Arial"/>
          <w:sz w:val="22"/>
          <w:szCs w:val="22"/>
          <w:lang w:val="es-ES"/>
        </w:rPr>
        <w:t xml:space="preserve"> C</w:t>
      </w:r>
      <w:r w:rsidRPr="006E6EA6">
        <w:rPr>
          <w:rFonts w:cs="Arial"/>
          <w:sz w:val="22"/>
          <w:szCs w:val="22"/>
          <w:lang w:val="es-ES"/>
        </w:rPr>
        <w:t xml:space="preserve">abe indicar que el Informe de un perito es una opinión técnica de un experto que sirve para que </w:t>
      </w:r>
      <w:r w:rsidR="00942061" w:rsidRPr="006E6EA6">
        <w:rPr>
          <w:rFonts w:cs="Arial"/>
          <w:sz w:val="22"/>
          <w:szCs w:val="22"/>
          <w:lang w:val="es-ES"/>
        </w:rPr>
        <w:t xml:space="preserve">una autoridad (en este caso </w:t>
      </w:r>
      <w:r w:rsidRPr="006E6EA6">
        <w:rPr>
          <w:rFonts w:cs="Arial"/>
          <w:sz w:val="22"/>
          <w:szCs w:val="22"/>
          <w:lang w:val="es-ES"/>
        </w:rPr>
        <w:t>un juez</w:t>
      </w:r>
      <w:r w:rsidR="00942061" w:rsidRPr="006E6EA6">
        <w:rPr>
          <w:rFonts w:cs="Arial"/>
          <w:sz w:val="22"/>
          <w:szCs w:val="22"/>
          <w:lang w:val="es-ES"/>
        </w:rPr>
        <w:t>)</w:t>
      </w:r>
      <w:r w:rsidRPr="006E6EA6">
        <w:rPr>
          <w:rFonts w:cs="Arial"/>
          <w:sz w:val="22"/>
          <w:szCs w:val="22"/>
          <w:lang w:val="es-ES"/>
        </w:rPr>
        <w:t xml:space="preserve"> tenga mayores elementos</w:t>
      </w:r>
      <w:r w:rsidR="00942061" w:rsidRPr="006E6EA6">
        <w:rPr>
          <w:rFonts w:cs="Arial"/>
          <w:sz w:val="22"/>
          <w:szCs w:val="22"/>
          <w:lang w:val="es-ES"/>
        </w:rPr>
        <w:t xml:space="preserve"> para resolver una controversia. En tal sentido,</w:t>
      </w:r>
      <w:r w:rsidRPr="006E6EA6">
        <w:rPr>
          <w:rFonts w:cs="Arial"/>
          <w:sz w:val="22"/>
          <w:szCs w:val="22"/>
          <w:lang w:val="es-ES"/>
        </w:rPr>
        <w:t xml:space="preserve"> </w:t>
      </w:r>
      <w:r w:rsidR="00942061" w:rsidRPr="006E6EA6">
        <w:rPr>
          <w:rFonts w:cs="Arial"/>
          <w:sz w:val="22"/>
          <w:szCs w:val="22"/>
          <w:lang w:val="es-ES"/>
        </w:rPr>
        <w:t xml:space="preserve">en este caso, </w:t>
      </w:r>
      <w:r w:rsidRPr="006E6EA6">
        <w:rPr>
          <w:rFonts w:cs="Arial"/>
          <w:sz w:val="22"/>
          <w:szCs w:val="22"/>
          <w:lang w:val="es-ES"/>
        </w:rPr>
        <w:t>el informe de</w:t>
      </w:r>
      <w:r w:rsidR="00942061" w:rsidRPr="006E6EA6">
        <w:rPr>
          <w:rFonts w:cs="Arial"/>
          <w:sz w:val="22"/>
          <w:szCs w:val="22"/>
          <w:lang w:val="es-ES"/>
        </w:rPr>
        <w:t xml:space="preserve"> un</w:t>
      </w:r>
      <w:r w:rsidRPr="006E6EA6">
        <w:rPr>
          <w:rFonts w:cs="Arial"/>
          <w:sz w:val="22"/>
          <w:szCs w:val="22"/>
          <w:lang w:val="es-ES"/>
        </w:rPr>
        <w:t xml:space="preserve"> perito</w:t>
      </w:r>
      <w:r w:rsidR="00942061" w:rsidRPr="006E6EA6">
        <w:rPr>
          <w:rFonts w:cs="Arial"/>
          <w:sz w:val="22"/>
          <w:szCs w:val="22"/>
          <w:lang w:val="es-ES"/>
        </w:rPr>
        <w:t xml:space="preserve"> no constituye</w:t>
      </w:r>
      <w:r w:rsidRPr="006E6EA6">
        <w:rPr>
          <w:rFonts w:cs="Arial"/>
          <w:sz w:val="22"/>
          <w:szCs w:val="22"/>
          <w:lang w:val="es-ES"/>
        </w:rPr>
        <w:t xml:space="preserve"> </w:t>
      </w:r>
      <w:r w:rsidR="00942061" w:rsidRPr="006E6EA6">
        <w:rPr>
          <w:rFonts w:cs="Arial"/>
          <w:sz w:val="22"/>
          <w:szCs w:val="22"/>
          <w:lang w:val="es-ES"/>
        </w:rPr>
        <w:t xml:space="preserve">un acto o medida propia del gobierno ecuatoriano </w:t>
      </w:r>
      <w:r w:rsidRPr="006E6EA6">
        <w:rPr>
          <w:rFonts w:cs="Arial"/>
          <w:sz w:val="22"/>
          <w:szCs w:val="22"/>
          <w:lang w:val="es-ES"/>
        </w:rPr>
        <w:t>pasible de ser analizada y cuestionada vía acción de incumplimiento ante la Secretaría General.</w:t>
      </w:r>
    </w:p>
    <w:p w:rsidR="00486D97" w:rsidRPr="006E6EA6" w:rsidRDefault="00486D97" w:rsidP="00486D97">
      <w:pPr>
        <w:pStyle w:val="Prrafodelista"/>
        <w:widowControl/>
        <w:adjustRightInd/>
        <w:spacing w:line="240" w:lineRule="auto"/>
        <w:ind w:left="0"/>
        <w:contextualSpacing w:val="0"/>
        <w:textAlignment w:val="auto"/>
        <w:rPr>
          <w:rFonts w:cs="Arial"/>
          <w:sz w:val="22"/>
          <w:szCs w:val="22"/>
          <w:lang w:val="es-ES"/>
        </w:rPr>
      </w:pPr>
    </w:p>
    <w:p w:rsidR="0015161B" w:rsidRPr="006E6EA6" w:rsidRDefault="003A5B51" w:rsidP="00981727">
      <w:pPr>
        <w:pStyle w:val="Prrafodelista"/>
        <w:widowControl/>
        <w:numPr>
          <w:ilvl w:val="2"/>
          <w:numId w:val="25"/>
        </w:numPr>
        <w:adjustRightInd/>
        <w:spacing w:line="240" w:lineRule="auto"/>
        <w:ind w:left="567" w:hanging="567"/>
        <w:textAlignment w:val="auto"/>
        <w:rPr>
          <w:rFonts w:cs="Arial"/>
          <w:sz w:val="22"/>
          <w:szCs w:val="22"/>
        </w:rPr>
      </w:pPr>
      <w:r w:rsidRPr="006E6EA6">
        <w:rPr>
          <w:rFonts w:cs="Arial"/>
          <w:sz w:val="22"/>
          <w:szCs w:val="22"/>
          <w:u w:val="single"/>
        </w:rPr>
        <w:t>Respecto a que e</w:t>
      </w:r>
      <w:r w:rsidR="0015161B" w:rsidRPr="006E6EA6">
        <w:rPr>
          <w:rFonts w:cs="Arial"/>
          <w:sz w:val="22"/>
          <w:szCs w:val="22"/>
          <w:u w:val="single"/>
        </w:rPr>
        <w:t>l juez consultante no habría dado oportunidad a la reclamante para que aporte información sobre la cuantía de los</w:t>
      </w:r>
      <w:r w:rsidR="00E130DA" w:rsidRPr="006E6EA6">
        <w:rPr>
          <w:rFonts w:cs="Arial"/>
          <w:sz w:val="22"/>
          <w:szCs w:val="22"/>
          <w:u w:val="single"/>
        </w:rPr>
        <w:t xml:space="preserve"> daños y perjuicios ocasionados</w:t>
      </w:r>
      <w:r w:rsidR="00E130DA" w:rsidRPr="006E6EA6">
        <w:rPr>
          <w:rFonts w:cs="Arial"/>
          <w:sz w:val="22"/>
          <w:szCs w:val="22"/>
        </w:rPr>
        <w:t>:</w:t>
      </w:r>
    </w:p>
    <w:p w:rsidR="00D15FD6" w:rsidRPr="006E6EA6" w:rsidRDefault="00D15FD6" w:rsidP="00981727">
      <w:pPr>
        <w:pStyle w:val="Prrafodelista"/>
        <w:widowControl/>
        <w:adjustRightInd/>
        <w:spacing w:line="240" w:lineRule="auto"/>
        <w:ind w:left="567"/>
        <w:contextualSpacing w:val="0"/>
        <w:textAlignment w:val="auto"/>
        <w:rPr>
          <w:rFonts w:cs="Arial"/>
          <w:i/>
          <w:sz w:val="22"/>
          <w:szCs w:val="22"/>
          <w:u w:val="single"/>
          <w:lang w:val="es-ES"/>
        </w:rPr>
      </w:pPr>
      <w:r w:rsidRPr="006E6EA6">
        <w:rPr>
          <w:rFonts w:cs="Arial"/>
          <w:i/>
          <w:sz w:val="22"/>
          <w:szCs w:val="22"/>
          <w:u w:val="single"/>
          <w:lang w:val="es-ES"/>
        </w:rPr>
        <w:lastRenderedPageBreak/>
        <w:t>Alegatos de la reclamante</w:t>
      </w:r>
    </w:p>
    <w:p w:rsidR="00D15FD6" w:rsidRPr="006E6EA6" w:rsidRDefault="00D15FD6" w:rsidP="00981727">
      <w:pPr>
        <w:pStyle w:val="Prrafodelista"/>
        <w:widowControl/>
        <w:adjustRightInd/>
        <w:spacing w:line="240" w:lineRule="auto"/>
        <w:ind w:left="0"/>
        <w:contextualSpacing w:val="0"/>
        <w:textAlignment w:val="auto"/>
        <w:rPr>
          <w:rFonts w:cs="Arial"/>
          <w:sz w:val="22"/>
          <w:szCs w:val="22"/>
          <w:lang w:val="es-ES"/>
        </w:rPr>
      </w:pPr>
    </w:p>
    <w:p w:rsidR="00EE0BF4" w:rsidRPr="006E6EA6" w:rsidRDefault="00EE0BF4"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La reclamante alega que el TJCA habría señalado expresamente que la actora (la reclamante) debía presentar la cuantía o los parámetros para determinar los daños y perjuicios (o la base</w:t>
      </w:r>
      <w:r w:rsidR="00D024B2" w:rsidRPr="006E6EA6">
        <w:rPr>
          <w:rFonts w:cs="Arial"/>
          <w:sz w:val="22"/>
          <w:szCs w:val="22"/>
          <w:lang w:val="es-ES"/>
        </w:rPr>
        <w:t xml:space="preserve"> para calcularlos)</w:t>
      </w:r>
      <w:r w:rsidR="0078461F" w:rsidRPr="006E6EA6">
        <w:rPr>
          <w:rFonts w:cs="Arial"/>
          <w:sz w:val="22"/>
          <w:szCs w:val="22"/>
          <w:lang w:val="es-ES"/>
        </w:rPr>
        <w:t>. Sin embargo,</w:t>
      </w:r>
      <w:r w:rsidRPr="006E6EA6">
        <w:rPr>
          <w:rFonts w:cs="Arial"/>
          <w:sz w:val="22"/>
          <w:szCs w:val="22"/>
          <w:lang w:val="es-ES"/>
        </w:rPr>
        <w:t xml:space="preserve"> el juez </w:t>
      </w:r>
      <w:r w:rsidR="0078461F" w:rsidRPr="006E6EA6">
        <w:rPr>
          <w:rFonts w:cs="Arial"/>
          <w:sz w:val="22"/>
          <w:szCs w:val="22"/>
          <w:lang w:val="es-ES"/>
        </w:rPr>
        <w:t>nacional</w:t>
      </w:r>
      <w:r w:rsidRPr="006E6EA6">
        <w:rPr>
          <w:rFonts w:cs="Arial"/>
          <w:sz w:val="22"/>
          <w:szCs w:val="22"/>
          <w:lang w:val="es-ES"/>
        </w:rPr>
        <w:t xml:space="preserve"> </w:t>
      </w:r>
      <w:r w:rsidR="0078461F" w:rsidRPr="006E6EA6">
        <w:rPr>
          <w:rFonts w:cs="Arial"/>
          <w:sz w:val="22"/>
          <w:szCs w:val="22"/>
          <w:lang w:val="es-ES"/>
        </w:rPr>
        <w:t xml:space="preserve">no </w:t>
      </w:r>
      <w:r w:rsidRPr="006E6EA6">
        <w:rPr>
          <w:rFonts w:cs="Arial"/>
          <w:sz w:val="22"/>
          <w:szCs w:val="22"/>
          <w:lang w:val="es-ES"/>
        </w:rPr>
        <w:t xml:space="preserve">habría dado oportunidad </w:t>
      </w:r>
      <w:r w:rsidR="0078461F" w:rsidRPr="006E6EA6">
        <w:rPr>
          <w:rFonts w:cs="Arial"/>
          <w:sz w:val="22"/>
          <w:szCs w:val="22"/>
          <w:lang w:val="es-ES"/>
        </w:rPr>
        <w:t xml:space="preserve">a la reclamante </w:t>
      </w:r>
      <w:r w:rsidRPr="006E6EA6">
        <w:rPr>
          <w:rFonts w:cs="Arial"/>
          <w:sz w:val="22"/>
          <w:szCs w:val="22"/>
          <w:lang w:val="es-ES"/>
        </w:rPr>
        <w:t xml:space="preserve">de aportar información sobre la cuantía de los daños y perjuicios ocasionados, incumpliendo de esta manera lo dispuesto en </w:t>
      </w:r>
      <w:r w:rsidR="00D024B2" w:rsidRPr="006E6EA6">
        <w:rPr>
          <w:rFonts w:cs="Arial"/>
          <w:sz w:val="22"/>
          <w:szCs w:val="22"/>
          <w:lang w:val="es-ES"/>
        </w:rPr>
        <w:t xml:space="preserve">la </w:t>
      </w:r>
      <w:r w:rsidRPr="006E6EA6">
        <w:rPr>
          <w:rFonts w:cs="Arial"/>
          <w:sz w:val="22"/>
          <w:szCs w:val="22"/>
          <w:lang w:val="es-ES"/>
        </w:rPr>
        <w:t>inte</w:t>
      </w:r>
      <w:r w:rsidR="00AF01B3" w:rsidRPr="006E6EA6">
        <w:rPr>
          <w:rFonts w:cs="Arial"/>
          <w:sz w:val="22"/>
          <w:szCs w:val="22"/>
          <w:lang w:val="es-ES"/>
        </w:rPr>
        <w:t>rpretación prejudicial del TJCA</w:t>
      </w:r>
      <w:r w:rsidRPr="006E6EA6">
        <w:rPr>
          <w:rFonts w:cs="Arial"/>
          <w:sz w:val="22"/>
          <w:szCs w:val="22"/>
          <w:lang w:val="es-ES"/>
        </w:rPr>
        <w:t>.</w:t>
      </w:r>
    </w:p>
    <w:p w:rsidR="00D15FD6" w:rsidRPr="006E6EA6" w:rsidRDefault="00D15FD6" w:rsidP="0065256D">
      <w:pPr>
        <w:pStyle w:val="Prrafodelista"/>
        <w:widowControl/>
        <w:adjustRightInd/>
        <w:spacing w:line="240" w:lineRule="auto"/>
        <w:ind w:left="426" w:hanging="426"/>
        <w:contextualSpacing w:val="0"/>
        <w:textAlignment w:val="auto"/>
        <w:rPr>
          <w:rFonts w:cs="Arial"/>
          <w:sz w:val="22"/>
          <w:szCs w:val="22"/>
          <w:lang w:val="es-ES"/>
        </w:rPr>
      </w:pPr>
    </w:p>
    <w:p w:rsidR="00AF01B3" w:rsidRPr="006E6EA6" w:rsidRDefault="00AF01B3"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Asimismo, la reclamante manifestó lo siguiente:</w:t>
      </w:r>
    </w:p>
    <w:p w:rsidR="00D024B2" w:rsidRPr="006E6EA6" w:rsidRDefault="00D024B2" w:rsidP="0065256D">
      <w:pPr>
        <w:pStyle w:val="Prrafodelista"/>
        <w:spacing w:line="240" w:lineRule="auto"/>
        <w:ind w:left="426" w:hanging="426"/>
        <w:rPr>
          <w:rFonts w:cs="Arial"/>
          <w:sz w:val="22"/>
          <w:szCs w:val="22"/>
          <w:lang w:val="es-ES"/>
        </w:rPr>
      </w:pPr>
    </w:p>
    <w:p w:rsidR="00D024B2" w:rsidRPr="006E6EA6" w:rsidRDefault="00D024B2" w:rsidP="0065256D">
      <w:pPr>
        <w:pStyle w:val="Prrafodelista"/>
        <w:widowControl/>
        <w:adjustRightInd/>
        <w:spacing w:line="240" w:lineRule="auto"/>
        <w:ind w:left="426"/>
        <w:contextualSpacing w:val="0"/>
        <w:textAlignment w:val="auto"/>
        <w:rPr>
          <w:rFonts w:cs="Arial"/>
          <w:i/>
          <w:sz w:val="22"/>
          <w:szCs w:val="22"/>
          <w:lang w:val="es-ES"/>
        </w:rPr>
      </w:pPr>
      <w:r w:rsidRPr="006E6EA6">
        <w:rPr>
          <w:rFonts w:cs="Arial"/>
          <w:sz w:val="22"/>
          <w:szCs w:val="22"/>
          <w:lang w:val="es-ES"/>
        </w:rPr>
        <w:t>“</w:t>
      </w:r>
      <w:r w:rsidRPr="006E6EA6">
        <w:rPr>
          <w:rFonts w:cs="Arial"/>
          <w:i/>
          <w:sz w:val="22"/>
          <w:szCs w:val="22"/>
          <w:lang w:val="es-ES"/>
        </w:rPr>
        <w:t>(…) si bien la sentencia dispuso que el monto de indemnización deberá ser cuantificada liquidada y pagada previo al correspondiente cálculo pericial, no dispuso que se cuente con la información que debía proporcionar el afectado sobre la cuantía de los daños y perjuicios o, al menos las base para fijarlas.</w:t>
      </w:r>
      <w:r w:rsidR="00B84DE6" w:rsidRPr="006E6EA6">
        <w:rPr>
          <w:rFonts w:cs="Arial"/>
          <w:sz w:val="22"/>
          <w:szCs w:val="22"/>
          <w:lang w:val="es-ES"/>
        </w:rPr>
        <w:t>”</w:t>
      </w:r>
      <w:r w:rsidRPr="006E6EA6">
        <w:rPr>
          <w:rFonts w:cs="Arial"/>
          <w:i/>
          <w:sz w:val="22"/>
          <w:szCs w:val="22"/>
          <w:lang w:val="es-ES"/>
        </w:rPr>
        <w:t xml:space="preserve"> </w:t>
      </w:r>
      <w:r w:rsidR="005E0E2A" w:rsidRPr="006E6EA6">
        <w:rPr>
          <w:rStyle w:val="Refdenotaalpie"/>
          <w:rFonts w:cs="Arial"/>
          <w:sz w:val="22"/>
          <w:szCs w:val="22"/>
          <w:lang w:val="es-ES"/>
        </w:rPr>
        <w:footnoteReference w:id="41"/>
      </w:r>
    </w:p>
    <w:p w:rsidR="00AF01B3" w:rsidRPr="006E6EA6" w:rsidRDefault="00AF01B3" w:rsidP="00981727">
      <w:pPr>
        <w:pStyle w:val="Prrafodelista"/>
        <w:spacing w:line="240" w:lineRule="auto"/>
        <w:rPr>
          <w:rFonts w:cs="Arial"/>
          <w:sz w:val="22"/>
          <w:szCs w:val="22"/>
          <w:lang w:val="es-ES"/>
        </w:rPr>
      </w:pPr>
    </w:p>
    <w:p w:rsidR="00AF01B3" w:rsidRPr="006E6EA6" w:rsidRDefault="00AF01B3" w:rsidP="0065256D">
      <w:pPr>
        <w:pStyle w:val="Prrafodelista"/>
        <w:widowControl/>
        <w:adjustRightInd/>
        <w:spacing w:line="240" w:lineRule="auto"/>
        <w:ind w:left="567" w:hanging="141"/>
        <w:contextualSpacing w:val="0"/>
        <w:textAlignment w:val="auto"/>
        <w:rPr>
          <w:rFonts w:cs="Arial"/>
          <w:i/>
          <w:sz w:val="22"/>
          <w:szCs w:val="22"/>
          <w:u w:val="single"/>
          <w:lang w:val="es-ES"/>
        </w:rPr>
      </w:pPr>
      <w:r w:rsidRPr="006E6EA6">
        <w:rPr>
          <w:rFonts w:cs="Arial"/>
          <w:i/>
          <w:sz w:val="22"/>
          <w:szCs w:val="22"/>
          <w:u w:val="single"/>
          <w:lang w:val="es-ES"/>
        </w:rPr>
        <w:t>Alegatos de la reclamante</w:t>
      </w:r>
    </w:p>
    <w:p w:rsidR="005E0E2A" w:rsidRPr="006E6EA6" w:rsidRDefault="005E0E2A" w:rsidP="00981727">
      <w:pPr>
        <w:pStyle w:val="Prrafodelista"/>
        <w:widowControl/>
        <w:adjustRightInd/>
        <w:spacing w:line="240" w:lineRule="auto"/>
        <w:ind w:left="567"/>
        <w:contextualSpacing w:val="0"/>
        <w:textAlignment w:val="auto"/>
        <w:rPr>
          <w:rFonts w:cs="Arial"/>
          <w:i/>
          <w:sz w:val="22"/>
          <w:szCs w:val="22"/>
          <w:u w:val="single"/>
          <w:lang w:val="es-ES"/>
        </w:rPr>
      </w:pPr>
    </w:p>
    <w:p w:rsidR="00AF01B3" w:rsidRPr="006E6EA6" w:rsidRDefault="00CF58EB"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La</w:t>
      </w:r>
      <w:r w:rsidR="00AF01B3" w:rsidRPr="006E6EA6">
        <w:rPr>
          <w:rFonts w:cs="Arial"/>
          <w:sz w:val="22"/>
          <w:szCs w:val="22"/>
          <w:lang w:val="es-ES"/>
        </w:rPr>
        <w:t xml:space="preserve"> reclamad</w:t>
      </w:r>
      <w:r w:rsidRPr="006E6EA6">
        <w:rPr>
          <w:rFonts w:cs="Arial"/>
          <w:sz w:val="22"/>
          <w:szCs w:val="22"/>
          <w:lang w:val="es-ES"/>
        </w:rPr>
        <w:t>a</w:t>
      </w:r>
      <w:r w:rsidR="00AF01B3" w:rsidRPr="006E6EA6">
        <w:rPr>
          <w:rFonts w:cs="Arial"/>
          <w:sz w:val="22"/>
          <w:szCs w:val="22"/>
          <w:lang w:val="es-ES"/>
        </w:rPr>
        <w:t>, a través de lo dicho por su Tribunal Distrital, ha referido, sobre este punto, que “</w:t>
      </w:r>
      <w:r w:rsidR="00AF01B3" w:rsidRPr="006E6EA6">
        <w:rPr>
          <w:rFonts w:cs="Arial"/>
          <w:i/>
          <w:sz w:val="22"/>
          <w:szCs w:val="22"/>
          <w:lang w:val="es-ES"/>
        </w:rPr>
        <w:t>(…) queda claro que es el actor quien tiene la obligación de probar los daños y perjuicios y que es el actor quien deberá aportar la cuantía de los daños y perjuicios y probarla</w:t>
      </w:r>
      <w:r w:rsidR="00AF01B3" w:rsidRPr="006E6EA6">
        <w:rPr>
          <w:rFonts w:cs="Arial"/>
          <w:sz w:val="22"/>
          <w:szCs w:val="22"/>
          <w:lang w:val="es-ES"/>
        </w:rPr>
        <w:t>”</w:t>
      </w:r>
      <w:r w:rsidR="00AF01B3" w:rsidRPr="006E6EA6">
        <w:rPr>
          <w:rStyle w:val="Refdenotaalpie"/>
          <w:rFonts w:cs="Arial"/>
          <w:sz w:val="22"/>
          <w:szCs w:val="22"/>
          <w:lang w:val="es-ES"/>
        </w:rPr>
        <w:footnoteReference w:id="42"/>
      </w:r>
      <w:r w:rsidR="00AF01B3" w:rsidRPr="006E6EA6">
        <w:rPr>
          <w:rFonts w:cs="Arial"/>
          <w:sz w:val="22"/>
          <w:szCs w:val="22"/>
          <w:lang w:val="es-ES"/>
        </w:rPr>
        <w:t xml:space="preserve">. </w:t>
      </w:r>
    </w:p>
    <w:p w:rsidR="00AF01B3" w:rsidRPr="006E6EA6" w:rsidRDefault="00AF01B3" w:rsidP="00981727">
      <w:pPr>
        <w:spacing w:line="240" w:lineRule="auto"/>
        <w:rPr>
          <w:rFonts w:cs="Arial"/>
          <w:sz w:val="22"/>
          <w:szCs w:val="22"/>
          <w:lang w:val="es-ES"/>
        </w:rPr>
      </w:pPr>
    </w:p>
    <w:p w:rsidR="00AF01B3" w:rsidRPr="006E6EA6" w:rsidRDefault="00AF01B3" w:rsidP="0065256D">
      <w:pPr>
        <w:pStyle w:val="Prrafodelista"/>
        <w:widowControl/>
        <w:adjustRightInd/>
        <w:spacing w:line="240" w:lineRule="auto"/>
        <w:ind w:left="426"/>
        <w:contextualSpacing w:val="0"/>
        <w:textAlignment w:val="auto"/>
        <w:rPr>
          <w:rFonts w:cs="Arial"/>
          <w:i/>
          <w:sz w:val="22"/>
          <w:szCs w:val="22"/>
          <w:u w:val="single"/>
          <w:lang w:val="es-ES"/>
        </w:rPr>
      </w:pPr>
      <w:r w:rsidRPr="006E6EA6">
        <w:rPr>
          <w:rFonts w:cs="Arial"/>
          <w:i/>
          <w:sz w:val="22"/>
          <w:szCs w:val="22"/>
          <w:u w:val="single"/>
          <w:lang w:val="es-ES"/>
        </w:rPr>
        <w:t>Análisis SGCAN</w:t>
      </w:r>
    </w:p>
    <w:p w:rsidR="00D024B2" w:rsidRPr="006E6EA6" w:rsidRDefault="00D024B2" w:rsidP="00981727">
      <w:pPr>
        <w:pStyle w:val="Prrafodelista"/>
        <w:widowControl/>
        <w:adjustRightInd/>
        <w:spacing w:line="240" w:lineRule="auto"/>
        <w:ind w:left="0"/>
        <w:contextualSpacing w:val="0"/>
        <w:textAlignment w:val="auto"/>
        <w:rPr>
          <w:rFonts w:cs="Arial"/>
          <w:sz w:val="22"/>
          <w:szCs w:val="22"/>
          <w:lang w:val="es-ES"/>
        </w:rPr>
      </w:pPr>
    </w:p>
    <w:p w:rsidR="000F14F5" w:rsidRPr="006E6EA6" w:rsidRDefault="00D0178A"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Sobre el argumento referido a si l</w:t>
      </w:r>
      <w:r w:rsidR="00CF58EB" w:rsidRPr="006E6EA6">
        <w:rPr>
          <w:rFonts w:cs="Arial"/>
          <w:sz w:val="22"/>
          <w:szCs w:val="22"/>
          <w:lang w:val="es-ES"/>
        </w:rPr>
        <w:t>a</w:t>
      </w:r>
      <w:r w:rsidRPr="006E6EA6">
        <w:rPr>
          <w:rFonts w:cs="Arial"/>
          <w:sz w:val="22"/>
          <w:szCs w:val="22"/>
          <w:lang w:val="es-ES"/>
        </w:rPr>
        <w:t xml:space="preserve"> reclamante tuvo la oportunidad para aportar la cuantía de los daños y perjuicios en referencia o, al menos, las bases para fijarla, cabe, en primer lugar, </w:t>
      </w:r>
      <w:r w:rsidR="00B77EA1" w:rsidRPr="006E6EA6">
        <w:rPr>
          <w:rFonts w:cs="Arial"/>
          <w:sz w:val="22"/>
          <w:szCs w:val="22"/>
          <w:lang w:val="es-ES"/>
        </w:rPr>
        <w:t xml:space="preserve">traer a colación </w:t>
      </w:r>
      <w:r w:rsidR="000F14F5" w:rsidRPr="006E6EA6">
        <w:rPr>
          <w:rFonts w:cs="Arial"/>
          <w:sz w:val="22"/>
          <w:szCs w:val="22"/>
          <w:lang w:val="es-ES"/>
        </w:rPr>
        <w:t>lo señalado por el artículo 243 de la Decisión 486:</w:t>
      </w:r>
    </w:p>
    <w:p w:rsidR="000F14F5" w:rsidRPr="006E6EA6" w:rsidRDefault="000F14F5" w:rsidP="00981727">
      <w:pPr>
        <w:spacing w:line="240" w:lineRule="auto"/>
        <w:rPr>
          <w:rFonts w:cs="Arial"/>
          <w:sz w:val="22"/>
          <w:szCs w:val="22"/>
        </w:rPr>
      </w:pPr>
    </w:p>
    <w:p w:rsidR="000F14F5" w:rsidRPr="006E6EA6" w:rsidRDefault="000F14F5" w:rsidP="0065256D">
      <w:pPr>
        <w:spacing w:line="240" w:lineRule="auto"/>
        <w:ind w:left="426"/>
        <w:rPr>
          <w:rFonts w:cs="Arial"/>
          <w:i/>
          <w:sz w:val="22"/>
          <w:szCs w:val="22"/>
          <w:lang w:val="es-ES"/>
        </w:rPr>
      </w:pPr>
      <w:r w:rsidRPr="006E6EA6">
        <w:rPr>
          <w:rFonts w:cs="Arial"/>
          <w:i/>
          <w:sz w:val="22"/>
          <w:szCs w:val="22"/>
          <w:lang w:val="es-ES"/>
        </w:rPr>
        <w:t xml:space="preserve">“Artículo 243.- Para efectos de calcular la indemnización de daños y perjuicios se tomará en cuenta, entre otros, los criterios siguientes: </w:t>
      </w:r>
    </w:p>
    <w:p w:rsidR="000F14F5" w:rsidRPr="006E6EA6" w:rsidRDefault="000F14F5" w:rsidP="0065256D">
      <w:pPr>
        <w:spacing w:line="240" w:lineRule="auto"/>
        <w:ind w:left="426"/>
        <w:rPr>
          <w:rFonts w:cs="Arial"/>
          <w:i/>
          <w:sz w:val="22"/>
          <w:szCs w:val="22"/>
          <w:lang w:val="es-ES"/>
        </w:rPr>
      </w:pPr>
    </w:p>
    <w:p w:rsidR="000F14F5" w:rsidRPr="006E6EA6" w:rsidRDefault="000F14F5" w:rsidP="0065256D">
      <w:pPr>
        <w:pStyle w:val="Prrafodelista"/>
        <w:numPr>
          <w:ilvl w:val="0"/>
          <w:numId w:val="36"/>
        </w:numPr>
        <w:spacing w:line="240" w:lineRule="auto"/>
        <w:ind w:left="709" w:hanging="283"/>
        <w:rPr>
          <w:rFonts w:cs="Arial"/>
          <w:i/>
          <w:sz w:val="22"/>
          <w:szCs w:val="22"/>
          <w:lang w:val="es-ES"/>
        </w:rPr>
      </w:pPr>
      <w:r w:rsidRPr="006E6EA6">
        <w:rPr>
          <w:rFonts w:cs="Arial"/>
          <w:i/>
          <w:sz w:val="22"/>
          <w:szCs w:val="22"/>
          <w:lang w:val="es-ES"/>
        </w:rPr>
        <w:t xml:space="preserve">el daño emergente y el lucro cesante sufrido por el titular del derecho como consecuencia de la infracción; </w:t>
      </w:r>
    </w:p>
    <w:p w:rsidR="000F14F5" w:rsidRPr="006E6EA6" w:rsidRDefault="000F14F5" w:rsidP="0065256D">
      <w:pPr>
        <w:spacing w:line="240" w:lineRule="auto"/>
        <w:ind w:left="709" w:hanging="283"/>
        <w:rPr>
          <w:rFonts w:cs="Arial"/>
          <w:i/>
          <w:sz w:val="22"/>
          <w:szCs w:val="22"/>
          <w:lang w:val="es-ES"/>
        </w:rPr>
      </w:pPr>
    </w:p>
    <w:p w:rsidR="000F14F5" w:rsidRPr="006E6EA6" w:rsidRDefault="000F14F5" w:rsidP="0065256D">
      <w:pPr>
        <w:pStyle w:val="Prrafodelista"/>
        <w:numPr>
          <w:ilvl w:val="0"/>
          <w:numId w:val="36"/>
        </w:numPr>
        <w:spacing w:line="240" w:lineRule="auto"/>
        <w:ind w:left="709" w:hanging="283"/>
        <w:rPr>
          <w:rFonts w:cs="Arial"/>
          <w:i/>
          <w:sz w:val="22"/>
          <w:szCs w:val="22"/>
          <w:lang w:val="es-ES"/>
        </w:rPr>
      </w:pPr>
      <w:r w:rsidRPr="006E6EA6">
        <w:rPr>
          <w:rFonts w:cs="Arial"/>
          <w:i/>
          <w:sz w:val="22"/>
          <w:szCs w:val="22"/>
          <w:lang w:val="es-ES"/>
        </w:rPr>
        <w:t xml:space="preserve">el monto de los beneficios obtenidos por el infractor como resultado de los actos de infracción; o, </w:t>
      </w:r>
    </w:p>
    <w:p w:rsidR="000F14F5" w:rsidRPr="006E6EA6" w:rsidRDefault="000F14F5" w:rsidP="0065256D">
      <w:pPr>
        <w:pStyle w:val="Prrafodelista"/>
        <w:spacing w:line="240" w:lineRule="auto"/>
        <w:ind w:left="709" w:hanging="283"/>
        <w:rPr>
          <w:rFonts w:cs="Arial"/>
          <w:i/>
          <w:sz w:val="22"/>
          <w:szCs w:val="22"/>
          <w:lang w:val="es-ES"/>
        </w:rPr>
      </w:pPr>
    </w:p>
    <w:p w:rsidR="000F14F5" w:rsidRPr="006E6EA6" w:rsidRDefault="000F14F5" w:rsidP="0065256D">
      <w:pPr>
        <w:pStyle w:val="Prrafodelista"/>
        <w:numPr>
          <w:ilvl w:val="0"/>
          <w:numId w:val="36"/>
        </w:numPr>
        <w:spacing w:line="240" w:lineRule="auto"/>
        <w:ind w:left="709" w:hanging="283"/>
        <w:rPr>
          <w:rFonts w:cs="Arial"/>
          <w:i/>
          <w:sz w:val="22"/>
          <w:szCs w:val="22"/>
          <w:lang w:val="es-ES"/>
        </w:rPr>
      </w:pPr>
      <w:r w:rsidRPr="006E6EA6">
        <w:rPr>
          <w:rFonts w:cs="Arial"/>
          <w:i/>
          <w:sz w:val="22"/>
          <w:szCs w:val="22"/>
          <w:lang w:val="es-ES"/>
        </w:rPr>
        <w:t>el precio que el infractor habría pagado por concepto de una licencia contractual, teniendo en cuenta el valor comercial del derecho infringido y las licencias contractuales que ya se hubieran concedido.</w:t>
      </w:r>
      <w:r w:rsidRPr="006E6EA6">
        <w:rPr>
          <w:rFonts w:cs="Arial"/>
          <w:sz w:val="22"/>
          <w:szCs w:val="22"/>
          <w:lang w:val="es-ES"/>
        </w:rPr>
        <w:t>”</w:t>
      </w:r>
    </w:p>
    <w:p w:rsidR="000F14F5" w:rsidRPr="006E6EA6" w:rsidRDefault="000F14F5" w:rsidP="00981727">
      <w:pPr>
        <w:spacing w:line="240" w:lineRule="auto"/>
        <w:ind w:left="1134"/>
        <w:rPr>
          <w:rFonts w:cs="Arial"/>
          <w:sz w:val="22"/>
          <w:szCs w:val="22"/>
          <w:lang w:val="es-ES"/>
        </w:rPr>
      </w:pPr>
    </w:p>
    <w:p w:rsidR="000F14F5" w:rsidRPr="006E6EA6" w:rsidRDefault="000F14F5" w:rsidP="0065256D">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Como se aprecia, de la lectura del artículo 243, la norma andina no hace referencia alguna a la obligación de la parte afectada de aportar la cuantía por los daños y perjuicios o, al menos, las bases para fijarla. Únicamente, en los tres literales (a, b y c), se listan -de forma no taxativa- algunos de los criterios a tomarse en consideración a efectos de calcular la indemnización por daños y perjuicios. </w:t>
      </w:r>
    </w:p>
    <w:p w:rsidR="000F14F5" w:rsidRPr="006E6EA6" w:rsidRDefault="000F14F5" w:rsidP="00981727">
      <w:pPr>
        <w:pStyle w:val="Prrafodelista"/>
        <w:widowControl/>
        <w:adjustRightInd/>
        <w:spacing w:line="240" w:lineRule="auto"/>
        <w:ind w:left="0"/>
        <w:contextualSpacing w:val="0"/>
        <w:textAlignment w:val="auto"/>
        <w:rPr>
          <w:rFonts w:cs="Arial"/>
          <w:sz w:val="22"/>
          <w:szCs w:val="22"/>
          <w:lang w:val="es-ES"/>
        </w:rPr>
      </w:pPr>
    </w:p>
    <w:p w:rsidR="000F14F5" w:rsidRPr="006E6EA6" w:rsidRDefault="000F14F5"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En ese sentido, esta Secretaría General considera que </w:t>
      </w:r>
      <w:r w:rsidRPr="006E6EA6">
        <w:rPr>
          <w:rFonts w:cs="Arial"/>
          <w:sz w:val="22"/>
          <w:szCs w:val="22"/>
        </w:rPr>
        <w:t xml:space="preserve">no existe asidero legal para determinar que </w:t>
      </w:r>
      <w:r w:rsidR="00D24207" w:rsidRPr="006E6EA6">
        <w:rPr>
          <w:rFonts w:cs="Arial"/>
          <w:sz w:val="22"/>
          <w:szCs w:val="22"/>
        </w:rPr>
        <w:t>se presenta un</w:t>
      </w:r>
      <w:r w:rsidRPr="006E6EA6">
        <w:rPr>
          <w:rFonts w:cs="Arial"/>
          <w:sz w:val="22"/>
          <w:szCs w:val="22"/>
        </w:rPr>
        <w:t xml:space="preserve"> incumplimiento a la norma andina en lo relativo a este </w:t>
      </w:r>
      <w:r w:rsidRPr="006E6EA6">
        <w:rPr>
          <w:rFonts w:cs="Arial"/>
          <w:sz w:val="22"/>
          <w:szCs w:val="22"/>
        </w:rPr>
        <w:lastRenderedPageBreak/>
        <w:t>punto; ello, por cuanto no es una obligación contenida en la norma andina de la materia (artículo 243 de la Decisión 486).</w:t>
      </w:r>
    </w:p>
    <w:p w:rsidR="00D0178A" w:rsidRPr="006E6EA6" w:rsidRDefault="00D0178A" w:rsidP="005D34F8">
      <w:pPr>
        <w:pStyle w:val="Prrafodelista"/>
        <w:widowControl/>
        <w:adjustRightInd/>
        <w:spacing w:line="240" w:lineRule="auto"/>
        <w:ind w:left="426" w:hanging="426"/>
        <w:contextualSpacing w:val="0"/>
        <w:textAlignment w:val="auto"/>
        <w:rPr>
          <w:rFonts w:cs="Arial"/>
          <w:sz w:val="22"/>
          <w:szCs w:val="22"/>
          <w:lang w:val="es-ES"/>
        </w:rPr>
      </w:pPr>
    </w:p>
    <w:p w:rsidR="00D024B2" w:rsidRPr="006E6EA6" w:rsidRDefault="006D3B12"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Ahora bien, e</w:t>
      </w:r>
      <w:r w:rsidR="00D024B2" w:rsidRPr="006E6EA6">
        <w:rPr>
          <w:rFonts w:cs="Arial"/>
          <w:sz w:val="22"/>
          <w:szCs w:val="22"/>
          <w:lang w:val="es-ES"/>
        </w:rPr>
        <w:t xml:space="preserve">n relación con la indemnización de los daños y perjuicios, </w:t>
      </w:r>
      <w:r w:rsidRPr="006E6EA6">
        <w:rPr>
          <w:rFonts w:cs="Arial"/>
          <w:sz w:val="22"/>
          <w:szCs w:val="22"/>
          <w:lang w:val="es-ES"/>
        </w:rPr>
        <w:t xml:space="preserve">en la Interpretación Prejudicial del Proceso 04-IP-2013, </w:t>
      </w:r>
      <w:r w:rsidR="00D24207" w:rsidRPr="006E6EA6">
        <w:rPr>
          <w:rFonts w:cs="Arial"/>
          <w:sz w:val="22"/>
          <w:szCs w:val="22"/>
          <w:lang w:val="es-ES"/>
        </w:rPr>
        <w:t>el TJCA señaló</w:t>
      </w:r>
      <w:r w:rsidR="00D024B2" w:rsidRPr="006E6EA6">
        <w:rPr>
          <w:rFonts w:cs="Arial"/>
          <w:sz w:val="22"/>
          <w:szCs w:val="22"/>
          <w:lang w:val="es-ES"/>
        </w:rPr>
        <w:t xml:space="preserve"> lo siguiente: </w:t>
      </w:r>
    </w:p>
    <w:p w:rsidR="00D024B2" w:rsidRPr="006E6EA6" w:rsidRDefault="00D024B2" w:rsidP="005D34F8">
      <w:pPr>
        <w:pStyle w:val="Prrafodelista"/>
        <w:spacing w:line="240" w:lineRule="auto"/>
        <w:ind w:left="426" w:right="1134" w:hanging="426"/>
        <w:rPr>
          <w:rFonts w:cs="Arial"/>
          <w:sz w:val="22"/>
          <w:szCs w:val="22"/>
          <w:lang w:val="es-ES"/>
        </w:rPr>
      </w:pPr>
    </w:p>
    <w:p w:rsidR="00D024B2" w:rsidRPr="006E6EA6" w:rsidRDefault="00D0178A" w:rsidP="005D34F8">
      <w:pPr>
        <w:pStyle w:val="Prrafodelista"/>
        <w:spacing w:line="240" w:lineRule="auto"/>
        <w:ind w:left="851" w:right="-2"/>
        <w:rPr>
          <w:rFonts w:cs="Arial"/>
          <w:b/>
          <w:i/>
          <w:sz w:val="22"/>
          <w:szCs w:val="22"/>
          <w:lang w:val="es-ES"/>
        </w:rPr>
      </w:pPr>
      <w:r w:rsidRPr="006E6EA6">
        <w:rPr>
          <w:rFonts w:cs="Arial"/>
          <w:i/>
          <w:sz w:val="22"/>
          <w:szCs w:val="22"/>
          <w:lang w:val="es-ES"/>
        </w:rPr>
        <w:t>“</w:t>
      </w:r>
      <w:r w:rsidR="00D024B2" w:rsidRPr="006E6EA6">
        <w:rPr>
          <w:rFonts w:cs="Arial"/>
          <w:i/>
          <w:sz w:val="22"/>
          <w:szCs w:val="22"/>
          <w:lang w:val="es-ES"/>
        </w:rPr>
        <w:t xml:space="preserve">El mencionado artículo 243 establece los criterios que deberán tomarse en cuenta para el cálculo de la indemnización de los daños y perjuicios sufridos, cuya existencia haya sido oportunamente probada en el curso del proceso por el actor. </w:t>
      </w:r>
      <w:r w:rsidR="00D024B2" w:rsidRPr="006E6EA6">
        <w:rPr>
          <w:rFonts w:cs="Arial"/>
          <w:b/>
          <w:i/>
          <w:sz w:val="22"/>
          <w:szCs w:val="22"/>
          <w:lang w:val="es-ES"/>
        </w:rPr>
        <w:t>Éste (sic) deberá aportar igualmente la cuantía por los daños y perjuicios en referencia o, al menos, las bases para fijarla.</w:t>
      </w:r>
    </w:p>
    <w:p w:rsidR="00D024B2" w:rsidRPr="006E6EA6" w:rsidRDefault="00D024B2" w:rsidP="005D34F8">
      <w:pPr>
        <w:pStyle w:val="Prrafodelista"/>
        <w:spacing w:line="240" w:lineRule="auto"/>
        <w:ind w:left="851" w:right="-2"/>
        <w:rPr>
          <w:rFonts w:cs="Arial"/>
          <w:i/>
          <w:sz w:val="22"/>
          <w:szCs w:val="22"/>
          <w:lang w:val="es-ES"/>
        </w:rPr>
      </w:pPr>
    </w:p>
    <w:p w:rsidR="00D024B2" w:rsidRPr="006E6EA6" w:rsidRDefault="00D024B2" w:rsidP="005D34F8">
      <w:pPr>
        <w:pStyle w:val="Prrafodelista"/>
        <w:spacing w:line="240" w:lineRule="auto"/>
        <w:ind w:left="851" w:right="-2"/>
        <w:rPr>
          <w:rFonts w:cs="Arial"/>
          <w:i/>
          <w:sz w:val="22"/>
          <w:szCs w:val="22"/>
          <w:lang w:val="es-ES"/>
        </w:rPr>
      </w:pPr>
      <w:r w:rsidRPr="006E6EA6">
        <w:rPr>
          <w:rFonts w:cs="Arial"/>
          <w:i/>
          <w:sz w:val="22"/>
          <w:szCs w:val="22"/>
          <w:lang w:val="es-ES"/>
        </w:rPr>
        <w:t>Se entiende que será indemnizable el daño que, sufrido por el titular, se encuentre causalmente enlazado con la conducta del infractor. Por tanto, será indemnizable el daño emergente, es decir, la pérdida patrimonial sufrida efectivamente por el titular como consecuencia de la vulneración de su derecho. La pérdida en referencia deberá ser estimada tomando en cuenta, en lo principal, el grado de comercialización de los productos amparados por el signo que no ha respetado la exclusividad de la marca. En todo caso, si el actor ha demandado también la adjudicación en propiedad de los productos resultantes de la infracción, así como de los medios y materiales que hubiesen sido utilizados predominantemente para cometerla, deberá imputarse el valor de tales bienes al monto de la indemnización que se acuerde (artículo 241, literal e).</w:t>
      </w:r>
    </w:p>
    <w:p w:rsidR="00D024B2" w:rsidRPr="006E6EA6" w:rsidRDefault="00D024B2" w:rsidP="005D34F8">
      <w:pPr>
        <w:pStyle w:val="Prrafodelista"/>
        <w:spacing w:line="240" w:lineRule="auto"/>
        <w:ind w:left="851" w:right="-2"/>
        <w:rPr>
          <w:rFonts w:cs="Arial"/>
          <w:i/>
          <w:sz w:val="22"/>
          <w:szCs w:val="22"/>
          <w:lang w:val="es-ES"/>
        </w:rPr>
      </w:pPr>
    </w:p>
    <w:p w:rsidR="00D024B2" w:rsidRPr="006E6EA6" w:rsidRDefault="00D024B2" w:rsidP="005D34F8">
      <w:pPr>
        <w:pStyle w:val="Prrafodelista"/>
        <w:spacing w:line="240" w:lineRule="auto"/>
        <w:ind w:left="851" w:right="-2"/>
        <w:rPr>
          <w:rFonts w:cs="Arial"/>
          <w:i/>
          <w:sz w:val="22"/>
          <w:szCs w:val="22"/>
          <w:lang w:val="es-ES"/>
        </w:rPr>
      </w:pPr>
      <w:r w:rsidRPr="006E6EA6">
        <w:rPr>
          <w:rFonts w:cs="Arial"/>
          <w:i/>
          <w:sz w:val="22"/>
          <w:szCs w:val="22"/>
          <w:lang w:val="es-ES"/>
        </w:rPr>
        <w:t>Será igualmente indemnizable el lucro cesante, es decir, las ganancias que el actor habría obtenido mediante la comercialización normal de sus productos, de no haber lugar la competencia desleal del infractor. En este caso, las ganancias a considerar serán las que habrían sido obtenidas en el período que medie entre la ocurrencia efectiva del daño y el pago de la indemnización.</w:t>
      </w:r>
    </w:p>
    <w:p w:rsidR="00D024B2" w:rsidRPr="006E6EA6" w:rsidRDefault="00D024B2" w:rsidP="00981727">
      <w:pPr>
        <w:pStyle w:val="Prrafodelista"/>
        <w:spacing w:line="240" w:lineRule="auto"/>
        <w:ind w:left="1134" w:right="-2"/>
        <w:rPr>
          <w:rFonts w:cs="Arial"/>
          <w:i/>
          <w:sz w:val="22"/>
          <w:szCs w:val="22"/>
          <w:lang w:val="es-ES"/>
        </w:rPr>
      </w:pPr>
    </w:p>
    <w:p w:rsidR="00D024B2" w:rsidRPr="006E6EA6" w:rsidRDefault="00D024B2" w:rsidP="005D34F8">
      <w:pPr>
        <w:pStyle w:val="Prrafodelista"/>
        <w:spacing w:line="240" w:lineRule="auto"/>
        <w:ind w:left="851" w:right="-2"/>
        <w:rPr>
          <w:rFonts w:cs="Arial"/>
          <w:i/>
          <w:sz w:val="22"/>
          <w:szCs w:val="22"/>
          <w:lang w:val="es-ES"/>
        </w:rPr>
      </w:pPr>
      <w:r w:rsidRPr="006E6EA6">
        <w:rPr>
          <w:rFonts w:cs="Arial"/>
          <w:i/>
          <w:sz w:val="22"/>
          <w:szCs w:val="22"/>
          <w:lang w:val="es-ES"/>
        </w:rPr>
        <w:t>La norma autoriza, además, que se adopten otros tipos de criterios como el monto del daño indemnizable y los beneficios obtenidos por el infractor como consecuencia de sus actos de competencia desleal, y el precio que habría tenido que pagar por la concesión a su favor de una licencia contractual, teniendo en cuenta el valor del derecho infringido y las licencias contractuales que ya se hubiera concedido. “En estos eventos, el juez consultante tendrá que tomar en cuenta el período de vigencia del derecho de explotación, el momento de inicio de la infracción y el número y clase de las licencias concedidas”. (Proceso 116-IP-2004. Caso: acción por presunta infracción del derecho sobre la marca “CALCIORAL”, publicado en la Gaceta Oficia</w:t>
      </w:r>
      <w:r w:rsidR="00146033" w:rsidRPr="006E6EA6">
        <w:rPr>
          <w:rFonts w:cs="Arial"/>
          <w:i/>
          <w:sz w:val="22"/>
          <w:szCs w:val="22"/>
          <w:lang w:val="es-ES"/>
        </w:rPr>
        <w:t>l N° 1172 de 7 de marzo de 2005”</w:t>
      </w:r>
      <w:r w:rsidRPr="006E6EA6">
        <w:rPr>
          <w:rFonts w:cs="Arial"/>
          <w:i/>
          <w:sz w:val="22"/>
          <w:szCs w:val="22"/>
          <w:lang w:val="es-ES"/>
        </w:rPr>
        <w:t xml:space="preserve">. </w:t>
      </w:r>
      <w:r w:rsidRPr="006E6EA6">
        <w:rPr>
          <w:rFonts w:cs="Arial"/>
          <w:sz w:val="22"/>
          <w:szCs w:val="22"/>
          <w:lang w:val="es-ES"/>
        </w:rPr>
        <w:t>(El énfasis es agregado).</w:t>
      </w:r>
    </w:p>
    <w:p w:rsidR="00D024B2" w:rsidRPr="006E6EA6" w:rsidRDefault="00D024B2" w:rsidP="00981727">
      <w:pPr>
        <w:spacing w:line="240" w:lineRule="auto"/>
        <w:ind w:right="567"/>
        <w:rPr>
          <w:rFonts w:cs="Arial"/>
          <w:sz w:val="22"/>
          <w:szCs w:val="22"/>
          <w:highlight w:val="yellow"/>
        </w:rPr>
      </w:pPr>
    </w:p>
    <w:p w:rsidR="00D024B2" w:rsidRDefault="00146033"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Sobre el particular, se puede observar -claramente- que </w:t>
      </w:r>
      <w:r w:rsidR="00D024B2" w:rsidRPr="006E6EA6">
        <w:rPr>
          <w:rFonts w:cs="Arial"/>
          <w:sz w:val="22"/>
          <w:szCs w:val="22"/>
          <w:lang w:val="es-ES"/>
        </w:rPr>
        <w:t xml:space="preserve">el TJCA en la interpretación prejudicial </w:t>
      </w:r>
      <w:r w:rsidRPr="006E6EA6">
        <w:rPr>
          <w:rFonts w:cs="Arial"/>
          <w:sz w:val="22"/>
          <w:szCs w:val="22"/>
          <w:lang w:val="es-ES"/>
        </w:rPr>
        <w:t>del Proceso</w:t>
      </w:r>
      <w:r w:rsidR="0054474E" w:rsidRPr="006E6EA6">
        <w:rPr>
          <w:rFonts w:cs="Arial"/>
          <w:sz w:val="22"/>
          <w:szCs w:val="22"/>
          <w:lang w:val="es-ES"/>
        </w:rPr>
        <w:t xml:space="preserve"> No.</w:t>
      </w:r>
      <w:r w:rsidRPr="006E6EA6">
        <w:rPr>
          <w:rFonts w:cs="Arial"/>
          <w:sz w:val="22"/>
          <w:szCs w:val="22"/>
          <w:lang w:val="es-ES"/>
        </w:rPr>
        <w:t xml:space="preserve"> 04-IP-2013</w:t>
      </w:r>
      <w:r w:rsidR="00D024B2" w:rsidRPr="006E6EA6">
        <w:rPr>
          <w:rFonts w:cs="Arial"/>
          <w:sz w:val="22"/>
          <w:szCs w:val="22"/>
          <w:lang w:val="es-ES"/>
        </w:rPr>
        <w:t xml:space="preserve">, </w:t>
      </w:r>
      <w:r w:rsidRPr="006E6EA6">
        <w:rPr>
          <w:rFonts w:cs="Arial"/>
          <w:sz w:val="22"/>
          <w:szCs w:val="22"/>
          <w:lang w:val="es-ES"/>
        </w:rPr>
        <w:t>hace</w:t>
      </w:r>
      <w:r w:rsidR="00D024B2" w:rsidRPr="006E6EA6">
        <w:rPr>
          <w:rFonts w:cs="Arial"/>
          <w:sz w:val="22"/>
          <w:szCs w:val="22"/>
          <w:lang w:val="es-ES"/>
        </w:rPr>
        <w:t xml:space="preserve"> referencia a la oportunidad de la reclamante </w:t>
      </w:r>
      <w:r w:rsidRPr="006E6EA6">
        <w:rPr>
          <w:rFonts w:cs="Arial"/>
          <w:sz w:val="22"/>
          <w:szCs w:val="22"/>
          <w:lang w:val="es-ES"/>
        </w:rPr>
        <w:t>para</w:t>
      </w:r>
      <w:r w:rsidR="00D024B2" w:rsidRPr="006E6EA6">
        <w:rPr>
          <w:rFonts w:cs="Arial"/>
          <w:sz w:val="22"/>
          <w:szCs w:val="22"/>
          <w:lang w:val="es-ES"/>
        </w:rPr>
        <w:t xml:space="preserve"> aportar la cuantía por los daños y perjuicios o, al menos, las bases para fijarla, </w:t>
      </w:r>
      <w:r w:rsidRPr="006E6EA6">
        <w:rPr>
          <w:rFonts w:cs="Arial"/>
          <w:sz w:val="22"/>
          <w:szCs w:val="22"/>
          <w:u w:val="single"/>
          <w:lang w:val="es-ES"/>
        </w:rPr>
        <w:t>en un único lugar</w:t>
      </w:r>
      <w:r w:rsidRPr="006E6EA6">
        <w:rPr>
          <w:rFonts w:cs="Arial"/>
          <w:sz w:val="22"/>
          <w:szCs w:val="22"/>
          <w:lang w:val="es-ES"/>
        </w:rPr>
        <w:t xml:space="preserve"> (negrillas del primer párrafo del texto previamente citado). Asimismo, nótese que el TJCA no desarrolla una explicación o análisis</w:t>
      </w:r>
      <w:r w:rsidR="00D024B2" w:rsidRPr="006E6EA6">
        <w:rPr>
          <w:rFonts w:cs="Arial"/>
          <w:sz w:val="22"/>
          <w:szCs w:val="22"/>
          <w:lang w:val="es-ES"/>
        </w:rPr>
        <w:t xml:space="preserve"> alguno </w:t>
      </w:r>
      <w:r w:rsidRPr="006E6EA6">
        <w:rPr>
          <w:rFonts w:cs="Arial"/>
          <w:sz w:val="22"/>
          <w:szCs w:val="22"/>
          <w:lang w:val="es-ES"/>
        </w:rPr>
        <w:t>al respecto.</w:t>
      </w:r>
      <w:r w:rsidR="00D024B2" w:rsidRPr="006E6EA6">
        <w:rPr>
          <w:rFonts w:cs="Arial"/>
          <w:sz w:val="22"/>
          <w:szCs w:val="22"/>
          <w:lang w:val="es-ES"/>
        </w:rPr>
        <w:t xml:space="preserve"> </w:t>
      </w:r>
    </w:p>
    <w:p w:rsidR="005F4FE3" w:rsidRPr="006E6EA6" w:rsidRDefault="005F4FE3" w:rsidP="005F4FE3">
      <w:pPr>
        <w:pStyle w:val="Prrafodelista"/>
        <w:widowControl/>
        <w:adjustRightInd/>
        <w:spacing w:line="240" w:lineRule="auto"/>
        <w:ind w:left="426"/>
        <w:contextualSpacing w:val="0"/>
        <w:textAlignment w:val="auto"/>
        <w:rPr>
          <w:rFonts w:cs="Arial"/>
          <w:sz w:val="22"/>
          <w:szCs w:val="22"/>
          <w:lang w:val="es-ES"/>
        </w:rPr>
      </w:pPr>
    </w:p>
    <w:p w:rsidR="00D024B2" w:rsidRPr="006E6EA6" w:rsidRDefault="00146033"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Del mismo modo, este aspecto no se </w:t>
      </w:r>
      <w:r w:rsidR="0054474E" w:rsidRPr="006E6EA6">
        <w:rPr>
          <w:rFonts w:cs="Arial"/>
          <w:sz w:val="22"/>
          <w:szCs w:val="22"/>
          <w:lang w:val="es-ES"/>
        </w:rPr>
        <w:t>encuentra desarrollado</w:t>
      </w:r>
      <w:r w:rsidR="00D024B2" w:rsidRPr="006E6EA6">
        <w:rPr>
          <w:rFonts w:cs="Arial"/>
          <w:sz w:val="22"/>
          <w:szCs w:val="22"/>
          <w:lang w:val="es-ES"/>
        </w:rPr>
        <w:t xml:space="preserve"> (ni se le menciona siquiera) en las conclusiones finales del TJCA, tal y como se puede visualizar en el párrafo trascrito a continuación, el cual extrae las conclusiones relativas a la indemnización de daños y perjuicios</w:t>
      </w:r>
      <w:r w:rsidR="007D2B05" w:rsidRPr="006E6EA6">
        <w:rPr>
          <w:rFonts w:cs="Arial"/>
          <w:sz w:val="22"/>
          <w:szCs w:val="22"/>
          <w:lang w:val="es-ES"/>
        </w:rPr>
        <w:t>:</w:t>
      </w:r>
    </w:p>
    <w:p w:rsidR="00D024B2" w:rsidRPr="006E6EA6" w:rsidRDefault="00D024B2" w:rsidP="00981727">
      <w:pPr>
        <w:pStyle w:val="Prrafodelista"/>
        <w:widowControl/>
        <w:adjustRightInd/>
        <w:spacing w:line="240" w:lineRule="auto"/>
        <w:ind w:left="0"/>
        <w:contextualSpacing w:val="0"/>
        <w:textAlignment w:val="auto"/>
        <w:rPr>
          <w:rFonts w:cs="Arial"/>
          <w:sz w:val="22"/>
          <w:szCs w:val="22"/>
          <w:lang w:val="es-ES"/>
        </w:rPr>
      </w:pPr>
    </w:p>
    <w:p w:rsidR="007D2B05" w:rsidRPr="006E6EA6" w:rsidRDefault="007D2B05" w:rsidP="005D34F8">
      <w:pPr>
        <w:pStyle w:val="Prrafodelista"/>
        <w:widowControl/>
        <w:adjustRightInd/>
        <w:spacing w:line="240" w:lineRule="auto"/>
        <w:ind w:left="709"/>
        <w:textAlignment w:val="auto"/>
        <w:rPr>
          <w:rFonts w:cs="Arial"/>
          <w:i/>
          <w:sz w:val="22"/>
          <w:szCs w:val="22"/>
        </w:rPr>
      </w:pPr>
      <w:r w:rsidRPr="006E6EA6">
        <w:rPr>
          <w:rFonts w:cs="Arial"/>
          <w:sz w:val="22"/>
          <w:szCs w:val="22"/>
        </w:rPr>
        <w:lastRenderedPageBreak/>
        <w:t>“</w:t>
      </w:r>
      <w:r w:rsidRPr="006E6EA6">
        <w:rPr>
          <w:rFonts w:cs="Arial"/>
          <w:i/>
          <w:sz w:val="22"/>
          <w:szCs w:val="22"/>
        </w:rPr>
        <w:t>El artículo 243 de la Decisión 486 enumera, de manera no taxativa, algunos criterios para calcular la indemnización de daños y perjuicios, determinándose que será indemnizable el daño que, sufrido por el titular, se encuentra causalmente enlazado con la conducta del infractor. En este marco, será indemnizable el daño emergente, es decir, la pérdida patrimonial sufrida por el titular como consecuencia de la vulneración del derecho al uso exclusivo de su marca. La pérdida en referencia deberá ser estimada tomando en cuenta, en lo principal, el grado de comercialización de los productos amparados por el signo que no ha respetado la exclusividad de la marca. En todo caso, si el actor ha demandado también la adjudicación en propiedad de los productos resultantes de la infracción, así como de los medios y materiales que hubiesen sido utilizados predominantemente para cometerla, deberá imputarse el valor de tales bienes al monto de la indemnización que se acuerde.</w:t>
      </w:r>
    </w:p>
    <w:p w:rsidR="007D2B05" w:rsidRPr="006E6EA6" w:rsidRDefault="007D2B05" w:rsidP="005D34F8">
      <w:pPr>
        <w:pStyle w:val="Prrafodelista"/>
        <w:widowControl/>
        <w:adjustRightInd/>
        <w:spacing w:line="240" w:lineRule="auto"/>
        <w:ind w:left="709"/>
        <w:textAlignment w:val="auto"/>
        <w:rPr>
          <w:rFonts w:cs="Arial"/>
          <w:i/>
          <w:sz w:val="22"/>
          <w:szCs w:val="22"/>
        </w:rPr>
      </w:pPr>
    </w:p>
    <w:p w:rsidR="007D2B05" w:rsidRPr="006E6EA6" w:rsidRDefault="007D2B05" w:rsidP="005D34F8">
      <w:pPr>
        <w:pStyle w:val="Prrafodelista"/>
        <w:widowControl/>
        <w:adjustRightInd/>
        <w:spacing w:line="240" w:lineRule="auto"/>
        <w:ind w:left="709"/>
        <w:textAlignment w:val="auto"/>
        <w:rPr>
          <w:rFonts w:cs="Arial"/>
          <w:i/>
          <w:sz w:val="22"/>
          <w:szCs w:val="22"/>
        </w:rPr>
      </w:pPr>
      <w:r w:rsidRPr="006E6EA6">
        <w:rPr>
          <w:rFonts w:cs="Arial"/>
          <w:i/>
          <w:sz w:val="22"/>
          <w:szCs w:val="22"/>
        </w:rPr>
        <w:t>Será igualmente indemnizable el lucro cesante, es decir, las ganancias que el titular de la marca protegida habría obtenido mediante la comercialización normal de sus productos, de no haber tenido lugar la competencia desleal del infractor. En este caso, las ganancias a considerar serán las que habrían sido obtenidas en el período que medie entre la ocurrencia efectiva del daño y el pago de la indemnización</w:t>
      </w:r>
      <w:r w:rsidRPr="006E6EA6">
        <w:rPr>
          <w:rFonts w:cs="Arial"/>
          <w:sz w:val="22"/>
          <w:szCs w:val="22"/>
        </w:rPr>
        <w:t>”.</w:t>
      </w:r>
    </w:p>
    <w:p w:rsidR="00B544B2" w:rsidRPr="006E6EA6" w:rsidRDefault="00B544B2" w:rsidP="00981727">
      <w:pPr>
        <w:pStyle w:val="Prrafodelista"/>
        <w:widowControl/>
        <w:adjustRightInd/>
        <w:spacing w:line="240" w:lineRule="auto"/>
        <w:ind w:left="0"/>
        <w:contextualSpacing w:val="0"/>
        <w:textAlignment w:val="auto"/>
        <w:rPr>
          <w:rFonts w:cs="Arial"/>
          <w:sz w:val="22"/>
          <w:szCs w:val="22"/>
          <w:lang w:val="es-ES"/>
        </w:rPr>
      </w:pPr>
    </w:p>
    <w:p w:rsidR="00B544B2" w:rsidRPr="006E6EA6" w:rsidRDefault="00B544B2"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En razón de lo expresado</w:t>
      </w:r>
      <w:r w:rsidR="00DA2538" w:rsidRPr="006E6EA6">
        <w:rPr>
          <w:rFonts w:cs="Arial"/>
          <w:sz w:val="22"/>
          <w:szCs w:val="22"/>
          <w:lang w:val="es-ES"/>
        </w:rPr>
        <w:t>,</w:t>
      </w:r>
      <w:r w:rsidRPr="006E6EA6">
        <w:rPr>
          <w:rFonts w:cs="Arial"/>
          <w:sz w:val="22"/>
          <w:szCs w:val="22"/>
          <w:lang w:val="es-ES"/>
        </w:rPr>
        <w:t xml:space="preserve"> cabe realizarse la pregunta respecto de cómo debe interpretarse lo señalado por el TJCA en su Interpretación P</w:t>
      </w:r>
      <w:r w:rsidR="00146033" w:rsidRPr="006E6EA6">
        <w:rPr>
          <w:rFonts w:cs="Arial"/>
          <w:sz w:val="22"/>
          <w:szCs w:val="22"/>
          <w:lang w:val="es-ES"/>
        </w:rPr>
        <w:t>rejudicial No.</w:t>
      </w:r>
      <w:r w:rsidRPr="006E6EA6">
        <w:rPr>
          <w:rFonts w:cs="Arial"/>
          <w:sz w:val="22"/>
          <w:szCs w:val="22"/>
          <w:lang w:val="es-ES"/>
        </w:rPr>
        <w:t xml:space="preserve"> 04-IP-2013. Para ello, esta </w:t>
      </w:r>
      <w:r w:rsidR="00CF6B4A" w:rsidRPr="006E6EA6">
        <w:rPr>
          <w:rFonts w:cs="Arial"/>
          <w:sz w:val="22"/>
          <w:szCs w:val="22"/>
          <w:lang w:val="es-ES"/>
        </w:rPr>
        <w:t xml:space="preserve">Secretaría General </w:t>
      </w:r>
      <w:r w:rsidRPr="006E6EA6">
        <w:rPr>
          <w:rFonts w:cs="Arial"/>
          <w:sz w:val="22"/>
          <w:szCs w:val="22"/>
          <w:lang w:val="es-ES"/>
        </w:rPr>
        <w:t>considera que resulta necesario distinguir entre los diversos elementos que conforman una decisión judicial. Así</w:t>
      </w:r>
      <w:r w:rsidR="00DA2538" w:rsidRPr="006E6EA6">
        <w:rPr>
          <w:rFonts w:cs="Arial"/>
          <w:sz w:val="22"/>
          <w:szCs w:val="22"/>
          <w:lang w:val="es-ES"/>
        </w:rPr>
        <w:t>,</w:t>
      </w:r>
      <w:r w:rsidRPr="006E6EA6">
        <w:rPr>
          <w:rFonts w:cs="Arial"/>
          <w:sz w:val="22"/>
          <w:szCs w:val="22"/>
          <w:lang w:val="es-ES"/>
        </w:rPr>
        <w:t xml:space="preserve"> se tiene que, por ejemplo, en los sistemas del </w:t>
      </w:r>
      <w:r w:rsidRPr="006E6EA6">
        <w:rPr>
          <w:rFonts w:cs="Arial"/>
          <w:i/>
          <w:sz w:val="22"/>
          <w:szCs w:val="22"/>
          <w:lang w:val="es-ES"/>
        </w:rPr>
        <w:t>Common Law</w:t>
      </w:r>
      <w:r w:rsidRPr="006E6EA6">
        <w:rPr>
          <w:rFonts w:cs="Arial"/>
          <w:sz w:val="22"/>
          <w:szCs w:val="22"/>
          <w:lang w:val="es-ES"/>
        </w:rPr>
        <w:t xml:space="preserve">, en los cuales la regla del </w:t>
      </w:r>
      <w:r w:rsidRPr="006E6EA6">
        <w:rPr>
          <w:rFonts w:cs="Arial"/>
          <w:i/>
          <w:sz w:val="22"/>
          <w:szCs w:val="22"/>
          <w:lang w:val="es-ES"/>
        </w:rPr>
        <w:t>stare decisis</w:t>
      </w:r>
      <w:r w:rsidRPr="006E6EA6">
        <w:rPr>
          <w:rFonts w:cs="Arial"/>
          <w:sz w:val="22"/>
          <w:szCs w:val="22"/>
          <w:vertAlign w:val="superscript"/>
        </w:rPr>
        <w:footnoteReference w:id="43"/>
      </w:r>
      <w:r w:rsidRPr="006E6EA6">
        <w:rPr>
          <w:rFonts w:cs="Arial"/>
          <w:sz w:val="22"/>
          <w:szCs w:val="22"/>
          <w:lang w:val="es-ES"/>
        </w:rPr>
        <w:t xml:space="preserve"> recobra más fuerza, se hace una clara distinción entre los tres principales elementos de una resolución o sentencia</w:t>
      </w:r>
      <w:r w:rsidR="00CF6B4A" w:rsidRPr="006E6EA6">
        <w:rPr>
          <w:rStyle w:val="Refdenotaalpie"/>
          <w:rFonts w:cs="Arial"/>
          <w:sz w:val="22"/>
          <w:szCs w:val="22"/>
          <w:lang w:val="es-ES"/>
        </w:rPr>
        <w:footnoteReference w:id="44"/>
      </w:r>
      <w:r w:rsidRPr="006E6EA6">
        <w:rPr>
          <w:rFonts w:cs="Arial"/>
          <w:sz w:val="22"/>
          <w:szCs w:val="22"/>
          <w:lang w:val="es-ES"/>
        </w:rPr>
        <w:t xml:space="preserve">, a saber, los siguientes: (i) la parte resolutiva o </w:t>
      </w:r>
      <w:r w:rsidRPr="006E6EA6">
        <w:rPr>
          <w:rFonts w:cs="Arial"/>
          <w:i/>
          <w:sz w:val="22"/>
          <w:szCs w:val="22"/>
          <w:lang w:val="es-ES"/>
        </w:rPr>
        <w:t>decisum</w:t>
      </w:r>
      <w:r w:rsidRPr="006E6EA6">
        <w:rPr>
          <w:rFonts w:cs="Arial"/>
          <w:sz w:val="22"/>
          <w:szCs w:val="22"/>
          <w:lang w:val="es-ES"/>
        </w:rPr>
        <w:t xml:space="preserve">; (ii) la razón de la decisión o </w:t>
      </w:r>
      <w:r w:rsidRPr="006E6EA6">
        <w:rPr>
          <w:rFonts w:cs="Arial"/>
          <w:i/>
          <w:sz w:val="22"/>
          <w:szCs w:val="22"/>
          <w:lang w:val="es-ES"/>
        </w:rPr>
        <w:t>ratio decidendi</w:t>
      </w:r>
      <w:r w:rsidRPr="006E6EA6">
        <w:rPr>
          <w:rFonts w:cs="Arial"/>
          <w:sz w:val="22"/>
          <w:szCs w:val="22"/>
          <w:lang w:val="es-ES"/>
        </w:rPr>
        <w:t xml:space="preserve"> y, finalmente; (iii) los ‘dichos al pasar’ u </w:t>
      </w:r>
      <w:r w:rsidRPr="006E6EA6">
        <w:rPr>
          <w:rFonts w:cs="Arial"/>
          <w:i/>
          <w:sz w:val="22"/>
          <w:szCs w:val="22"/>
          <w:lang w:val="es-ES"/>
        </w:rPr>
        <w:t>obiter dicta</w:t>
      </w:r>
      <w:r w:rsidRPr="006E6EA6">
        <w:rPr>
          <w:rFonts w:cs="Arial"/>
          <w:sz w:val="22"/>
          <w:szCs w:val="22"/>
          <w:vertAlign w:val="superscript"/>
        </w:rPr>
        <w:footnoteReference w:id="45"/>
      </w:r>
      <w:r w:rsidRPr="006E6EA6">
        <w:rPr>
          <w:rFonts w:cs="Arial"/>
          <w:sz w:val="22"/>
          <w:szCs w:val="22"/>
          <w:lang w:val="es-ES"/>
        </w:rPr>
        <w:t>.</w:t>
      </w:r>
    </w:p>
    <w:p w:rsidR="00B544B2" w:rsidRPr="006E6EA6" w:rsidRDefault="00B544B2" w:rsidP="005D34F8">
      <w:pPr>
        <w:pStyle w:val="Prrafodelista"/>
        <w:widowControl/>
        <w:adjustRightInd/>
        <w:spacing w:line="240" w:lineRule="auto"/>
        <w:ind w:left="426" w:hanging="426"/>
        <w:contextualSpacing w:val="0"/>
        <w:textAlignment w:val="auto"/>
        <w:rPr>
          <w:rFonts w:cs="Arial"/>
          <w:sz w:val="22"/>
          <w:szCs w:val="22"/>
          <w:lang w:val="es-ES"/>
        </w:rPr>
      </w:pPr>
    </w:p>
    <w:p w:rsidR="00B544B2" w:rsidRPr="006E6EA6" w:rsidRDefault="00B544B2"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Si bien este esquema diferencial nace en el </w:t>
      </w:r>
      <w:r w:rsidRPr="006E6EA6">
        <w:rPr>
          <w:rFonts w:cs="Arial"/>
          <w:i/>
          <w:sz w:val="22"/>
          <w:szCs w:val="22"/>
          <w:lang w:val="es-ES"/>
        </w:rPr>
        <w:t>Common Law</w:t>
      </w:r>
      <w:r w:rsidRPr="006E6EA6">
        <w:rPr>
          <w:rFonts w:cs="Arial"/>
          <w:sz w:val="22"/>
          <w:szCs w:val="22"/>
          <w:lang w:val="es-ES"/>
        </w:rPr>
        <w:t>, resulta menester aclarar que también nuestros sistemas jurídicos han hecho propios dichos conceptos. Así, por ejemplo, la Corte Suprema de la República de Colombia ha señalado</w:t>
      </w:r>
      <w:r w:rsidR="00C677D4" w:rsidRPr="006E6EA6">
        <w:rPr>
          <w:rFonts w:cs="Arial"/>
          <w:sz w:val="22"/>
          <w:szCs w:val="22"/>
          <w:lang w:val="es-ES"/>
        </w:rPr>
        <w:t xml:space="preserve"> -</w:t>
      </w:r>
      <w:r w:rsidRPr="006E6EA6">
        <w:rPr>
          <w:rFonts w:cs="Arial"/>
          <w:sz w:val="22"/>
          <w:szCs w:val="22"/>
          <w:lang w:val="es-ES"/>
        </w:rPr>
        <w:t xml:space="preserve">sobre estos elementos- lo siguiente: </w:t>
      </w:r>
      <w:r w:rsidR="00AE30CD" w:rsidRPr="006E6EA6">
        <w:rPr>
          <w:rFonts w:cs="Arial"/>
          <w:sz w:val="22"/>
          <w:szCs w:val="22"/>
          <w:lang w:val="es-ES"/>
        </w:rPr>
        <w:t>“</w:t>
      </w:r>
      <w:r w:rsidRPr="006E6EA6">
        <w:rPr>
          <w:rFonts w:cs="Arial"/>
          <w:sz w:val="22"/>
          <w:szCs w:val="22"/>
          <w:lang w:val="es-ES"/>
        </w:rPr>
        <w:t>(…) el </w:t>
      </w:r>
      <w:r w:rsidRPr="006E6EA6">
        <w:rPr>
          <w:rFonts w:cs="Arial"/>
          <w:i/>
          <w:sz w:val="22"/>
          <w:szCs w:val="22"/>
          <w:lang w:val="es-ES"/>
        </w:rPr>
        <w:t>decisum</w:t>
      </w:r>
      <w:r w:rsidRPr="006E6EA6">
        <w:rPr>
          <w:rFonts w:cs="Arial"/>
          <w:sz w:val="22"/>
          <w:szCs w:val="22"/>
          <w:lang w:val="es-ES"/>
        </w:rPr>
        <w:t xml:space="preserve"> es la resolución concreta del caso, esto es, la determinación específica de si el acusado es o no culpable en materia penal, si el demandado debe o no responder en materia civil, si al peticionario el juez le tutela o no su derecho, si la disposición acusada es o no retirada del ordenamiento, etc. Por su parte, la ratio </w:t>
      </w:r>
      <w:r w:rsidRPr="006E6EA6">
        <w:rPr>
          <w:rFonts w:cs="Arial"/>
          <w:i/>
          <w:sz w:val="22"/>
          <w:szCs w:val="22"/>
          <w:lang w:val="es-ES"/>
        </w:rPr>
        <w:t>decidendi</w:t>
      </w:r>
      <w:r w:rsidRPr="006E6EA6">
        <w:rPr>
          <w:rFonts w:cs="Arial"/>
          <w:sz w:val="22"/>
          <w:szCs w:val="22"/>
          <w:lang w:val="es-ES"/>
        </w:rPr>
        <w:t> es la formulación general, más allá de las particularidades irrelevantes del caso, del principio, regla o razón general que constituyen la base de la decisión judicial específica. Es, si se quiere, el fundamento normativo directo de la parte resolutiva (…) Finalmente, los </w:t>
      </w:r>
      <w:r w:rsidRPr="006E6EA6">
        <w:rPr>
          <w:rFonts w:cs="Arial"/>
          <w:i/>
          <w:sz w:val="22"/>
          <w:szCs w:val="22"/>
          <w:lang w:val="es-ES"/>
        </w:rPr>
        <w:t>obiter dicta</w:t>
      </w:r>
      <w:r w:rsidRPr="006E6EA6">
        <w:rPr>
          <w:rFonts w:cs="Arial"/>
          <w:sz w:val="22"/>
          <w:szCs w:val="22"/>
          <w:lang w:val="es-ES"/>
        </w:rPr>
        <w:t> tienen una fuerza persuasiva, que puede ser mayor o menor según el prestigio y jerarquía del tribunal, pero no son vinculantes; un </w:t>
      </w:r>
      <w:r w:rsidRPr="006E6EA6">
        <w:rPr>
          <w:rFonts w:cs="Arial"/>
          <w:i/>
          <w:sz w:val="22"/>
          <w:szCs w:val="22"/>
          <w:lang w:val="es-ES"/>
        </w:rPr>
        <w:t>dictum</w:t>
      </w:r>
      <w:r w:rsidRPr="006E6EA6">
        <w:rPr>
          <w:rFonts w:cs="Arial"/>
          <w:sz w:val="22"/>
          <w:szCs w:val="22"/>
          <w:lang w:val="es-ES"/>
        </w:rPr>
        <w:t> constituye entonces, en principio, un criterio auxiliar pero no obligatorio para los otros jueces</w:t>
      </w:r>
      <w:r w:rsidR="00AE30CD" w:rsidRPr="006E6EA6">
        <w:rPr>
          <w:rFonts w:cs="Arial"/>
          <w:sz w:val="22"/>
          <w:szCs w:val="22"/>
          <w:lang w:val="es-ES"/>
        </w:rPr>
        <w:t>”</w:t>
      </w:r>
      <w:r w:rsidRPr="006E6EA6">
        <w:rPr>
          <w:rFonts w:cs="Arial"/>
          <w:sz w:val="22"/>
          <w:szCs w:val="22"/>
          <w:vertAlign w:val="superscript"/>
        </w:rPr>
        <w:footnoteReference w:id="46"/>
      </w:r>
      <w:r w:rsidRPr="006E6EA6">
        <w:rPr>
          <w:rFonts w:cs="Arial"/>
          <w:sz w:val="22"/>
          <w:szCs w:val="22"/>
          <w:lang w:val="es-ES"/>
        </w:rPr>
        <w:t>.</w:t>
      </w:r>
    </w:p>
    <w:p w:rsidR="00B544B2" w:rsidRPr="006E6EA6" w:rsidRDefault="00B544B2" w:rsidP="00981727">
      <w:pPr>
        <w:pStyle w:val="Prrafodelista"/>
        <w:widowControl/>
        <w:adjustRightInd/>
        <w:spacing w:line="240" w:lineRule="auto"/>
        <w:ind w:left="0"/>
        <w:contextualSpacing w:val="0"/>
        <w:textAlignment w:val="auto"/>
        <w:rPr>
          <w:rFonts w:cs="Arial"/>
          <w:sz w:val="22"/>
          <w:szCs w:val="22"/>
          <w:lang w:val="es-ES"/>
        </w:rPr>
      </w:pPr>
    </w:p>
    <w:p w:rsidR="00B544B2" w:rsidRPr="006E6EA6" w:rsidRDefault="00B544B2"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En la misma línea de ideas se ha pronunciado la doctrina especializada peruana cuando señala que los </w:t>
      </w:r>
      <w:r w:rsidRPr="006E6EA6">
        <w:rPr>
          <w:rFonts w:cs="Arial"/>
          <w:i/>
          <w:sz w:val="22"/>
          <w:szCs w:val="22"/>
          <w:lang w:val="es-ES"/>
        </w:rPr>
        <w:t>obiter dicta</w:t>
      </w:r>
      <w:r w:rsidR="00AE30CD" w:rsidRPr="006E6EA6">
        <w:rPr>
          <w:rFonts w:cs="Arial"/>
          <w:sz w:val="22"/>
          <w:szCs w:val="22"/>
          <w:lang w:val="es-ES"/>
        </w:rPr>
        <w:t xml:space="preserve"> </w:t>
      </w:r>
      <w:r w:rsidR="00AE30CD" w:rsidRPr="006E6EA6">
        <w:rPr>
          <w:rFonts w:cs="Arial"/>
          <w:i/>
          <w:sz w:val="22"/>
          <w:szCs w:val="22"/>
          <w:lang w:val="es-ES"/>
        </w:rPr>
        <w:t>“</w:t>
      </w:r>
      <w:r w:rsidRPr="006E6EA6">
        <w:rPr>
          <w:rFonts w:cs="Arial"/>
          <w:i/>
          <w:sz w:val="22"/>
          <w:szCs w:val="22"/>
          <w:lang w:val="es-ES"/>
        </w:rPr>
        <w:t xml:space="preserve">(…) son aquellas reflexiones o acotaciones no </w:t>
      </w:r>
      <w:r w:rsidRPr="006E6EA6">
        <w:rPr>
          <w:rFonts w:cs="Arial"/>
          <w:i/>
          <w:sz w:val="22"/>
          <w:szCs w:val="22"/>
          <w:lang w:val="es-ES"/>
        </w:rPr>
        <w:lastRenderedPageBreak/>
        <w:t>centrales para sustentar la decisión adoptada, pero que se consignan en una sentencia, mayormente atendiendo a raz</w:t>
      </w:r>
      <w:r w:rsidR="00AE30CD" w:rsidRPr="006E6EA6">
        <w:rPr>
          <w:rFonts w:cs="Arial"/>
          <w:i/>
          <w:sz w:val="22"/>
          <w:szCs w:val="22"/>
          <w:lang w:val="es-ES"/>
        </w:rPr>
        <w:t>ones pedagógicas u orientadoras</w:t>
      </w:r>
      <w:r w:rsidR="00AE30CD" w:rsidRPr="006E6EA6">
        <w:rPr>
          <w:rFonts w:cs="Arial"/>
          <w:sz w:val="22"/>
          <w:szCs w:val="22"/>
          <w:lang w:val="es-ES"/>
        </w:rPr>
        <w:t>”</w:t>
      </w:r>
      <w:r w:rsidRPr="006E6EA6">
        <w:rPr>
          <w:rFonts w:cs="Arial"/>
          <w:sz w:val="22"/>
          <w:szCs w:val="22"/>
          <w:vertAlign w:val="superscript"/>
        </w:rPr>
        <w:footnoteReference w:id="47"/>
      </w:r>
      <w:r w:rsidRPr="006E6EA6">
        <w:rPr>
          <w:rFonts w:cs="Arial"/>
          <w:sz w:val="22"/>
          <w:szCs w:val="22"/>
          <w:lang w:val="es-ES"/>
        </w:rPr>
        <w:t>.</w:t>
      </w:r>
    </w:p>
    <w:p w:rsidR="00B544B2" w:rsidRPr="006E6EA6" w:rsidRDefault="00B544B2" w:rsidP="005D34F8">
      <w:pPr>
        <w:pStyle w:val="Prrafodelista"/>
        <w:widowControl/>
        <w:adjustRightInd/>
        <w:spacing w:line="240" w:lineRule="auto"/>
        <w:ind w:left="426" w:hanging="426"/>
        <w:contextualSpacing w:val="0"/>
        <w:textAlignment w:val="auto"/>
        <w:rPr>
          <w:rFonts w:cs="Arial"/>
          <w:sz w:val="22"/>
          <w:szCs w:val="22"/>
          <w:lang w:val="es-ES"/>
        </w:rPr>
      </w:pPr>
    </w:p>
    <w:p w:rsidR="00B544B2" w:rsidRPr="006E6EA6" w:rsidRDefault="00C918B7"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Por su parte, e</w:t>
      </w:r>
      <w:r w:rsidR="00B544B2" w:rsidRPr="006E6EA6">
        <w:rPr>
          <w:rFonts w:cs="Arial"/>
          <w:sz w:val="22"/>
          <w:szCs w:val="22"/>
          <w:lang w:val="es-ES"/>
        </w:rPr>
        <w:t>l Tribunal Constitucional de</w:t>
      </w:r>
      <w:r w:rsidR="006A6F83" w:rsidRPr="006E6EA6">
        <w:rPr>
          <w:rFonts w:cs="Arial"/>
          <w:sz w:val="22"/>
          <w:szCs w:val="22"/>
          <w:lang w:val="es-ES"/>
        </w:rPr>
        <w:t xml:space="preserve"> </w:t>
      </w:r>
      <w:r w:rsidR="00B544B2" w:rsidRPr="006E6EA6">
        <w:rPr>
          <w:rFonts w:cs="Arial"/>
          <w:sz w:val="22"/>
          <w:szCs w:val="22"/>
          <w:lang w:val="es-ES"/>
        </w:rPr>
        <w:t>l</w:t>
      </w:r>
      <w:r w:rsidR="006A6F83" w:rsidRPr="006E6EA6">
        <w:rPr>
          <w:rFonts w:cs="Arial"/>
          <w:sz w:val="22"/>
          <w:szCs w:val="22"/>
          <w:lang w:val="es-ES"/>
        </w:rPr>
        <w:t>a República del</w:t>
      </w:r>
      <w:r w:rsidR="00B544B2" w:rsidRPr="006E6EA6">
        <w:rPr>
          <w:rFonts w:cs="Arial"/>
          <w:sz w:val="22"/>
          <w:szCs w:val="22"/>
          <w:lang w:val="es-ES"/>
        </w:rPr>
        <w:t xml:space="preserve"> Perú señaló, en su Sen</w:t>
      </w:r>
      <w:r w:rsidR="00AE30CD" w:rsidRPr="006E6EA6">
        <w:rPr>
          <w:rFonts w:cs="Arial"/>
          <w:sz w:val="22"/>
          <w:szCs w:val="22"/>
          <w:lang w:val="es-ES"/>
        </w:rPr>
        <w:t>tencia 24-2003/AI-TC, que “</w:t>
      </w:r>
      <w:r w:rsidR="00B544B2" w:rsidRPr="006E6EA6">
        <w:rPr>
          <w:rFonts w:cs="Arial"/>
          <w:sz w:val="22"/>
          <w:szCs w:val="22"/>
          <w:lang w:val="es-ES"/>
        </w:rPr>
        <w:t>(…)</w:t>
      </w:r>
      <w:r w:rsidR="00B544B2" w:rsidRPr="006E6EA6">
        <w:rPr>
          <w:rFonts w:cs="Arial"/>
          <w:i/>
          <w:sz w:val="22"/>
          <w:szCs w:val="22"/>
          <w:lang w:val="es-ES"/>
        </w:rPr>
        <w:t xml:space="preserve"> para el cumplimiento de dicho contenido, el Tribunal Constitucional considera necesario estipular que la estructura interna de sus decisiones se compone de los siguientes elementos: la razón declarativa-teológica, la razón suficiente (ratio decidenci), la razón subsidiaria o accidental (obiter dicta), la invocación preceptiva y la decisión o fallo constitucional (decisum)</w:t>
      </w:r>
      <w:r w:rsidR="00AE30CD" w:rsidRPr="006E6EA6">
        <w:rPr>
          <w:rFonts w:cs="Arial"/>
          <w:sz w:val="22"/>
          <w:szCs w:val="22"/>
          <w:lang w:val="es-ES"/>
        </w:rPr>
        <w:t>”</w:t>
      </w:r>
      <w:r w:rsidR="00B544B2" w:rsidRPr="006E6EA6">
        <w:rPr>
          <w:rFonts w:cs="Arial"/>
          <w:sz w:val="22"/>
          <w:szCs w:val="22"/>
          <w:lang w:val="es-ES"/>
        </w:rPr>
        <w:t>.</w:t>
      </w:r>
    </w:p>
    <w:p w:rsidR="00B544B2" w:rsidRPr="006E6EA6" w:rsidRDefault="00B544B2" w:rsidP="005D34F8">
      <w:pPr>
        <w:pStyle w:val="Prrafodelista"/>
        <w:widowControl/>
        <w:adjustRightInd/>
        <w:spacing w:line="240" w:lineRule="auto"/>
        <w:ind w:left="426" w:hanging="426"/>
        <w:contextualSpacing w:val="0"/>
        <w:textAlignment w:val="auto"/>
        <w:rPr>
          <w:rFonts w:cs="Arial"/>
          <w:sz w:val="22"/>
          <w:szCs w:val="22"/>
          <w:lang w:val="es-ES"/>
        </w:rPr>
      </w:pPr>
    </w:p>
    <w:p w:rsidR="00B544B2" w:rsidRPr="006E6EA6" w:rsidRDefault="00C918B7"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De igual manera,</w:t>
      </w:r>
      <w:r w:rsidR="00B544B2" w:rsidRPr="006E6EA6">
        <w:rPr>
          <w:rFonts w:cs="Arial"/>
          <w:sz w:val="22"/>
          <w:szCs w:val="22"/>
          <w:lang w:val="es-ES"/>
        </w:rPr>
        <w:t xml:space="preserve"> la República del Ecuador</w:t>
      </w:r>
      <w:r w:rsidRPr="006E6EA6">
        <w:rPr>
          <w:rFonts w:cs="Arial"/>
          <w:sz w:val="22"/>
          <w:szCs w:val="22"/>
          <w:lang w:val="es-ES"/>
        </w:rPr>
        <w:t>,</w:t>
      </w:r>
      <w:r w:rsidR="00B544B2" w:rsidRPr="006E6EA6">
        <w:rPr>
          <w:rFonts w:cs="Arial"/>
          <w:sz w:val="22"/>
          <w:szCs w:val="22"/>
          <w:lang w:val="es-ES"/>
        </w:rPr>
        <w:t xml:space="preserve"> </w:t>
      </w:r>
      <w:r w:rsidR="00AE30CD" w:rsidRPr="006E6EA6">
        <w:rPr>
          <w:rFonts w:cs="Arial"/>
          <w:sz w:val="22"/>
          <w:szCs w:val="22"/>
          <w:lang w:val="es-ES"/>
        </w:rPr>
        <w:t xml:space="preserve">en su sentencia No. </w:t>
      </w:r>
      <w:r w:rsidR="00B544B2" w:rsidRPr="006E6EA6">
        <w:rPr>
          <w:rFonts w:cs="Arial"/>
          <w:sz w:val="22"/>
          <w:szCs w:val="22"/>
          <w:lang w:val="es-ES"/>
        </w:rPr>
        <w:t>250-16-SEP-CC, correspondiente al c</w:t>
      </w:r>
      <w:r w:rsidR="00AE30CD" w:rsidRPr="006E6EA6">
        <w:rPr>
          <w:rFonts w:cs="Arial"/>
          <w:sz w:val="22"/>
          <w:szCs w:val="22"/>
          <w:lang w:val="es-ES"/>
        </w:rPr>
        <w:t xml:space="preserve">aso No. </w:t>
      </w:r>
      <w:r w:rsidR="00B544B2" w:rsidRPr="006E6EA6">
        <w:rPr>
          <w:rFonts w:cs="Arial"/>
          <w:sz w:val="22"/>
          <w:szCs w:val="22"/>
          <w:lang w:val="es-ES"/>
        </w:rPr>
        <w:t xml:space="preserve">1441-14-EP del 10 de agosto de 2016, </w:t>
      </w:r>
      <w:r w:rsidR="00AE30CD" w:rsidRPr="006E6EA6">
        <w:rPr>
          <w:rFonts w:cs="Arial"/>
          <w:sz w:val="22"/>
          <w:szCs w:val="22"/>
          <w:lang w:val="es-ES"/>
        </w:rPr>
        <w:t>refirió lo siguiente: “</w:t>
      </w:r>
      <w:r w:rsidR="00B544B2" w:rsidRPr="006E6EA6">
        <w:rPr>
          <w:rFonts w:cs="Arial"/>
          <w:i/>
          <w:sz w:val="22"/>
          <w:szCs w:val="22"/>
          <w:lang w:val="es-ES"/>
        </w:rPr>
        <w:t xml:space="preserve">En relación a la vinculatoriedad de las obiter dicta vale destacar que éstas constituyen todas aquellas reflexiones adelantadas por el juez al motivar su fallo, pero que no son necesarias a la decisión, por el contrario, la ratio decidendi comporta </w:t>
      </w:r>
      <w:r w:rsidR="00AE30CD" w:rsidRPr="006E6EA6">
        <w:rPr>
          <w:rFonts w:cs="Arial"/>
          <w:i/>
          <w:sz w:val="22"/>
          <w:szCs w:val="22"/>
          <w:lang w:val="es-ES"/>
        </w:rPr>
        <w:t>‘</w:t>
      </w:r>
      <w:r w:rsidR="00B544B2" w:rsidRPr="006E6EA6">
        <w:rPr>
          <w:rFonts w:cs="Arial"/>
          <w:i/>
          <w:sz w:val="22"/>
          <w:szCs w:val="22"/>
          <w:lang w:val="es-ES"/>
        </w:rPr>
        <w:t>... la parte medular y fundamento principal de una decisión o resolución adoptada por el juez, adquiriendo por ende el carácter de precedente y por tanto, la parte que obliga a su ejecución y cumplimiento, y sin la cual, una sentencia pierde o carece</w:t>
      </w:r>
      <w:r w:rsidR="00AE30CD" w:rsidRPr="006E6EA6">
        <w:rPr>
          <w:rFonts w:cs="Arial"/>
          <w:i/>
          <w:sz w:val="22"/>
          <w:szCs w:val="22"/>
          <w:lang w:val="es-ES"/>
        </w:rPr>
        <w:t xml:space="preserve"> totalmente de sentido o lógica</w:t>
      </w:r>
      <w:r w:rsidR="00B544B2" w:rsidRPr="006E6EA6">
        <w:rPr>
          <w:rFonts w:cs="Arial"/>
          <w:sz w:val="22"/>
          <w:szCs w:val="22"/>
          <w:vertAlign w:val="superscript"/>
        </w:rPr>
        <w:footnoteReference w:id="48"/>
      </w:r>
      <w:r w:rsidR="00AE30CD" w:rsidRPr="006E6EA6">
        <w:rPr>
          <w:rFonts w:cs="Arial"/>
          <w:sz w:val="22"/>
          <w:szCs w:val="22"/>
          <w:lang w:val="es-ES"/>
        </w:rPr>
        <w:t>”</w:t>
      </w:r>
      <w:r w:rsidR="00B544B2" w:rsidRPr="006E6EA6">
        <w:rPr>
          <w:rFonts w:cs="Arial"/>
          <w:sz w:val="22"/>
          <w:szCs w:val="22"/>
          <w:lang w:val="es-ES"/>
        </w:rPr>
        <w:t>.</w:t>
      </w:r>
    </w:p>
    <w:p w:rsidR="00B544B2" w:rsidRPr="006E6EA6" w:rsidRDefault="00B544B2" w:rsidP="00981727">
      <w:pPr>
        <w:pStyle w:val="Prrafodelista"/>
        <w:widowControl/>
        <w:adjustRightInd/>
        <w:spacing w:line="240" w:lineRule="auto"/>
        <w:ind w:left="0"/>
        <w:contextualSpacing w:val="0"/>
        <w:textAlignment w:val="auto"/>
        <w:rPr>
          <w:rFonts w:cs="Arial"/>
          <w:sz w:val="22"/>
          <w:szCs w:val="22"/>
          <w:lang w:val="es-ES"/>
        </w:rPr>
      </w:pPr>
    </w:p>
    <w:p w:rsidR="00B544B2" w:rsidRPr="006E6EA6" w:rsidRDefault="00B544B2"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Como se puede apreciar de este breve análisis de los distintos sistemas judiciales andinos, se verifica que existe una necesidad de los tribunales de diferenciar los diversos elementos del </w:t>
      </w:r>
      <w:r w:rsidRPr="006E6EA6">
        <w:rPr>
          <w:rFonts w:cs="Arial"/>
          <w:i/>
          <w:sz w:val="22"/>
          <w:szCs w:val="22"/>
          <w:lang w:val="es-ES"/>
        </w:rPr>
        <w:t>stare decisis</w:t>
      </w:r>
      <w:r w:rsidRPr="006E6EA6">
        <w:rPr>
          <w:rFonts w:cs="Arial"/>
          <w:sz w:val="22"/>
          <w:szCs w:val="22"/>
          <w:lang w:val="es-ES"/>
        </w:rPr>
        <w:t>. Por una parte, el razonamiento judicial debe realizarse con base en principios o reglas universales ya aceptados y analizados en casos anteriores, que puedan ser nuevamente utilizados en casos a futuro de tal manera que se genere y afiance un sistema de predictibilidad del sistema</w:t>
      </w:r>
      <w:r w:rsidR="00F37C2D" w:rsidRPr="006E6EA6">
        <w:rPr>
          <w:rFonts w:cs="Arial"/>
          <w:sz w:val="22"/>
          <w:szCs w:val="22"/>
          <w:lang w:val="es-ES"/>
        </w:rPr>
        <w:t xml:space="preserve"> jurídico; y, por otra, dichos “preceptos universales”</w:t>
      </w:r>
      <w:r w:rsidRPr="006E6EA6">
        <w:rPr>
          <w:rFonts w:cs="Arial"/>
          <w:sz w:val="22"/>
          <w:szCs w:val="22"/>
          <w:lang w:val="es-ES"/>
        </w:rPr>
        <w:t xml:space="preserve"> debe</w:t>
      </w:r>
      <w:r w:rsidR="00F37C2D" w:rsidRPr="006E6EA6">
        <w:rPr>
          <w:rFonts w:cs="Arial"/>
          <w:sz w:val="22"/>
          <w:szCs w:val="22"/>
          <w:lang w:val="es-ES"/>
        </w:rPr>
        <w:t>n</w:t>
      </w:r>
      <w:r w:rsidRPr="006E6EA6">
        <w:rPr>
          <w:rFonts w:cs="Arial"/>
          <w:sz w:val="22"/>
          <w:szCs w:val="22"/>
          <w:lang w:val="es-ES"/>
        </w:rPr>
        <w:t xml:space="preserve"> estar claramente diferenciados de los </w:t>
      </w:r>
      <w:r w:rsidRPr="006E6EA6">
        <w:rPr>
          <w:rFonts w:cs="Arial"/>
          <w:i/>
          <w:sz w:val="22"/>
          <w:szCs w:val="22"/>
          <w:lang w:val="es-ES"/>
        </w:rPr>
        <w:t>obiter dicta</w:t>
      </w:r>
      <w:r w:rsidRPr="006E6EA6">
        <w:rPr>
          <w:rFonts w:cs="Arial"/>
          <w:sz w:val="22"/>
          <w:szCs w:val="22"/>
          <w:lang w:val="es-ES"/>
        </w:rPr>
        <w:t xml:space="preserve"> que son cuestiones orientadoras de naturaleza complementaria no vinculante. Como bien lo mencio</w:t>
      </w:r>
      <w:r w:rsidR="0009492A" w:rsidRPr="006E6EA6">
        <w:rPr>
          <w:rFonts w:cs="Arial"/>
          <w:sz w:val="22"/>
          <w:szCs w:val="22"/>
          <w:lang w:val="es-ES"/>
        </w:rPr>
        <w:t xml:space="preserve">na la Corte Suprema Colombiana </w:t>
      </w:r>
      <w:r w:rsidR="0009492A" w:rsidRPr="006E6EA6">
        <w:rPr>
          <w:rFonts w:cs="Arial"/>
          <w:i/>
          <w:sz w:val="22"/>
          <w:szCs w:val="22"/>
          <w:lang w:val="es-ES"/>
        </w:rPr>
        <w:t>“</w:t>
      </w:r>
      <w:r w:rsidRPr="006E6EA6">
        <w:rPr>
          <w:rFonts w:cs="Arial"/>
          <w:i/>
          <w:sz w:val="22"/>
          <w:szCs w:val="22"/>
          <w:lang w:val="es-ES"/>
        </w:rPr>
        <w:t>(…) los jueces deben fundamentar sus decisiones, no en criterios ad-hoc, caprichosos y coyunturales, sino con base en un principio general o una regla universal que han aceptado en casos anteriores, o que estarían dispuestos a aplicar e</w:t>
      </w:r>
      <w:r w:rsidR="0009492A" w:rsidRPr="006E6EA6">
        <w:rPr>
          <w:rFonts w:cs="Arial"/>
          <w:i/>
          <w:sz w:val="22"/>
          <w:szCs w:val="22"/>
          <w:lang w:val="es-ES"/>
        </w:rPr>
        <w:t>n casos semejantes en el futuro</w:t>
      </w:r>
      <w:r w:rsidR="0009492A" w:rsidRPr="006E6EA6">
        <w:rPr>
          <w:rFonts w:cs="Arial"/>
          <w:sz w:val="22"/>
          <w:szCs w:val="22"/>
          <w:lang w:val="es-ES"/>
        </w:rPr>
        <w:t>”</w:t>
      </w:r>
      <w:r w:rsidRPr="006E6EA6">
        <w:rPr>
          <w:rFonts w:cs="Arial"/>
          <w:sz w:val="22"/>
          <w:szCs w:val="22"/>
          <w:vertAlign w:val="superscript"/>
        </w:rPr>
        <w:footnoteReference w:id="49"/>
      </w:r>
      <w:r w:rsidRPr="006E6EA6">
        <w:rPr>
          <w:rFonts w:cs="Arial"/>
          <w:sz w:val="22"/>
          <w:szCs w:val="22"/>
          <w:lang w:val="es-ES"/>
        </w:rPr>
        <w:t>.</w:t>
      </w:r>
    </w:p>
    <w:p w:rsidR="00B544B2" w:rsidRPr="006E6EA6" w:rsidRDefault="00B544B2" w:rsidP="005D34F8">
      <w:pPr>
        <w:pStyle w:val="Prrafodelista"/>
        <w:widowControl/>
        <w:adjustRightInd/>
        <w:spacing w:line="240" w:lineRule="auto"/>
        <w:ind w:left="426" w:hanging="426"/>
        <w:contextualSpacing w:val="0"/>
        <w:textAlignment w:val="auto"/>
        <w:rPr>
          <w:rFonts w:cs="Arial"/>
          <w:sz w:val="22"/>
          <w:szCs w:val="22"/>
          <w:lang w:val="es-ES"/>
        </w:rPr>
      </w:pPr>
    </w:p>
    <w:p w:rsidR="00A729FE" w:rsidRPr="006E6EA6" w:rsidRDefault="00B544B2"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Por lo expuesto, siendo que en la interpretación prejudicial</w:t>
      </w:r>
      <w:r w:rsidR="00043A70" w:rsidRPr="006E6EA6">
        <w:rPr>
          <w:rFonts w:cs="Arial"/>
          <w:sz w:val="22"/>
          <w:szCs w:val="22"/>
          <w:lang w:val="es-ES"/>
        </w:rPr>
        <w:t xml:space="preserve"> analizada (Proceso No.</w:t>
      </w:r>
      <w:r w:rsidRPr="006E6EA6">
        <w:rPr>
          <w:rFonts w:cs="Arial"/>
          <w:sz w:val="22"/>
          <w:szCs w:val="22"/>
          <w:lang w:val="es-ES"/>
        </w:rPr>
        <w:t xml:space="preserve"> 04-IP-2013) se verifica que el TJCA no hizo un desarrollo respecto de la idea materia de análisis (es decir, la referida a la oportunidad procesal del reclamante para presentar la cuantía de los daños y perjuicios en referencia o, al menos, las bases para fijarla), y tampoco la mencionó dentro de sus conclusiones finales, se considera que dicho argumento corresponde a uno de carácter </w:t>
      </w:r>
      <w:r w:rsidRPr="006E6EA6">
        <w:rPr>
          <w:rFonts w:cs="Arial"/>
          <w:i/>
          <w:sz w:val="22"/>
          <w:szCs w:val="22"/>
          <w:lang w:val="es-ES"/>
        </w:rPr>
        <w:t>obiter dicta</w:t>
      </w:r>
      <w:r w:rsidRPr="006E6EA6">
        <w:rPr>
          <w:rFonts w:cs="Arial"/>
          <w:sz w:val="22"/>
          <w:szCs w:val="22"/>
          <w:lang w:val="es-ES"/>
        </w:rPr>
        <w:t xml:space="preserve"> y, por tanto, su carácter resulta meramente explicativo u orientador. La posición asumida por esta </w:t>
      </w:r>
      <w:r w:rsidR="00043A70" w:rsidRPr="006E6EA6">
        <w:rPr>
          <w:rFonts w:cs="Arial"/>
          <w:sz w:val="22"/>
          <w:szCs w:val="22"/>
          <w:lang w:val="es-ES"/>
        </w:rPr>
        <w:t>Secretaría General</w:t>
      </w:r>
      <w:r w:rsidRPr="006E6EA6">
        <w:rPr>
          <w:rFonts w:cs="Arial"/>
          <w:sz w:val="22"/>
          <w:szCs w:val="22"/>
          <w:lang w:val="es-ES"/>
        </w:rPr>
        <w:t xml:space="preserve"> encuentra también respaldo en la propia norma andina (artículo 243 de la Decisión 486), pues el referido artículo no hace mención alguna a dicha obligación. </w:t>
      </w:r>
    </w:p>
    <w:p w:rsidR="00A729FE" w:rsidRPr="006E6EA6" w:rsidRDefault="00A729FE" w:rsidP="005D34F8">
      <w:pPr>
        <w:pStyle w:val="Prrafodelista"/>
        <w:widowControl/>
        <w:adjustRightInd/>
        <w:spacing w:line="240" w:lineRule="auto"/>
        <w:ind w:left="426" w:hanging="426"/>
        <w:contextualSpacing w:val="0"/>
        <w:textAlignment w:val="auto"/>
        <w:rPr>
          <w:rFonts w:cs="Arial"/>
          <w:sz w:val="22"/>
          <w:szCs w:val="22"/>
          <w:lang w:val="es-ES"/>
        </w:rPr>
      </w:pPr>
    </w:p>
    <w:p w:rsidR="00981727" w:rsidRPr="006E6EA6" w:rsidRDefault="00FC0E95"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Sin perjuicio de lo anterior</w:t>
      </w:r>
      <w:r w:rsidR="00DB34F9" w:rsidRPr="006E6EA6">
        <w:rPr>
          <w:rFonts w:cs="Arial"/>
          <w:sz w:val="22"/>
          <w:szCs w:val="22"/>
          <w:lang w:val="es-ES"/>
        </w:rPr>
        <w:t xml:space="preserve">, </w:t>
      </w:r>
      <w:r w:rsidR="00FB1170" w:rsidRPr="006E6EA6">
        <w:rPr>
          <w:rFonts w:cs="Arial"/>
          <w:sz w:val="22"/>
          <w:szCs w:val="22"/>
          <w:lang w:val="es-ES"/>
        </w:rPr>
        <w:t xml:space="preserve">y solo en gracias de discusión, </w:t>
      </w:r>
      <w:r w:rsidR="00043A70" w:rsidRPr="006E6EA6">
        <w:rPr>
          <w:rFonts w:cs="Arial"/>
          <w:sz w:val="22"/>
          <w:szCs w:val="22"/>
          <w:lang w:val="es-ES"/>
        </w:rPr>
        <w:t>cabe mencionar que</w:t>
      </w:r>
      <w:r w:rsidR="009A21DC" w:rsidRPr="006E6EA6">
        <w:rPr>
          <w:rFonts w:cs="Arial"/>
          <w:sz w:val="22"/>
          <w:szCs w:val="22"/>
          <w:lang w:val="es-ES"/>
        </w:rPr>
        <w:t>,</w:t>
      </w:r>
      <w:r w:rsidR="00043A70" w:rsidRPr="006E6EA6">
        <w:rPr>
          <w:rFonts w:cs="Arial"/>
          <w:sz w:val="22"/>
          <w:szCs w:val="22"/>
          <w:lang w:val="es-ES"/>
        </w:rPr>
        <w:t xml:space="preserve"> </w:t>
      </w:r>
      <w:r w:rsidR="009A21DC" w:rsidRPr="006E6EA6">
        <w:rPr>
          <w:rFonts w:cs="Arial"/>
          <w:sz w:val="22"/>
          <w:szCs w:val="22"/>
          <w:lang w:val="es-ES"/>
        </w:rPr>
        <w:t>de la revisión</w:t>
      </w:r>
      <w:r w:rsidR="00DB34F9" w:rsidRPr="006E6EA6">
        <w:rPr>
          <w:rFonts w:cs="Arial"/>
          <w:sz w:val="22"/>
          <w:szCs w:val="22"/>
          <w:lang w:val="es-ES"/>
        </w:rPr>
        <w:t xml:space="preserve"> de lo dispuesto por el Tribunal de Justicia de la Comunidad Andina,</w:t>
      </w:r>
      <w:r w:rsidR="009A21DC" w:rsidRPr="006E6EA6">
        <w:rPr>
          <w:rFonts w:cs="Arial"/>
          <w:sz w:val="22"/>
          <w:szCs w:val="22"/>
          <w:lang w:val="es-ES"/>
        </w:rPr>
        <w:t xml:space="preserve"> esta Secretaría General observa</w:t>
      </w:r>
      <w:r w:rsidR="00DB34F9" w:rsidRPr="006E6EA6">
        <w:rPr>
          <w:rFonts w:cs="Arial"/>
          <w:sz w:val="22"/>
          <w:szCs w:val="22"/>
          <w:lang w:val="es-ES"/>
        </w:rPr>
        <w:t xml:space="preserve"> que la obligación referida a la presentación de información sobre la cuantí</w:t>
      </w:r>
      <w:r w:rsidR="009A21DC" w:rsidRPr="006E6EA6">
        <w:rPr>
          <w:rFonts w:cs="Arial"/>
          <w:sz w:val="22"/>
          <w:szCs w:val="22"/>
          <w:lang w:val="es-ES"/>
        </w:rPr>
        <w:t>a de daños y perjuicios no recae</w:t>
      </w:r>
      <w:r w:rsidR="00DB34F9" w:rsidRPr="006E6EA6">
        <w:rPr>
          <w:rFonts w:cs="Arial"/>
          <w:sz w:val="22"/>
          <w:szCs w:val="22"/>
          <w:lang w:val="es-ES"/>
        </w:rPr>
        <w:t xml:space="preserve"> en el juez nacional; sino en el acto</w:t>
      </w:r>
      <w:r w:rsidR="00043A70" w:rsidRPr="006E6EA6">
        <w:rPr>
          <w:rFonts w:cs="Arial"/>
          <w:sz w:val="22"/>
          <w:szCs w:val="22"/>
          <w:lang w:val="es-ES"/>
        </w:rPr>
        <w:t>r</w:t>
      </w:r>
      <w:r w:rsidR="00DB34F9" w:rsidRPr="006E6EA6">
        <w:rPr>
          <w:rFonts w:cs="Arial"/>
          <w:sz w:val="22"/>
          <w:szCs w:val="22"/>
          <w:lang w:val="es-ES"/>
        </w:rPr>
        <w:t xml:space="preserve"> (</w:t>
      </w:r>
      <w:r w:rsidR="00043A70" w:rsidRPr="006E6EA6">
        <w:rPr>
          <w:rFonts w:cs="Arial"/>
          <w:sz w:val="22"/>
          <w:szCs w:val="22"/>
          <w:lang w:val="es-ES"/>
        </w:rPr>
        <w:t>en el presente caso,</w:t>
      </w:r>
      <w:r w:rsidR="00DB34F9" w:rsidRPr="006E6EA6">
        <w:rPr>
          <w:rFonts w:cs="Arial"/>
          <w:sz w:val="22"/>
          <w:szCs w:val="22"/>
          <w:lang w:val="es-ES"/>
        </w:rPr>
        <w:t xml:space="preserve"> INDUALCA). Así, no </w:t>
      </w:r>
      <w:r w:rsidR="00043A70" w:rsidRPr="006E6EA6">
        <w:rPr>
          <w:rFonts w:cs="Arial"/>
          <w:sz w:val="22"/>
          <w:szCs w:val="22"/>
          <w:lang w:val="es-ES"/>
        </w:rPr>
        <w:t xml:space="preserve">es al juez </w:t>
      </w:r>
      <w:r w:rsidR="00DB34F9" w:rsidRPr="006E6EA6">
        <w:rPr>
          <w:rFonts w:cs="Arial"/>
          <w:sz w:val="22"/>
          <w:szCs w:val="22"/>
          <w:lang w:val="es-ES"/>
        </w:rPr>
        <w:t xml:space="preserve">nacional </w:t>
      </w:r>
      <w:r w:rsidR="00043A70" w:rsidRPr="006E6EA6">
        <w:rPr>
          <w:rFonts w:cs="Arial"/>
          <w:sz w:val="22"/>
          <w:szCs w:val="22"/>
          <w:lang w:val="es-ES"/>
        </w:rPr>
        <w:t xml:space="preserve">a quien se le impone la obligación </w:t>
      </w:r>
      <w:r w:rsidR="00DB34F9" w:rsidRPr="006E6EA6">
        <w:rPr>
          <w:rFonts w:cs="Arial"/>
          <w:sz w:val="22"/>
          <w:szCs w:val="22"/>
          <w:lang w:val="es-ES"/>
        </w:rPr>
        <w:t>de solicitar dicha informació</w:t>
      </w:r>
      <w:r w:rsidR="00981727" w:rsidRPr="006E6EA6">
        <w:rPr>
          <w:rFonts w:cs="Arial"/>
          <w:sz w:val="22"/>
          <w:szCs w:val="22"/>
          <w:lang w:val="es-ES"/>
        </w:rPr>
        <w:t xml:space="preserve">n en determinada etapa procesal; </w:t>
      </w:r>
      <w:r w:rsidR="00981727" w:rsidRPr="006E6EA6">
        <w:rPr>
          <w:rFonts w:cs="Arial"/>
          <w:sz w:val="22"/>
          <w:szCs w:val="22"/>
          <w:lang w:val="es-ES"/>
        </w:rPr>
        <w:lastRenderedPageBreak/>
        <w:t>sino es l</w:t>
      </w:r>
      <w:r w:rsidR="00FB1170" w:rsidRPr="006E6EA6">
        <w:rPr>
          <w:rFonts w:cs="Arial"/>
          <w:sz w:val="22"/>
          <w:szCs w:val="22"/>
          <w:lang w:val="es-ES"/>
        </w:rPr>
        <w:t>a</w:t>
      </w:r>
      <w:r w:rsidR="00981727" w:rsidRPr="006E6EA6">
        <w:rPr>
          <w:rFonts w:cs="Arial"/>
          <w:sz w:val="22"/>
          <w:szCs w:val="22"/>
          <w:lang w:val="es-ES"/>
        </w:rPr>
        <w:t xml:space="preserve"> reclamante quien “deb</w:t>
      </w:r>
      <w:r w:rsidR="00FB1170" w:rsidRPr="006E6EA6">
        <w:rPr>
          <w:rFonts w:cs="Arial"/>
          <w:sz w:val="22"/>
          <w:szCs w:val="22"/>
          <w:lang w:val="es-ES"/>
        </w:rPr>
        <w:t>ió</w:t>
      </w:r>
      <w:r w:rsidR="00981727" w:rsidRPr="006E6EA6">
        <w:rPr>
          <w:rFonts w:cs="Arial"/>
          <w:sz w:val="22"/>
          <w:szCs w:val="22"/>
          <w:lang w:val="es-ES"/>
        </w:rPr>
        <w:t xml:space="preserve"> aportar igualmente la cuantía de los daños y perjuicios en referencia o, al menos, las bases para fijarla.”</w:t>
      </w:r>
    </w:p>
    <w:p w:rsidR="00981727" w:rsidRPr="006E6EA6" w:rsidRDefault="00981727" w:rsidP="00981727">
      <w:pPr>
        <w:pStyle w:val="Prrafodelista"/>
        <w:spacing w:line="240" w:lineRule="auto"/>
        <w:rPr>
          <w:rFonts w:cs="Arial"/>
          <w:sz w:val="22"/>
          <w:szCs w:val="22"/>
          <w:lang w:val="es-ES"/>
        </w:rPr>
      </w:pPr>
    </w:p>
    <w:p w:rsidR="009A21DC" w:rsidRPr="006E6EA6" w:rsidRDefault="00981727"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En consideración a ello, mediante Comunicación No. SG/E/SJ/1742/2018 de fecha 10 de septiembre de 2018, la Secretaría General requirió a la reclamante que precise con claridad si hubo etapa procesal en el proceso interno para que aportara la información sobre la cuantía de daños y perjuicios o si se le denegó la presentación de la misma.</w:t>
      </w:r>
      <w:r w:rsidR="002B05AC" w:rsidRPr="006E6EA6">
        <w:rPr>
          <w:rFonts w:cs="Arial"/>
          <w:sz w:val="22"/>
          <w:szCs w:val="22"/>
          <w:lang w:val="es-ES"/>
        </w:rPr>
        <w:t xml:space="preserve"> Como respuesta a dicho requerimiento</w:t>
      </w:r>
      <w:r w:rsidR="009A21DC" w:rsidRPr="006E6EA6">
        <w:rPr>
          <w:rFonts w:cs="Arial"/>
          <w:sz w:val="22"/>
          <w:szCs w:val="22"/>
          <w:lang w:val="es-ES"/>
        </w:rPr>
        <w:t>, la reclamante manifes</w:t>
      </w:r>
      <w:r w:rsidR="00F00C65" w:rsidRPr="006E6EA6">
        <w:rPr>
          <w:rFonts w:cs="Arial"/>
          <w:sz w:val="22"/>
          <w:szCs w:val="22"/>
          <w:lang w:val="es-ES"/>
        </w:rPr>
        <w:t>tó lo siguiente</w:t>
      </w:r>
      <w:r w:rsidR="009A21DC" w:rsidRPr="006E6EA6">
        <w:rPr>
          <w:rFonts w:cs="Arial"/>
          <w:sz w:val="22"/>
          <w:szCs w:val="22"/>
          <w:lang w:val="es-ES"/>
        </w:rPr>
        <w:t>:</w:t>
      </w:r>
    </w:p>
    <w:p w:rsidR="00D016B3" w:rsidRPr="006E6EA6" w:rsidRDefault="00D016B3" w:rsidP="005D34F8">
      <w:pPr>
        <w:spacing w:line="240" w:lineRule="auto"/>
        <w:ind w:left="426" w:hanging="426"/>
        <w:rPr>
          <w:rFonts w:cs="Arial"/>
          <w:sz w:val="22"/>
          <w:szCs w:val="22"/>
          <w:lang w:val="es-ES"/>
        </w:rPr>
      </w:pPr>
    </w:p>
    <w:p w:rsidR="00D016B3" w:rsidRPr="006E6EA6" w:rsidRDefault="00D016B3" w:rsidP="005D34F8">
      <w:pPr>
        <w:pStyle w:val="Prrafodelista"/>
        <w:widowControl/>
        <w:adjustRightInd/>
        <w:spacing w:line="240" w:lineRule="auto"/>
        <w:ind w:left="851"/>
        <w:contextualSpacing w:val="0"/>
        <w:textAlignment w:val="auto"/>
        <w:rPr>
          <w:rFonts w:cs="Arial"/>
          <w:i/>
          <w:sz w:val="22"/>
          <w:szCs w:val="22"/>
          <w:lang w:val="es-ES"/>
        </w:rPr>
      </w:pPr>
      <w:r w:rsidRPr="006E6EA6">
        <w:rPr>
          <w:rFonts w:cs="Arial"/>
          <w:sz w:val="22"/>
          <w:szCs w:val="22"/>
          <w:lang w:val="es-ES"/>
        </w:rPr>
        <w:t>“</w:t>
      </w:r>
      <w:r w:rsidRPr="006E6EA6">
        <w:rPr>
          <w:rFonts w:cs="Arial"/>
          <w:i/>
          <w:sz w:val="22"/>
          <w:szCs w:val="22"/>
          <w:lang w:val="es-ES"/>
        </w:rPr>
        <w:t>Respecto a que se indique que no hubo etapa procesal para que aportare información sobre la cuantía de los daños y perjuicios, o que se le denegó la presentación de la misma, debemos expresar a su Autoridad que si bien la sentencia dispuso que el monto de indemnización deberá ser cuantificada liquidada y pagada previo al correspondiente cálculo pericial, no dispuso que se cuente con la información que debía proporcionar el afectado sobre la cuantía de los daños y perjuicios o, al menos las base para fijarlas.</w:t>
      </w:r>
      <w:r w:rsidRPr="006E6EA6">
        <w:rPr>
          <w:rStyle w:val="Refdenotaalpie"/>
          <w:rFonts w:cs="Arial"/>
          <w:sz w:val="22"/>
          <w:szCs w:val="22"/>
          <w:lang w:val="es-ES"/>
        </w:rPr>
        <w:footnoteReference w:id="50"/>
      </w:r>
    </w:p>
    <w:p w:rsidR="00D016B3" w:rsidRPr="006E6EA6" w:rsidRDefault="00D016B3" w:rsidP="00981727">
      <w:pPr>
        <w:pStyle w:val="Prrafodelista"/>
        <w:widowControl/>
        <w:adjustRightInd/>
        <w:spacing w:line="240" w:lineRule="auto"/>
        <w:ind w:left="1495"/>
        <w:contextualSpacing w:val="0"/>
        <w:textAlignment w:val="auto"/>
        <w:rPr>
          <w:rFonts w:cs="Arial"/>
          <w:i/>
          <w:sz w:val="22"/>
          <w:szCs w:val="22"/>
          <w:lang w:val="es-ES"/>
        </w:rPr>
      </w:pPr>
    </w:p>
    <w:p w:rsidR="00D016B3" w:rsidRPr="006E6EA6" w:rsidRDefault="00D016B3"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Como se puede </w:t>
      </w:r>
      <w:r w:rsidR="00AF3511" w:rsidRPr="006E6EA6">
        <w:rPr>
          <w:rFonts w:cs="Arial"/>
          <w:sz w:val="22"/>
          <w:szCs w:val="22"/>
          <w:lang w:val="es-ES"/>
        </w:rPr>
        <w:t>notar</w:t>
      </w:r>
      <w:r w:rsidRPr="006E6EA6">
        <w:rPr>
          <w:rFonts w:cs="Arial"/>
          <w:sz w:val="22"/>
          <w:szCs w:val="22"/>
          <w:lang w:val="es-ES"/>
        </w:rPr>
        <w:t>, la reclamante no precisó de manera clara si hubo</w:t>
      </w:r>
      <w:r w:rsidR="001C55E8" w:rsidRPr="006E6EA6">
        <w:rPr>
          <w:rFonts w:cs="Arial"/>
          <w:sz w:val="22"/>
          <w:szCs w:val="22"/>
          <w:lang w:val="es-ES"/>
        </w:rPr>
        <w:t xml:space="preserve"> o no</w:t>
      </w:r>
      <w:r w:rsidR="00250A05" w:rsidRPr="006E6EA6">
        <w:rPr>
          <w:rFonts w:cs="Arial"/>
          <w:sz w:val="22"/>
          <w:szCs w:val="22"/>
          <w:lang w:val="es-ES"/>
        </w:rPr>
        <w:t xml:space="preserve"> etapa procesal</w:t>
      </w:r>
      <w:r w:rsidRPr="006E6EA6">
        <w:rPr>
          <w:rFonts w:cs="Arial"/>
          <w:sz w:val="22"/>
          <w:szCs w:val="22"/>
          <w:lang w:val="es-ES"/>
        </w:rPr>
        <w:t xml:space="preserve"> durante el proceso interno, para que presente todos los elementos de prueba que considere necesario, como la información relativa a la cuantía de los daños y perjuicios; y tampoco precisó si se le denegó la pre</w:t>
      </w:r>
      <w:r w:rsidR="001C55E8" w:rsidRPr="006E6EA6">
        <w:rPr>
          <w:rFonts w:cs="Arial"/>
          <w:sz w:val="22"/>
          <w:szCs w:val="22"/>
          <w:lang w:val="es-ES"/>
        </w:rPr>
        <w:t>sentación de dicha información.</w:t>
      </w:r>
    </w:p>
    <w:p w:rsidR="00D016B3" w:rsidRPr="006E6EA6" w:rsidRDefault="00D016B3" w:rsidP="005D34F8">
      <w:pPr>
        <w:pStyle w:val="Prrafodelista"/>
        <w:widowControl/>
        <w:adjustRightInd/>
        <w:spacing w:line="240" w:lineRule="auto"/>
        <w:ind w:left="426" w:hanging="426"/>
        <w:contextualSpacing w:val="0"/>
        <w:textAlignment w:val="auto"/>
        <w:rPr>
          <w:rFonts w:cs="Arial"/>
          <w:sz w:val="22"/>
          <w:szCs w:val="22"/>
          <w:lang w:val="es-ES"/>
        </w:rPr>
      </w:pPr>
    </w:p>
    <w:p w:rsidR="00446EC1" w:rsidRPr="006E6EA6" w:rsidRDefault="001C55E8"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En ese sentido, </w:t>
      </w:r>
      <w:r w:rsidR="00E87DD4" w:rsidRPr="006E6EA6">
        <w:rPr>
          <w:rFonts w:cs="Arial"/>
          <w:sz w:val="22"/>
          <w:szCs w:val="22"/>
          <w:lang w:val="es-ES"/>
        </w:rPr>
        <w:t xml:space="preserve">esta Secretaría General considera </w:t>
      </w:r>
      <w:r w:rsidR="00FB1170" w:rsidRPr="006E6EA6">
        <w:rPr>
          <w:rFonts w:cs="Arial"/>
          <w:sz w:val="22"/>
          <w:szCs w:val="22"/>
          <w:lang w:val="es-ES"/>
        </w:rPr>
        <w:t xml:space="preserve">además </w:t>
      </w:r>
      <w:r w:rsidR="00E87DD4" w:rsidRPr="006E6EA6">
        <w:rPr>
          <w:rFonts w:cs="Arial"/>
          <w:sz w:val="22"/>
          <w:szCs w:val="22"/>
          <w:lang w:val="es-ES"/>
        </w:rPr>
        <w:t xml:space="preserve">que </w:t>
      </w:r>
      <w:r w:rsidRPr="006E6EA6">
        <w:rPr>
          <w:rFonts w:cs="Arial"/>
          <w:sz w:val="22"/>
          <w:szCs w:val="22"/>
          <w:lang w:val="es-ES"/>
        </w:rPr>
        <w:t xml:space="preserve">la reclamante no ha acreditado que durante el proceso interno no se haya presentado etapa procesal para que aportara la información relativa al cálculo de daños y perjuicios, ni que se le haya denegado la presentación de la referida información. Ello, </w:t>
      </w:r>
      <w:r w:rsidR="00E87DD4" w:rsidRPr="006E6EA6">
        <w:rPr>
          <w:rFonts w:cs="Arial"/>
          <w:i/>
          <w:sz w:val="22"/>
          <w:szCs w:val="22"/>
          <w:lang w:val="es-ES"/>
        </w:rPr>
        <w:t>máxime</w:t>
      </w:r>
      <w:r w:rsidRPr="006E6EA6">
        <w:rPr>
          <w:rFonts w:cs="Arial"/>
          <w:i/>
          <w:sz w:val="22"/>
          <w:szCs w:val="22"/>
          <w:lang w:val="es-ES"/>
        </w:rPr>
        <w:t xml:space="preserve"> </w:t>
      </w:r>
      <w:r w:rsidRPr="006E6EA6">
        <w:rPr>
          <w:rFonts w:cs="Arial"/>
          <w:sz w:val="22"/>
          <w:szCs w:val="22"/>
          <w:lang w:val="es-ES"/>
        </w:rPr>
        <w:t xml:space="preserve">si se toma en cuenta lo señalado por la </w:t>
      </w:r>
      <w:r w:rsidR="00D016B3" w:rsidRPr="006E6EA6">
        <w:rPr>
          <w:rFonts w:cs="Arial"/>
          <w:sz w:val="22"/>
          <w:szCs w:val="22"/>
          <w:lang w:val="es-ES"/>
        </w:rPr>
        <w:t xml:space="preserve">Sala </w:t>
      </w:r>
      <w:r w:rsidR="00446EC1" w:rsidRPr="006E6EA6">
        <w:rPr>
          <w:rFonts w:cs="Arial"/>
          <w:sz w:val="22"/>
          <w:szCs w:val="22"/>
          <w:lang w:val="es-ES"/>
        </w:rPr>
        <w:t>Especializada de lo Contencioso Administrativo, en la Resolución No. 1270-2016</w:t>
      </w:r>
      <w:r w:rsidR="005D1C61" w:rsidRPr="006E6EA6">
        <w:rPr>
          <w:rFonts w:cs="Arial"/>
          <w:sz w:val="22"/>
          <w:szCs w:val="22"/>
          <w:lang w:val="es-ES"/>
        </w:rPr>
        <w:t>, emi</w:t>
      </w:r>
      <w:r w:rsidRPr="006E6EA6">
        <w:rPr>
          <w:rFonts w:cs="Arial"/>
          <w:sz w:val="22"/>
          <w:szCs w:val="22"/>
          <w:lang w:val="es-ES"/>
        </w:rPr>
        <w:t>tida el 21 de noviembre de 2016:</w:t>
      </w:r>
    </w:p>
    <w:p w:rsidR="001C55E8" w:rsidRPr="006E6EA6" w:rsidRDefault="001C55E8" w:rsidP="00981727">
      <w:pPr>
        <w:pStyle w:val="Prrafodelista"/>
        <w:widowControl/>
        <w:adjustRightInd/>
        <w:spacing w:line="240" w:lineRule="auto"/>
        <w:ind w:left="0"/>
        <w:contextualSpacing w:val="0"/>
        <w:textAlignment w:val="auto"/>
        <w:rPr>
          <w:rFonts w:cs="Arial"/>
          <w:sz w:val="22"/>
          <w:szCs w:val="22"/>
          <w:lang w:val="es-ES"/>
        </w:rPr>
      </w:pPr>
    </w:p>
    <w:p w:rsidR="00D016B3" w:rsidRPr="006E6EA6" w:rsidRDefault="00446EC1" w:rsidP="005D34F8">
      <w:pPr>
        <w:pStyle w:val="Prrafodelista"/>
        <w:widowControl/>
        <w:adjustRightInd/>
        <w:spacing w:line="240" w:lineRule="auto"/>
        <w:ind w:left="851"/>
        <w:contextualSpacing w:val="0"/>
        <w:textAlignment w:val="auto"/>
        <w:rPr>
          <w:rFonts w:cs="Arial"/>
          <w:sz w:val="22"/>
          <w:szCs w:val="22"/>
          <w:lang w:val="es-ES"/>
        </w:rPr>
      </w:pPr>
      <w:r w:rsidRPr="006E6EA6">
        <w:rPr>
          <w:rFonts w:cs="Arial"/>
          <w:sz w:val="22"/>
          <w:szCs w:val="22"/>
          <w:lang w:val="es-ES"/>
        </w:rPr>
        <w:t xml:space="preserve">“(…) </w:t>
      </w:r>
      <w:r w:rsidR="00D016B3" w:rsidRPr="006E6EA6">
        <w:rPr>
          <w:rFonts w:cs="Arial"/>
          <w:i/>
          <w:sz w:val="22"/>
          <w:szCs w:val="22"/>
          <w:lang w:val="es-ES"/>
        </w:rPr>
        <w:t>Si bien el Tribunal de Instancia no e</w:t>
      </w:r>
      <w:r w:rsidRPr="006E6EA6">
        <w:rPr>
          <w:rFonts w:cs="Arial"/>
          <w:i/>
          <w:sz w:val="22"/>
          <w:szCs w:val="22"/>
          <w:lang w:val="es-ES"/>
        </w:rPr>
        <w:t>stablece un monto específico, sí</w:t>
      </w:r>
      <w:r w:rsidR="00D016B3" w:rsidRPr="006E6EA6">
        <w:rPr>
          <w:rFonts w:cs="Arial"/>
          <w:i/>
          <w:sz w:val="22"/>
          <w:szCs w:val="22"/>
          <w:lang w:val="es-ES"/>
        </w:rPr>
        <w:t xml:space="preserve"> indica las bases sobre las cuales se han de calcular los mencionados rubros, los cuales tienen que ser liquidados, calculados por un perito, </w:t>
      </w:r>
      <w:r w:rsidR="00D016B3" w:rsidRPr="006E6EA6">
        <w:rPr>
          <w:rFonts w:cs="Arial"/>
          <w:i/>
          <w:sz w:val="22"/>
          <w:szCs w:val="22"/>
          <w:u w:val="single"/>
          <w:lang w:val="es-ES"/>
        </w:rPr>
        <w:t>dejándose abierta la posibilidad de fijarse de acuerdo a criterios probatorios desde la fase de ejecución de la sentencia impugna</w:t>
      </w:r>
      <w:r w:rsidR="00D016B3" w:rsidRPr="006E6EA6">
        <w:rPr>
          <w:rFonts w:cs="Arial"/>
          <w:sz w:val="22"/>
          <w:szCs w:val="22"/>
          <w:lang w:val="es-ES"/>
        </w:rPr>
        <w:t>.</w:t>
      </w:r>
      <w:r w:rsidRPr="006E6EA6">
        <w:rPr>
          <w:rFonts w:cs="Arial"/>
          <w:sz w:val="22"/>
          <w:szCs w:val="22"/>
          <w:lang w:val="es-ES"/>
        </w:rPr>
        <w:t>”</w:t>
      </w:r>
      <w:r w:rsidR="00754BEF" w:rsidRPr="006E6EA6">
        <w:rPr>
          <w:rStyle w:val="Refdenotaalpie"/>
          <w:rFonts w:cs="Arial"/>
          <w:sz w:val="22"/>
          <w:szCs w:val="22"/>
          <w:lang w:val="es-ES"/>
        </w:rPr>
        <w:footnoteReference w:id="51"/>
      </w:r>
      <w:r w:rsidRPr="006E6EA6">
        <w:rPr>
          <w:rFonts w:cs="Arial"/>
          <w:sz w:val="22"/>
          <w:szCs w:val="22"/>
          <w:lang w:val="es-ES"/>
        </w:rPr>
        <w:t xml:space="preserve"> (Énfasis agregado)</w:t>
      </w:r>
    </w:p>
    <w:p w:rsidR="00D016B3" w:rsidRPr="006E6EA6" w:rsidRDefault="00D016B3" w:rsidP="00981727">
      <w:pPr>
        <w:pStyle w:val="Prrafodelista"/>
        <w:widowControl/>
        <w:adjustRightInd/>
        <w:spacing w:line="240" w:lineRule="auto"/>
        <w:ind w:left="0"/>
        <w:contextualSpacing w:val="0"/>
        <w:textAlignment w:val="auto"/>
        <w:rPr>
          <w:rFonts w:cs="Arial"/>
          <w:sz w:val="22"/>
          <w:szCs w:val="22"/>
          <w:lang w:val="es-ES"/>
        </w:rPr>
      </w:pPr>
    </w:p>
    <w:p w:rsidR="001C55E8" w:rsidRPr="006E6EA6" w:rsidRDefault="00754BEF" w:rsidP="005D34F8">
      <w:pPr>
        <w:pStyle w:val="Prrafodelista"/>
        <w:widowControl/>
        <w:numPr>
          <w:ilvl w:val="0"/>
          <w:numId w:val="1"/>
        </w:numPr>
        <w:adjustRightInd/>
        <w:spacing w:line="240" w:lineRule="auto"/>
        <w:ind w:left="426" w:hanging="426"/>
        <w:contextualSpacing w:val="0"/>
        <w:textAlignment w:val="auto"/>
        <w:rPr>
          <w:rFonts w:cs="Arial"/>
          <w:sz w:val="22"/>
          <w:szCs w:val="22"/>
        </w:rPr>
      </w:pPr>
      <w:r w:rsidRPr="006E6EA6">
        <w:rPr>
          <w:rFonts w:cs="Arial"/>
          <w:sz w:val="22"/>
          <w:szCs w:val="22"/>
          <w:lang w:val="es-ES"/>
        </w:rPr>
        <w:t xml:space="preserve">De la lectura de lo señalado por la Sala Especializada de lo Contencioso Administrativo, </w:t>
      </w:r>
      <w:r w:rsidR="005D1C61" w:rsidRPr="006E6EA6">
        <w:rPr>
          <w:rFonts w:cs="Arial"/>
          <w:sz w:val="22"/>
          <w:szCs w:val="22"/>
          <w:lang w:val="es-ES"/>
        </w:rPr>
        <w:t xml:space="preserve">podría </w:t>
      </w:r>
      <w:r w:rsidR="001C55E8" w:rsidRPr="006E6EA6">
        <w:rPr>
          <w:rFonts w:cs="Arial"/>
          <w:sz w:val="22"/>
          <w:szCs w:val="22"/>
          <w:lang w:val="es-ES"/>
        </w:rPr>
        <w:t>inferirse</w:t>
      </w:r>
      <w:r w:rsidR="005D1C61" w:rsidRPr="006E6EA6">
        <w:rPr>
          <w:rFonts w:cs="Arial"/>
          <w:sz w:val="22"/>
          <w:szCs w:val="22"/>
          <w:lang w:val="es-ES"/>
        </w:rPr>
        <w:t xml:space="preserve"> </w:t>
      </w:r>
      <w:r w:rsidR="001C55E8" w:rsidRPr="006E6EA6">
        <w:rPr>
          <w:rFonts w:cs="Arial"/>
          <w:sz w:val="22"/>
          <w:szCs w:val="22"/>
          <w:lang w:val="es-ES"/>
        </w:rPr>
        <w:t>que en el proceso interno se habría presentado una oportunidad procesal para que la</w:t>
      </w:r>
      <w:r w:rsidR="001C55E8" w:rsidRPr="006E6EA6">
        <w:rPr>
          <w:rFonts w:cs="Arial"/>
          <w:sz w:val="22"/>
          <w:szCs w:val="22"/>
        </w:rPr>
        <w:t xml:space="preserve"> reclamante aporte información sobre la cuantía de los daños y perjuicios ocasionados.</w:t>
      </w:r>
    </w:p>
    <w:p w:rsidR="001C55E8" w:rsidRPr="006E6EA6" w:rsidRDefault="001C55E8" w:rsidP="005D34F8">
      <w:pPr>
        <w:pStyle w:val="Prrafodelista"/>
        <w:widowControl/>
        <w:adjustRightInd/>
        <w:spacing w:line="240" w:lineRule="auto"/>
        <w:ind w:left="426" w:hanging="426"/>
        <w:contextualSpacing w:val="0"/>
        <w:textAlignment w:val="auto"/>
        <w:rPr>
          <w:rFonts w:cs="Arial"/>
          <w:sz w:val="22"/>
          <w:szCs w:val="22"/>
          <w:lang w:val="es-ES"/>
        </w:rPr>
      </w:pPr>
    </w:p>
    <w:p w:rsidR="00A729FE" w:rsidRPr="006E6EA6" w:rsidRDefault="00A729FE" w:rsidP="005D34F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Por otro lado, esta Secretaría General considera que la reclamada no presentó los elementos de prueba suficientes que demuestren que la República del Ecuador ha contravenido el sentido y alcance de lo dispuesto en la interpretación prejudicial del Proceso No. 04-IP-2013.</w:t>
      </w:r>
    </w:p>
    <w:p w:rsidR="00A729FE" w:rsidRPr="006E6EA6" w:rsidRDefault="00A729FE" w:rsidP="00981727">
      <w:pPr>
        <w:pStyle w:val="Prrafodelista"/>
        <w:widowControl/>
        <w:adjustRightInd/>
        <w:spacing w:line="240" w:lineRule="auto"/>
        <w:ind w:left="0"/>
        <w:contextualSpacing w:val="0"/>
        <w:textAlignment w:val="auto"/>
        <w:rPr>
          <w:rFonts w:cs="Arial"/>
          <w:sz w:val="22"/>
          <w:szCs w:val="22"/>
          <w:lang w:val="es-ES"/>
        </w:rPr>
      </w:pPr>
    </w:p>
    <w:p w:rsidR="00560F7E" w:rsidRPr="006E6EA6" w:rsidRDefault="00F00C65" w:rsidP="001E3C4E">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Al respecto, c</w:t>
      </w:r>
      <w:r w:rsidR="00A729FE" w:rsidRPr="006E6EA6">
        <w:rPr>
          <w:rFonts w:cs="Arial"/>
          <w:sz w:val="22"/>
          <w:szCs w:val="22"/>
          <w:lang w:val="es-ES"/>
        </w:rPr>
        <w:t xml:space="preserve">abe indicar que mediante Comunicación No. SG/E/SJ/1918 de fecha 3 de octubre de 2018, la Secretaría General requirió al reclamante, para mejor resolver, que presentase copia de todo lo actuado en el expediente nacional (escritos presentados por todas las partes, providencias, etc.), luego de la emisión de la </w:t>
      </w:r>
      <w:r w:rsidR="00A729FE" w:rsidRPr="006E6EA6">
        <w:rPr>
          <w:rFonts w:cs="Arial"/>
          <w:sz w:val="22"/>
          <w:szCs w:val="22"/>
          <w:lang w:val="es-ES"/>
        </w:rPr>
        <w:lastRenderedPageBreak/>
        <w:t>sentencia del 21 de octubre de 2014, para efectos del análisis correspondiente sobre las cuestiones de fon</w:t>
      </w:r>
      <w:r w:rsidR="00CB3159" w:rsidRPr="006E6EA6">
        <w:rPr>
          <w:rFonts w:cs="Arial"/>
          <w:sz w:val="22"/>
          <w:szCs w:val="22"/>
          <w:lang w:val="es-ES"/>
        </w:rPr>
        <w:t>d</w:t>
      </w:r>
      <w:r w:rsidR="00A729FE" w:rsidRPr="006E6EA6">
        <w:rPr>
          <w:rFonts w:cs="Arial"/>
          <w:sz w:val="22"/>
          <w:szCs w:val="22"/>
          <w:lang w:val="es-ES"/>
        </w:rPr>
        <w:t xml:space="preserve">o. Sin embargo, la reclamada no cumplió con </w:t>
      </w:r>
      <w:r w:rsidR="00CB3159" w:rsidRPr="006E6EA6">
        <w:rPr>
          <w:rFonts w:cs="Arial"/>
          <w:sz w:val="22"/>
          <w:szCs w:val="22"/>
          <w:lang w:val="es-ES"/>
        </w:rPr>
        <w:t xml:space="preserve">atender </w:t>
      </w:r>
      <w:r w:rsidR="00A729FE" w:rsidRPr="006E6EA6">
        <w:rPr>
          <w:rFonts w:cs="Arial"/>
          <w:sz w:val="22"/>
          <w:szCs w:val="22"/>
          <w:lang w:val="es-ES"/>
        </w:rPr>
        <w:t>dicho requerimiento.</w:t>
      </w:r>
    </w:p>
    <w:p w:rsidR="00560F7E" w:rsidRPr="006E6EA6" w:rsidRDefault="00560F7E" w:rsidP="001E3C4E">
      <w:pPr>
        <w:pStyle w:val="Prrafodelista"/>
        <w:spacing w:line="240" w:lineRule="auto"/>
        <w:ind w:left="426" w:hanging="426"/>
        <w:rPr>
          <w:rFonts w:cs="Arial"/>
          <w:sz w:val="22"/>
          <w:szCs w:val="22"/>
          <w:lang w:val="es-ES"/>
        </w:rPr>
      </w:pPr>
    </w:p>
    <w:p w:rsidR="00560F7E" w:rsidRPr="006E6EA6" w:rsidRDefault="00560F7E" w:rsidP="001E3C4E">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Por lo expuesto, se concluye que </w:t>
      </w:r>
      <w:r w:rsidRPr="006E6EA6">
        <w:rPr>
          <w:rFonts w:cs="Arial"/>
          <w:sz w:val="22"/>
          <w:szCs w:val="22"/>
        </w:rPr>
        <w:t xml:space="preserve">no se verifica que el juez nacional ecuatoriano haya incumplido con adoptar la Interpretación Prejudicial del Proceso 04-IP-2013, por lo que no se configura el incumplimiento del artículo 35 del Tratado de Creación del TJCA y el artículo 127 de la Decisión 500. </w:t>
      </w:r>
    </w:p>
    <w:p w:rsidR="0015161B" w:rsidRPr="006E6EA6" w:rsidRDefault="0015161B" w:rsidP="00981727">
      <w:pPr>
        <w:widowControl/>
        <w:adjustRightInd/>
        <w:spacing w:line="240" w:lineRule="auto"/>
        <w:textAlignment w:val="auto"/>
        <w:rPr>
          <w:rFonts w:cs="Arial"/>
          <w:sz w:val="22"/>
          <w:szCs w:val="22"/>
        </w:rPr>
      </w:pPr>
    </w:p>
    <w:p w:rsidR="00AD1C19" w:rsidRPr="006E6EA6" w:rsidRDefault="00AD1C19" w:rsidP="001E3C4E">
      <w:pPr>
        <w:pStyle w:val="Prrafodelista"/>
        <w:numPr>
          <w:ilvl w:val="1"/>
          <w:numId w:val="25"/>
        </w:numPr>
        <w:spacing w:line="240" w:lineRule="auto"/>
        <w:ind w:left="426" w:hanging="426"/>
        <w:rPr>
          <w:rFonts w:cs="Arial"/>
          <w:b/>
          <w:sz w:val="22"/>
          <w:szCs w:val="22"/>
        </w:rPr>
      </w:pPr>
      <w:r w:rsidRPr="006E6EA6">
        <w:rPr>
          <w:rFonts w:cs="Arial"/>
          <w:b/>
          <w:bCs/>
          <w:sz w:val="22"/>
          <w:szCs w:val="22"/>
        </w:rPr>
        <w:t>Sobre el alegado incumplimiento de</w:t>
      </w:r>
      <w:r w:rsidR="00F03A89" w:rsidRPr="006E6EA6">
        <w:rPr>
          <w:rFonts w:cs="Arial"/>
          <w:b/>
          <w:bCs/>
          <w:sz w:val="22"/>
          <w:szCs w:val="22"/>
        </w:rPr>
        <w:t xml:space="preserve"> </w:t>
      </w:r>
      <w:r w:rsidR="00DB3E2B" w:rsidRPr="006E6EA6">
        <w:rPr>
          <w:rFonts w:cs="Arial"/>
          <w:b/>
          <w:bCs/>
          <w:sz w:val="22"/>
          <w:szCs w:val="22"/>
        </w:rPr>
        <w:t>l</w:t>
      </w:r>
      <w:r w:rsidR="00F03A89" w:rsidRPr="006E6EA6">
        <w:rPr>
          <w:rFonts w:cs="Arial"/>
          <w:b/>
          <w:bCs/>
          <w:sz w:val="22"/>
          <w:szCs w:val="22"/>
        </w:rPr>
        <w:t>os</w:t>
      </w:r>
      <w:r w:rsidRPr="006E6EA6">
        <w:rPr>
          <w:rFonts w:cs="Arial"/>
          <w:b/>
          <w:bCs/>
          <w:sz w:val="22"/>
          <w:szCs w:val="22"/>
        </w:rPr>
        <w:t xml:space="preserve"> artículo</w:t>
      </w:r>
      <w:r w:rsidR="00F03A89" w:rsidRPr="006E6EA6">
        <w:rPr>
          <w:rFonts w:cs="Arial"/>
          <w:b/>
          <w:bCs/>
          <w:sz w:val="22"/>
          <w:szCs w:val="22"/>
        </w:rPr>
        <w:t>s 4 y</w:t>
      </w:r>
      <w:r w:rsidR="00DB3E2B" w:rsidRPr="006E6EA6">
        <w:rPr>
          <w:rFonts w:cs="Arial"/>
          <w:b/>
          <w:bCs/>
          <w:sz w:val="22"/>
          <w:szCs w:val="22"/>
        </w:rPr>
        <w:t xml:space="preserve"> 36</w:t>
      </w:r>
      <w:r w:rsidRPr="006E6EA6">
        <w:rPr>
          <w:rFonts w:cs="Arial"/>
          <w:b/>
          <w:bCs/>
          <w:sz w:val="22"/>
          <w:szCs w:val="22"/>
        </w:rPr>
        <w:t xml:space="preserve"> del Tratado de Creación del Tribunal de Justicia de la Comunidad Andina</w:t>
      </w:r>
      <w:r w:rsidR="00F03A89" w:rsidRPr="006E6EA6">
        <w:rPr>
          <w:rFonts w:cs="Arial"/>
          <w:b/>
          <w:bCs/>
          <w:sz w:val="22"/>
          <w:szCs w:val="22"/>
        </w:rPr>
        <w:t>, y el artículo 128 del Estatuto del Tribunal de Justicia de la Comunidad Andina</w:t>
      </w:r>
    </w:p>
    <w:p w:rsidR="00AD1C19" w:rsidRPr="006E6EA6" w:rsidRDefault="00AD1C19" w:rsidP="00981727">
      <w:pPr>
        <w:spacing w:line="240" w:lineRule="auto"/>
        <w:rPr>
          <w:rFonts w:cs="Arial"/>
          <w:bCs/>
          <w:sz w:val="22"/>
          <w:szCs w:val="22"/>
        </w:rPr>
      </w:pPr>
    </w:p>
    <w:p w:rsidR="00057287" w:rsidRPr="006E6EA6" w:rsidRDefault="00057287" w:rsidP="00490E0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En el escrito de reclamo, la reclamante ha señalado que la República del Ecuador incumple lo dispuesto en los </w:t>
      </w:r>
      <w:r w:rsidRPr="006E6EA6">
        <w:rPr>
          <w:rFonts w:cs="Arial"/>
          <w:bCs/>
          <w:sz w:val="22"/>
          <w:szCs w:val="22"/>
        </w:rPr>
        <w:t>artículos 4 y 36 del Tratado de Creación del Tribunal de Justicia de la Comunidad Andina, y el artículo 128 del Estatuto del Tribunal de Justicia de la Comunidad Andina, en los cuales se dispone lo siguiente:</w:t>
      </w:r>
    </w:p>
    <w:p w:rsidR="00057287" w:rsidRPr="006E6EA6" w:rsidRDefault="00057287" w:rsidP="00981727">
      <w:pPr>
        <w:spacing w:line="240" w:lineRule="auto"/>
        <w:rPr>
          <w:rFonts w:cs="Arial"/>
          <w:bCs/>
          <w:sz w:val="22"/>
          <w:szCs w:val="22"/>
        </w:rPr>
      </w:pPr>
    </w:p>
    <w:p w:rsidR="00292D56" w:rsidRPr="006E6EA6" w:rsidRDefault="00292D56" w:rsidP="00490E08">
      <w:pPr>
        <w:widowControl/>
        <w:adjustRightInd/>
        <w:spacing w:line="240" w:lineRule="auto"/>
        <w:ind w:left="851"/>
        <w:textAlignment w:val="auto"/>
        <w:rPr>
          <w:rFonts w:cs="Arial"/>
          <w:i/>
          <w:sz w:val="22"/>
          <w:szCs w:val="22"/>
          <w:shd w:val="clear" w:color="auto" w:fill="FFFFFF"/>
        </w:rPr>
      </w:pPr>
      <w:r w:rsidRPr="006E6EA6">
        <w:rPr>
          <w:rFonts w:cs="Arial"/>
          <w:sz w:val="22"/>
          <w:szCs w:val="22"/>
          <w:shd w:val="clear" w:color="auto" w:fill="FFFFFF"/>
        </w:rPr>
        <w:t>“</w:t>
      </w:r>
      <w:r w:rsidRPr="006E6EA6">
        <w:rPr>
          <w:rFonts w:cs="Arial"/>
          <w:i/>
          <w:sz w:val="22"/>
          <w:szCs w:val="22"/>
          <w:shd w:val="clear" w:color="auto" w:fill="FFFFFF"/>
        </w:rPr>
        <w:t>Artículo 4.- Los Países Miembros están obligados a adoptar las medidas que sean necesarias para asegurar el cumplimiento de las normas que conforman el ordenamiento jurídico de la Comunidad Andina.</w:t>
      </w:r>
    </w:p>
    <w:p w:rsidR="00292D56" w:rsidRPr="006E6EA6" w:rsidRDefault="00292D56" w:rsidP="00490E08">
      <w:pPr>
        <w:widowControl/>
        <w:adjustRightInd/>
        <w:spacing w:line="240" w:lineRule="auto"/>
        <w:ind w:left="851"/>
        <w:textAlignment w:val="auto"/>
        <w:rPr>
          <w:rFonts w:cs="Arial"/>
          <w:i/>
          <w:sz w:val="22"/>
          <w:szCs w:val="22"/>
          <w:shd w:val="clear" w:color="auto" w:fill="FFFFFF"/>
        </w:rPr>
      </w:pPr>
    </w:p>
    <w:p w:rsidR="00292D56" w:rsidRPr="006E6EA6" w:rsidRDefault="00292D56" w:rsidP="00490E08">
      <w:pPr>
        <w:widowControl/>
        <w:adjustRightInd/>
        <w:spacing w:line="240" w:lineRule="auto"/>
        <w:ind w:left="851"/>
        <w:textAlignment w:val="auto"/>
        <w:rPr>
          <w:rFonts w:cs="Arial"/>
          <w:i/>
          <w:sz w:val="22"/>
          <w:szCs w:val="22"/>
          <w:shd w:val="clear" w:color="auto" w:fill="FFFFFF"/>
        </w:rPr>
      </w:pPr>
      <w:r w:rsidRPr="006E6EA6">
        <w:rPr>
          <w:rFonts w:cs="Arial"/>
          <w:i/>
          <w:sz w:val="22"/>
          <w:szCs w:val="22"/>
          <w:shd w:val="clear" w:color="auto" w:fill="FFFFFF"/>
        </w:rPr>
        <w:t>Se comprometen, asimismo, a no adoptar ni emplear medida alguna que sea contraria a dichas normas o que de algún modo obstaculice su aplicación.”</w:t>
      </w:r>
    </w:p>
    <w:p w:rsidR="00292D56" w:rsidRPr="006E6EA6" w:rsidRDefault="00292D56" w:rsidP="00490E08">
      <w:pPr>
        <w:widowControl/>
        <w:adjustRightInd/>
        <w:spacing w:line="240" w:lineRule="auto"/>
        <w:ind w:left="851"/>
        <w:textAlignment w:val="auto"/>
        <w:rPr>
          <w:rFonts w:cs="Arial"/>
          <w:sz w:val="22"/>
          <w:szCs w:val="22"/>
          <w:shd w:val="clear" w:color="auto" w:fill="FFFFFF"/>
        </w:rPr>
      </w:pPr>
    </w:p>
    <w:p w:rsidR="00292D56" w:rsidRPr="006E6EA6" w:rsidRDefault="00292D56" w:rsidP="00490E08">
      <w:pPr>
        <w:widowControl/>
        <w:adjustRightInd/>
        <w:spacing w:line="240" w:lineRule="auto"/>
        <w:ind w:left="851"/>
        <w:textAlignment w:val="auto"/>
        <w:rPr>
          <w:rFonts w:cs="Arial"/>
          <w:sz w:val="22"/>
          <w:szCs w:val="22"/>
          <w:shd w:val="clear" w:color="auto" w:fill="FFFFFF"/>
        </w:rPr>
      </w:pPr>
      <w:r w:rsidRPr="006E6EA6">
        <w:rPr>
          <w:rFonts w:cs="Arial"/>
          <w:sz w:val="22"/>
          <w:szCs w:val="22"/>
          <w:shd w:val="clear" w:color="auto" w:fill="FFFFFF"/>
        </w:rPr>
        <w:t>“</w:t>
      </w:r>
      <w:r w:rsidRPr="006E6EA6">
        <w:rPr>
          <w:rFonts w:cs="Arial"/>
          <w:i/>
          <w:sz w:val="22"/>
          <w:szCs w:val="22"/>
          <w:shd w:val="clear" w:color="auto" w:fill="FFFFFF"/>
        </w:rPr>
        <w:t xml:space="preserve">Artículo 36.- Los Países Miembros de la Comunidad Andina velarán por el cumplimiento de las disposiciones del presente Tratado y en particular de la observancia por parte de los jueces nacionales a lo establecido en la presente Sección </w:t>
      </w:r>
      <w:r w:rsidRPr="006E6EA6">
        <w:rPr>
          <w:rFonts w:cs="Arial"/>
          <w:sz w:val="22"/>
          <w:szCs w:val="22"/>
          <w:shd w:val="clear" w:color="auto" w:fill="FFFFFF"/>
        </w:rPr>
        <w:t>[De la Interpretación Prejudicial]</w:t>
      </w:r>
      <w:r w:rsidRPr="006E6EA6">
        <w:rPr>
          <w:rFonts w:cs="Arial"/>
          <w:i/>
          <w:sz w:val="22"/>
          <w:szCs w:val="22"/>
          <w:shd w:val="clear" w:color="auto" w:fill="FFFFFF"/>
        </w:rPr>
        <w:t>.</w:t>
      </w:r>
      <w:r w:rsidRPr="006E6EA6">
        <w:rPr>
          <w:rFonts w:cs="Arial"/>
          <w:sz w:val="22"/>
          <w:szCs w:val="22"/>
          <w:shd w:val="clear" w:color="auto" w:fill="FFFFFF"/>
        </w:rPr>
        <w:t>”</w:t>
      </w:r>
    </w:p>
    <w:p w:rsidR="00292D56" w:rsidRPr="006E6EA6" w:rsidRDefault="00292D56" w:rsidP="00490E08">
      <w:pPr>
        <w:pStyle w:val="Prrafodelista"/>
        <w:widowControl/>
        <w:adjustRightInd/>
        <w:spacing w:line="240" w:lineRule="auto"/>
        <w:ind w:left="851" w:firstLine="579"/>
        <w:contextualSpacing w:val="0"/>
        <w:textAlignment w:val="auto"/>
        <w:rPr>
          <w:rFonts w:cs="Arial"/>
          <w:bCs/>
          <w:i/>
          <w:sz w:val="22"/>
          <w:szCs w:val="22"/>
          <w:u w:val="single"/>
        </w:rPr>
      </w:pPr>
    </w:p>
    <w:p w:rsidR="00292D56" w:rsidRPr="006E6EA6" w:rsidRDefault="00292D56" w:rsidP="00490E08">
      <w:pPr>
        <w:widowControl/>
        <w:adjustRightInd/>
        <w:spacing w:line="240" w:lineRule="auto"/>
        <w:ind w:left="851"/>
        <w:textAlignment w:val="auto"/>
        <w:rPr>
          <w:rFonts w:cs="Arial"/>
          <w:i/>
          <w:sz w:val="22"/>
          <w:szCs w:val="22"/>
          <w:shd w:val="clear" w:color="auto" w:fill="FFFFFF"/>
        </w:rPr>
      </w:pPr>
      <w:r w:rsidRPr="006E6EA6">
        <w:rPr>
          <w:rFonts w:cs="Arial"/>
          <w:i/>
          <w:sz w:val="22"/>
          <w:szCs w:val="22"/>
          <w:shd w:val="clear" w:color="auto" w:fill="FFFFFF"/>
        </w:rPr>
        <w:t>“Artículo 128.- Obligaciones especiales y derechos en relación con la interpretación prejudicial</w:t>
      </w:r>
    </w:p>
    <w:p w:rsidR="00292D56" w:rsidRPr="006E6EA6" w:rsidRDefault="00292D56" w:rsidP="00490E08">
      <w:pPr>
        <w:widowControl/>
        <w:adjustRightInd/>
        <w:spacing w:line="240" w:lineRule="auto"/>
        <w:ind w:left="851"/>
        <w:textAlignment w:val="auto"/>
        <w:rPr>
          <w:rFonts w:cs="Arial"/>
          <w:i/>
          <w:sz w:val="22"/>
          <w:szCs w:val="22"/>
          <w:shd w:val="clear" w:color="auto" w:fill="FFFFFF"/>
        </w:rPr>
      </w:pPr>
    </w:p>
    <w:p w:rsidR="00292D56" w:rsidRPr="006E6EA6" w:rsidRDefault="00292D56" w:rsidP="00490E08">
      <w:pPr>
        <w:widowControl/>
        <w:adjustRightInd/>
        <w:spacing w:line="240" w:lineRule="auto"/>
        <w:ind w:left="851"/>
        <w:textAlignment w:val="auto"/>
        <w:rPr>
          <w:rFonts w:cs="Arial"/>
          <w:i/>
          <w:sz w:val="22"/>
          <w:szCs w:val="22"/>
          <w:shd w:val="clear" w:color="auto" w:fill="FFFFFF"/>
        </w:rPr>
      </w:pPr>
      <w:r w:rsidRPr="006E6EA6">
        <w:rPr>
          <w:rFonts w:cs="Arial"/>
          <w:i/>
          <w:sz w:val="22"/>
          <w:szCs w:val="22"/>
          <w:shd w:val="clear" w:color="auto" w:fill="FFFFFF"/>
        </w:rPr>
        <w:t>Los Países Miembros y la Secretaría General velarán por el cumplimiento y la observancia por parte de los jueces nacionales de lo establecido respecto a la interpretación prejudicial.</w:t>
      </w:r>
    </w:p>
    <w:p w:rsidR="00292D56" w:rsidRPr="006E6EA6" w:rsidRDefault="00292D56" w:rsidP="00490E08">
      <w:pPr>
        <w:widowControl/>
        <w:adjustRightInd/>
        <w:spacing w:line="240" w:lineRule="auto"/>
        <w:ind w:left="851"/>
        <w:textAlignment w:val="auto"/>
        <w:rPr>
          <w:rFonts w:cs="Arial"/>
          <w:i/>
          <w:sz w:val="22"/>
          <w:szCs w:val="22"/>
          <w:shd w:val="clear" w:color="auto" w:fill="FFFFFF"/>
        </w:rPr>
      </w:pPr>
    </w:p>
    <w:p w:rsidR="00292D56" w:rsidRPr="006E6EA6" w:rsidRDefault="00292D56" w:rsidP="00490E08">
      <w:pPr>
        <w:widowControl/>
        <w:adjustRightInd/>
        <w:spacing w:line="240" w:lineRule="auto"/>
        <w:ind w:left="851"/>
        <w:textAlignment w:val="auto"/>
        <w:rPr>
          <w:rFonts w:cs="Arial"/>
          <w:i/>
          <w:sz w:val="22"/>
          <w:szCs w:val="22"/>
          <w:shd w:val="clear" w:color="auto" w:fill="FFFFFF"/>
        </w:rPr>
      </w:pPr>
      <w:r w:rsidRPr="006E6EA6">
        <w:rPr>
          <w:rFonts w:cs="Arial"/>
          <w:i/>
          <w:sz w:val="22"/>
          <w:szCs w:val="22"/>
          <w:shd w:val="clear" w:color="auto" w:fill="FFFFFF"/>
        </w:rPr>
        <w:t>(…).</w:t>
      </w:r>
      <w:r w:rsidRPr="006E6EA6">
        <w:rPr>
          <w:rFonts w:cs="Arial"/>
          <w:sz w:val="22"/>
          <w:szCs w:val="22"/>
          <w:shd w:val="clear" w:color="auto" w:fill="FFFFFF"/>
        </w:rPr>
        <w:t>”</w:t>
      </w:r>
    </w:p>
    <w:p w:rsidR="00292D56" w:rsidRPr="006E6EA6" w:rsidRDefault="00292D56" w:rsidP="00981727">
      <w:pPr>
        <w:widowControl/>
        <w:adjustRightInd/>
        <w:spacing w:line="240" w:lineRule="auto"/>
        <w:textAlignment w:val="auto"/>
        <w:rPr>
          <w:rFonts w:cs="Arial"/>
          <w:bCs/>
          <w:i/>
          <w:sz w:val="22"/>
          <w:szCs w:val="22"/>
          <w:u w:val="single"/>
        </w:rPr>
      </w:pPr>
    </w:p>
    <w:p w:rsidR="00057287" w:rsidRPr="006E6EA6" w:rsidRDefault="00057287" w:rsidP="00490E08">
      <w:pPr>
        <w:pStyle w:val="Prrafodelista"/>
        <w:widowControl/>
        <w:numPr>
          <w:ilvl w:val="0"/>
          <w:numId w:val="1"/>
        </w:numPr>
        <w:adjustRightInd/>
        <w:spacing w:line="240" w:lineRule="auto"/>
        <w:ind w:left="426" w:hanging="426"/>
        <w:contextualSpacing w:val="0"/>
        <w:textAlignment w:val="auto"/>
        <w:rPr>
          <w:rFonts w:cs="Arial"/>
          <w:sz w:val="22"/>
          <w:szCs w:val="22"/>
          <w:lang w:val="es-ES"/>
        </w:rPr>
      </w:pPr>
      <w:r w:rsidRPr="006E6EA6">
        <w:rPr>
          <w:rFonts w:cs="Arial"/>
          <w:sz w:val="22"/>
          <w:szCs w:val="22"/>
          <w:lang w:val="es-ES"/>
        </w:rPr>
        <w:t xml:space="preserve">Como se puede observar, el artículo 4 regula lo </w:t>
      </w:r>
      <w:r w:rsidRPr="006E6EA6">
        <w:rPr>
          <w:rFonts w:cs="Arial"/>
          <w:bCs/>
          <w:sz w:val="22"/>
          <w:szCs w:val="22"/>
        </w:rPr>
        <w:t>referido a la obligación de adoptar las medidas necesarias para el cumplimiento de las normas que conforman el ordenamiento jurídico de la comunidad andina y, los artículos 36 y 128 regula</w:t>
      </w:r>
      <w:r w:rsidR="00E24C38" w:rsidRPr="006E6EA6">
        <w:rPr>
          <w:rFonts w:cs="Arial"/>
          <w:bCs/>
          <w:sz w:val="22"/>
          <w:szCs w:val="22"/>
        </w:rPr>
        <w:t>n</w:t>
      </w:r>
      <w:r w:rsidRPr="006E6EA6">
        <w:rPr>
          <w:rFonts w:cs="Arial"/>
          <w:bCs/>
          <w:sz w:val="22"/>
          <w:szCs w:val="22"/>
        </w:rPr>
        <w:t>, de manera más específica, la obligación de cumplir con las disposiciones referidas a la interpretación prejudicial.</w:t>
      </w:r>
    </w:p>
    <w:p w:rsidR="00CD116A" w:rsidRPr="006E6EA6" w:rsidRDefault="00CD116A" w:rsidP="00490E08">
      <w:pPr>
        <w:widowControl/>
        <w:adjustRightInd/>
        <w:spacing w:line="240" w:lineRule="auto"/>
        <w:ind w:left="426" w:hanging="426"/>
        <w:textAlignment w:val="auto"/>
        <w:rPr>
          <w:rFonts w:cs="Arial"/>
          <w:bCs/>
          <w:sz w:val="22"/>
          <w:szCs w:val="22"/>
        </w:rPr>
      </w:pPr>
    </w:p>
    <w:p w:rsidR="00AD1C19" w:rsidRPr="006E6EA6" w:rsidRDefault="00CD116A" w:rsidP="00490E08">
      <w:pPr>
        <w:pStyle w:val="Prrafodelista"/>
        <w:widowControl/>
        <w:numPr>
          <w:ilvl w:val="0"/>
          <w:numId w:val="1"/>
        </w:numPr>
        <w:adjustRightInd/>
        <w:spacing w:line="240" w:lineRule="auto"/>
        <w:ind w:left="426" w:hanging="426"/>
        <w:contextualSpacing w:val="0"/>
        <w:textAlignment w:val="auto"/>
        <w:rPr>
          <w:rFonts w:cs="Arial"/>
          <w:bCs/>
          <w:sz w:val="22"/>
          <w:szCs w:val="22"/>
        </w:rPr>
      </w:pPr>
      <w:r w:rsidRPr="006E6EA6">
        <w:rPr>
          <w:rFonts w:cs="Arial"/>
          <w:bCs/>
          <w:sz w:val="22"/>
          <w:szCs w:val="22"/>
        </w:rPr>
        <w:t>Sobre el particular, en el presente caso</w:t>
      </w:r>
      <w:r w:rsidR="006868F3" w:rsidRPr="006E6EA6">
        <w:rPr>
          <w:rFonts w:cs="Arial"/>
          <w:bCs/>
          <w:sz w:val="22"/>
          <w:szCs w:val="22"/>
        </w:rPr>
        <w:t xml:space="preserve"> al haberse determinado que la reclamada no ha incumplido con sus obligaciones derivadas del artículo</w:t>
      </w:r>
      <w:r w:rsidR="006868F3" w:rsidRPr="006E6EA6">
        <w:rPr>
          <w:rFonts w:cs="Arial"/>
          <w:sz w:val="22"/>
          <w:szCs w:val="22"/>
        </w:rPr>
        <w:t xml:space="preserve"> 35 del Tratado de Creación del Tribunal de Justicia de la Comunidad Andina y el artículo 127 de la Decisión 500, corresponde también determinar que la reclamada no ha incumplido </w:t>
      </w:r>
      <w:r w:rsidR="006868F3" w:rsidRPr="006E6EA6">
        <w:rPr>
          <w:rFonts w:cs="Arial"/>
          <w:bCs/>
          <w:sz w:val="22"/>
          <w:szCs w:val="22"/>
        </w:rPr>
        <w:t>los artículos 4 y 36 del Tratado de Creación del Tribunal de Justicia de la Comunidad Andina, ni el artículo 128 del Estatuto del Tribunal de Justicia de la Comunidad Andina.</w:t>
      </w:r>
    </w:p>
    <w:p w:rsidR="00987445" w:rsidRDefault="00987445" w:rsidP="00981727">
      <w:pPr>
        <w:pStyle w:val="Prrafodelista"/>
        <w:widowControl/>
        <w:adjustRightInd/>
        <w:spacing w:line="240" w:lineRule="auto"/>
        <w:ind w:left="0"/>
        <w:contextualSpacing w:val="0"/>
        <w:textAlignment w:val="auto"/>
        <w:rPr>
          <w:rFonts w:cs="Arial"/>
          <w:sz w:val="22"/>
          <w:szCs w:val="22"/>
        </w:rPr>
      </w:pPr>
    </w:p>
    <w:p w:rsidR="00331870" w:rsidRPr="006E6EA6" w:rsidRDefault="00331870" w:rsidP="00981727">
      <w:pPr>
        <w:pStyle w:val="Prrafodelista"/>
        <w:widowControl/>
        <w:adjustRightInd/>
        <w:spacing w:line="240" w:lineRule="auto"/>
        <w:ind w:left="0"/>
        <w:contextualSpacing w:val="0"/>
        <w:textAlignment w:val="auto"/>
        <w:rPr>
          <w:rFonts w:cs="Arial"/>
          <w:sz w:val="22"/>
          <w:szCs w:val="22"/>
        </w:rPr>
      </w:pPr>
    </w:p>
    <w:p w:rsidR="00820327" w:rsidRPr="006E6EA6" w:rsidRDefault="00F677D2" w:rsidP="00490E08">
      <w:pPr>
        <w:pStyle w:val="Prrafodelista"/>
        <w:widowControl/>
        <w:adjustRightInd/>
        <w:spacing w:line="240" w:lineRule="auto"/>
        <w:ind w:left="426" w:hanging="426"/>
        <w:contextualSpacing w:val="0"/>
        <w:textAlignment w:val="auto"/>
        <w:rPr>
          <w:rFonts w:cs="Arial"/>
          <w:b/>
          <w:sz w:val="22"/>
          <w:szCs w:val="22"/>
        </w:rPr>
      </w:pPr>
      <w:bookmarkStart w:id="0" w:name="_Toc264454126"/>
      <w:r w:rsidRPr="006E6EA6">
        <w:rPr>
          <w:rFonts w:cs="Arial"/>
          <w:b/>
          <w:bCs/>
          <w:sz w:val="22"/>
          <w:szCs w:val="22"/>
        </w:rPr>
        <w:lastRenderedPageBreak/>
        <w:t>VI.</w:t>
      </w:r>
      <w:r w:rsidRPr="006E6EA6">
        <w:rPr>
          <w:rFonts w:cs="Arial"/>
          <w:b/>
          <w:bCs/>
          <w:sz w:val="22"/>
          <w:szCs w:val="22"/>
        </w:rPr>
        <w:tab/>
      </w:r>
      <w:r w:rsidR="00820327" w:rsidRPr="006E6EA6">
        <w:rPr>
          <w:rFonts w:cs="Arial"/>
          <w:b/>
          <w:sz w:val="22"/>
          <w:szCs w:val="22"/>
        </w:rPr>
        <w:t>CONCLUSIONES SOBRE EL ESTADO DE CUMPLIMIENTO DE LAS OBLIGACIONES COMUNITARIAS</w:t>
      </w:r>
      <w:bookmarkEnd w:id="0"/>
      <w:r w:rsidR="00F46142" w:rsidRPr="006E6EA6">
        <w:rPr>
          <w:rFonts w:cs="Arial"/>
          <w:b/>
          <w:sz w:val="22"/>
          <w:szCs w:val="22"/>
        </w:rPr>
        <w:t>.-</w:t>
      </w:r>
    </w:p>
    <w:p w:rsidR="00820327" w:rsidRPr="006E6EA6" w:rsidRDefault="00820327" w:rsidP="00981727">
      <w:pPr>
        <w:pStyle w:val="Prrafodelista"/>
        <w:widowControl/>
        <w:adjustRightInd/>
        <w:spacing w:line="240" w:lineRule="auto"/>
        <w:ind w:left="0"/>
        <w:contextualSpacing w:val="0"/>
        <w:textAlignment w:val="auto"/>
        <w:rPr>
          <w:rFonts w:cs="Arial"/>
          <w:b/>
          <w:sz w:val="22"/>
          <w:szCs w:val="22"/>
        </w:rPr>
      </w:pPr>
    </w:p>
    <w:p w:rsidR="006868F3" w:rsidRPr="006E6EA6" w:rsidRDefault="006868F3" w:rsidP="00490E08">
      <w:pPr>
        <w:pStyle w:val="Prrafodelista"/>
        <w:widowControl/>
        <w:numPr>
          <w:ilvl w:val="0"/>
          <w:numId w:val="1"/>
        </w:numPr>
        <w:adjustRightInd/>
        <w:spacing w:line="240" w:lineRule="auto"/>
        <w:ind w:left="426" w:hanging="426"/>
        <w:contextualSpacing w:val="0"/>
        <w:textAlignment w:val="auto"/>
        <w:rPr>
          <w:rFonts w:cs="Arial"/>
          <w:bCs/>
          <w:sz w:val="22"/>
          <w:szCs w:val="22"/>
        </w:rPr>
      </w:pPr>
      <w:r w:rsidRPr="006E6EA6">
        <w:rPr>
          <w:rFonts w:cs="Arial"/>
          <w:bCs/>
          <w:sz w:val="22"/>
          <w:szCs w:val="22"/>
        </w:rPr>
        <w:t>Por todo lo anterior, la Secretaría General de la Comunidad Andina, con base en las consideraciones que se anteponen, la información suministrada por las Partes y los motivos expuestos en el presente Dictamen, considera que no ha quedado demostrado que la República de</w:t>
      </w:r>
      <w:r w:rsidR="000B60D3" w:rsidRPr="006E6EA6">
        <w:rPr>
          <w:rFonts w:cs="Arial"/>
          <w:bCs/>
          <w:sz w:val="22"/>
          <w:szCs w:val="22"/>
        </w:rPr>
        <w:t>l</w:t>
      </w:r>
      <w:r w:rsidRPr="006E6EA6">
        <w:rPr>
          <w:rFonts w:cs="Arial"/>
          <w:bCs/>
          <w:sz w:val="22"/>
          <w:szCs w:val="22"/>
        </w:rPr>
        <w:t xml:space="preserve"> </w:t>
      </w:r>
      <w:r w:rsidR="000B60D3" w:rsidRPr="006E6EA6">
        <w:rPr>
          <w:rFonts w:cs="Arial"/>
          <w:bCs/>
          <w:sz w:val="22"/>
          <w:szCs w:val="22"/>
        </w:rPr>
        <w:t>Ecuador</w:t>
      </w:r>
      <w:r w:rsidRPr="006E6EA6">
        <w:rPr>
          <w:rFonts w:cs="Arial"/>
          <w:bCs/>
          <w:sz w:val="22"/>
          <w:szCs w:val="22"/>
        </w:rPr>
        <w:t xml:space="preserve"> haya incumplido obligaciones derivadas del ordenamiento jurídico de la Comunidad Andina.</w:t>
      </w:r>
    </w:p>
    <w:p w:rsidR="00045145" w:rsidRPr="006E6EA6" w:rsidRDefault="00045145" w:rsidP="00490E08">
      <w:pPr>
        <w:pStyle w:val="Prrafodelista"/>
        <w:widowControl/>
        <w:adjustRightInd/>
        <w:spacing w:line="240" w:lineRule="auto"/>
        <w:ind w:left="426" w:hanging="426"/>
        <w:contextualSpacing w:val="0"/>
        <w:textAlignment w:val="auto"/>
        <w:rPr>
          <w:rFonts w:cs="Arial"/>
          <w:bCs/>
          <w:sz w:val="22"/>
          <w:szCs w:val="22"/>
        </w:rPr>
      </w:pPr>
    </w:p>
    <w:p w:rsidR="00045145" w:rsidRPr="006E6EA6" w:rsidRDefault="00045145" w:rsidP="00490E08">
      <w:pPr>
        <w:pStyle w:val="Prrafodelista"/>
        <w:widowControl/>
        <w:numPr>
          <w:ilvl w:val="0"/>
          <w:numId w:val="1"/>
        </w:numPr>
        <w:adjustRightInd/>
        <w:spacing w:line="240" w:lineRule="auto"/>
        <w:ind w:left="426" w:hanging="426"/>
        <w:contextualSpacing w:val="0"/>
        <w:textAlignment w:val="auto"/>
        <w:rPr>
          <w:rFonts w:cs="Arial"/>
          <w:bCs/>
          <w:sz w:val="22"/>
          <w:szCs w:val="22"/>
        </w:rPr>
      </w:pPr>
      <w:r w:rsidRPr="006E6EA6">
        <w:rPr>
          <w:rFonts w:cs="Arial"/>
          <w:bCs/>
          <w:sz w:val="22"/>
          <w:szCs w:val="22"/>
        </w:rPr>
        <w:t>Sin perjuicio de ello, esta Secretaría General recomienda a la República del Ecuador que reitere a los jueces nacionales la importancia del cumplimiento de la norma andina</w:t>
      </w:r>
      <w:r w:rsidR="00480471" w:rsidRPr="006E6EA6">
        <w:rPr>
          <w:rFonts w:cs="Arial"/>
          <w:bCs/>
          <w:sz w:val="22"/>
          <w:szCs w:val="22"/>
        </w:rPr>
        <w:t>,</w:t>
      </w:r>
      <w:r w:rsidR="00D915AF" w:rsidRPr="006E6EA6">
        <w:rPr>
          <w:rFonts w:cs="Arial"/>
          <w:bCs/>
          <w:sz w:val="22"/>
          <w:szCs w:val="22"/>
        </w:rPr>
        <w:t xml:space="preserve"> y que evidencien su adopció</w:t>
      </w:r>
      <w:r w:rsidRPr="006E6EA6">
        <w:rPr>
          <w:rFonts w:cs="Arial"/>
          <w:bCs/>
          <w:sz w:val="22"/>
          <w:szCs w:val="22"/>
        </w:rPr>
        <w:t>n en las sentencias con mayor</w:t>
      </w:r>
      <w:r w:rsidR="00D915AF" w:rsidRPr="006E6EA6">
        <w:rPr>
          <w:rFonts w:cs="Arial"/>
          <w:bCs/>
          <w:sz w:val="22"/>
          <w:szCs w:val="22"/>
        </w:rPr>
        <w:t xml:space="preserve"> claridad</w:t>
      </w:r>
      <w:r w:rsidR="00480471" w:rsidRPr="006E6EA6">
        <w:rPr>
          <w:rFonts w:cs="Arial"/>
          <w:bCs/>
          <w:sz w:val="22"/>
          <w:szCs w:val="22"/>
        </w:rPr>
        <w:t>.</w:t>
      </w:r>
      <w:r w:rsidRPr="006E6EA6">
        <w:rPr>
          <w:rFonts w:cs="Arial"/>
          <w:bCs/>
          <w:sz w:val="22"/>
          <w:szCs w:val="22"/>
        </w:rPr>
        <w:t xml:space="preserve"> </w:t>
      </w:r>
      <w:r w:rsidR="00480471" w:rsidRPr="006E6EA6">
        <w:rPr>
          <w:rFonts w:cs="Arial"/>
          <w:bCs/>
          <w:sz w:val="22"/>
          <w:szCs w:val="22"/>
        </w:rPr>
        <w:t>Ello, a</w:t>
      </w:r>
      <w:r w:rsidRPr="006E6EA6">
        <w:rPr>
          <w:rFonts w:cs="Arial"/>
          <w:bCs/>
          <w:sz w:val="22"/>
          <w:szCs w:val="22"/>
        </w:rPr>
        <w:t xml:space="preserve"> fin de brindar mayor certeza jurídica a las partes en el proceso.</w:t>
      </w:r>
    </w:p>
    <w:p w:rsidR="00DE6AA5" w:rsidRPr="006E6EA6" w:rsidRDefault="00DE6AA5" w:rsidP="00981727">
      <w:pPr>
        <w:spacing w:line="240" w:lineRule="auto"/>
        <w:rPr>
          <w:rFonts w:cs="Arial"/>
          <w:sz w:val="22"/>
          <w:szCs w:val="22"/>
        </w:rPr>
      </w:pPr>
    </w:p>
    <w:p w:rsidR="00921DD9" w:rsidRPr="006E6EA6" w:rsidRDefault="00921DD9" w:rsidP="00981727">
      <w:pPr>
        <w:spacing w:line="240" w:lineRule="auto"/>
        <w:rPr>
          <w:rFonts w:cs="Arial"/>
          <w:sz w:val="22"/>
          <w:szCs w:val="22"/>
        </w:rPr>
      </w:pPr>
    </w:p>
    <w:p w:rsidR="00A92F6C" w:rsidRPr="006E6EA6" w:rsidRDefault="00A92F6C" w:rsidP="00981727">
      <w:pPr>
        <w:spacing w:line="240" w:lineRule="auto"/>
        <w:rPr>
          <w:rFonts w:cs="Arial"/>
          <w:sz w:val="22"/>
          <w:szCs w:val="22"/>
        </w:rPr>
      </w:pPr>
    </w:p>
    <w:p w:rsidR="00AB563E" w:rsidRPr="006E6EA6" w:rsidRDefault="00AB563E" w:rsidP="00981727">
      <w:pPr>
        <w:spacing w:line="240" w:lineRule="auto"/>
        <w:rPr>
          <w:rFonts w:cs="Arial"/>
          <w:sz w:val="22"/>
          <w:szCs w:val="22"/>
        </w:rPr>
      </w:pPr>
    </w:p>
    <w:p w:rsidR="00AB563E" w:rsidRPr="006E6EA6" w:rsidRDefault="00AB563E" w:rsidP="00981727">
      <w:pPr>
        <w:spacing w:line="240" w:lineRule="auto"/>
        <w:rPr>
          <w:rFonts w:cs="Arial"/>
          <w:sz w:val="22"/>
          <w:szCs w:val="22"/>
        </w:rPr>
      </w:pPr>
    </w:p>
    <w:p w:rsidR="00921DD9" w:rsidRPr="006E6EA6" w:rsidRDefault="00921DD9" w:rsidP="00981727">
      <w:pPr>
        <w:spacing w:line="240" w:lineRule="auto"/>
        <w:rPr>
          <w:rFonts w:cs="Arial"/>
          <w:sz w:val="22"/>
          <w:szCs w:val="22"/>
        </w:rPr>
      </w:pPr>
    </w:p>
    <w:p w:rsidR="00EC68C1" w:rsidRPr="006E6EA6" w:rsidRDefault="00EC68C1" w:rsidP="00EC68C1">
      <w:pPr>
        <w:tabs>
          <w:tab w:val="left" w:pos="2759"/>
        </w:tabs>
        <w:ind w:right="-2"/>
        <w:jc w:val="center"/>
        <w:rPr>
          <w:rFonts w:eastAsia="Calibri" w:cs="Arial"/>
          <w:i/>
          <w:sz w:val="22"/>
          <w:szCs w:val="22"/>
        </w:rPr>
      </w:pPr>
      <w:r w:rsidRPr="006E6EA6">
        <w:rPr>
          <w:rFonts w:eastAsia="Calibri" w:cs="Arial"/>
          <w:i/>
          <w:sz w:val="22"/>
          <w:szCs w:val="22"/>
        </w:rPr>
        <w:t>José Antonio Arróspide del Busto</w:t>
      </w:r>
    </w:p>
    <w:p w:rsidR="00EC68C1" w:rsidRPr="006E6EA6" w:rsidRDefault="00EC68C1" w:rsidP="00EC68C1">
      <w:pPr>
        <w:spacing w:line="240" w:lineRule="auto"/>
        <w:ind w:right="-2"/>
        <w:jc w:val="center"/>
        <w:rPr>
          <w:rFonts w:cs="Arial"/>
          <w:b/>
          <w:sz w:val="22"/>
          <w:szCs w:val="22"/>
        </w:rPr>
      </w:pPr>
      <w:r w:rsidRPr="006E6EA6">
        <w:rPr>
          <w:rFonts w:eastAsia="Calibri" w:cs="Arial"/>
          <w:b/>
          <w:sz w:val="22"/>
          <w:szCs w:val="22"/>
        </w:rPr>
        <w:t>Secretario General a.i.</w:t>
      </w:r>
    </w:p>
    <w:p w:rsidR="00985B1E" w:rsidRPr="006E6EA6" w:rsidRDefault="00985B1E" w:rsidP="00981727">
      <w:pPr>
        <w:spacing w:line="240" w:lineRule="auto"/>
        <w:rPr>
          <w:rFonts w:cs="Arial"/>
          <w:sz w:val="22"/>
          <w:szCs w:val="22"/>
        </w:rPr>
      </w:pPr>
    </w:p>
    <w:p w:rsidR="006F1B13" w:rsidRPr="006E6EA6" w:rsidRDefault="006F1B13" w:rsidP="00981727">
      <w:pPr>
        <w:spacing w:line="240" w:lineRule="auto"/>
        <w:rPr>
          <w:rFonts w:cs="Arial"/>
          <w:sz w:val="22"/>
          <w:szCs w:val="22"/>
        </w:rPr>
      </w:pPr>
    </w:p>
    <w:sectPr w:rsidR="006F1B13" w:rsidRPr="006E6EA6" w:rsidSect="005D1C61">
      <w:footerReference w:type="default" r:id="rId9"/>
      <w:pgSz w:w="11906" w:h="16838" w:code="9"/>
      <w:pgMar w:top="1560" w:right="1418" w:bottom="1418"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724C11" w15:done="0"/>
  <w15:commentEx w15:paraId="64DCF307" w15:done="0"/>
  <w15:commentEx w15:paraId="0B643EFE" w15:done="0"/>
  <w15:commentEx w15:paraId="1FD15BE2" w15:done="0"/>
  <w15:commentEx w15:paraId="3DBEBD20" w15:done="0"/>
  <w15:commentEx w15:paraId="596A4E2A" w15:done="0"/>
  <w15:commentEx w15:paraId="5E457D6B" w15:done="0"/>
  <w15:commentEx w15:paraId="2AE95BBF" w15:done="0"/>
  <w15:commentEx w15:paraId="55717B1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5A5" w:rsidRDefault="005D25A5" w:rsidP="00971FEA">
      <w:pPr>
        <w:spacing w:line="240" w:lineRule="auto"/>
      </w:pPr>
      <w:r>
        <w:separator/>
      </w:r>
    </w:p>
  </w:endnote>
  <w:endnote w:type="continuationSeparator" w:id="1">
    <w:p w:rsidR="005D25A5" w:rsidRDefault="005D25A5" w:rsidP="00971F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DD" w:rsidRPr="006656C6" w:rsidRDefault="00B10EDD">
    <w:pPr>
      <w:pStyle w:val="Piedepgina"/>
      <w:jc w:val="right"/>
      <w:rPr>
        <w:sz w:val="18"/>
        <w:szCs w:val="18"/>
      </w:rPr>
    </w:pPr>
  </w:p>
  <w:p w:rsidR="00B10EDD" w:rsidRDefault="00B10ED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5A5" w:rsidRDefault="005D25A5" w:rsidP="00971FEA">
      <w:pPr>
        <w:spacing w:line="240" w:lineRule="auto"/>
      </w:pPr>
      <w:r>
        <w:separator/>
      </w:r>
    </w:p>
  </w:footnote>
  <w:footnote w:type="continuationSeparator" w:id="1">
    <w:p w:rsidR="005D25A5" w:rsidRDefault="005D25A5" w:rsidP="00971FEA">
      <w:pPr>
        <w:spacing w:line="240" w:lineRule="auto"/>
      </w:pPr>
      <w:r>
        <w:continuationSeparator/>
      </w:r>
    </w:p>
  </w:footnote>
  <w:footnote w:id="2">
    <w:p w:rsidR="00B10EDD" w:rsidRPr="002B7945" w:rsidRDefault="00B10EDD" w:rsidP="006E6EA6">
      <w:pPr>
        <w:pStyle w:val="Sinespaciado"/>
        <w:tabs>
          <w:tab w:val="left" w:pos="142"/>
        </w:tabs>
        <w:ind w:left="142" w:hanging="142"/>
        <w:jc w:val="both"/>
        <w:rPr>
          <w:rFonts w:ascii="Arial" w:hAnsi="Arial" w:cs="Arial"/>
          <w:i/>
          <w:sz w:val="16"/>
          <w:szCs w:val="16"/>
        </w:rPr>
      </w:pPr>
      <w:r w:rsidRPr="002B7945">
        <w:rPr>
          <w:rStyle w:val="Refdenotaalpie"/>
          <w:rFonts w:ascii="Arial" w:hAnsi="Arial" w:cs="Arial"/>
          <w:sz w:val="16"/>
          <w:szCs w:val="16"/>
        </w:rPr>
        <w:footnoteRef/>
      </w:r>
      <w:r w:rsidRPr="002B7945">
        <w:rPr>
          <w:rFonts w:ascii="Arial" w:hAnsi="Arial" w:cs="Arial"/>
          <w:sz w:val="16"/>
          <w:szCs w:val="16"/>
        </w:rPr>
        <w:t xml:space="preserve"> </w:t>
      </w:r>
      <w:r w:rsidRPr="002B7945">
        <w:rPr>
          <w:rFonts w:ascii="Arial" w:hAnsi="Arial" w:cs="Arial"/>
          <w:sz w:val="16"/>
          <w:szCs w:val="16"/>
        </w:rPr>
        <w:tab/>
        <w:t xml:space="preserve">Tal como se indicó en la Comunicación No. SG/E/SJ/1742/2018 de fecha 10 de septiembre de 2018, emitido por la Secretaría General de la Comunidad Andina, el documento señalado en el numeral 6.10 </w:t>
      </w:r>
      <w:r w:rsidRPr="002B7945">
        <w:rPr>
          <w:rFonts w:ascii="Arial" w:hAnsi="Arial" w:cs="Arial"/>
          <w:i/>
          <w:sz w:val="16"/>
          <w:szCs w:val="16"/>
        </w:rPr>
        <w:t>“Copia certificada de la Resolución favorable Nro. 371-2004-JP-Tutela Administrativa de los Derechos de Propiedad Intelectual, emitida por la Dirección Nacional de Propiedad Intelectual del IEPI y ratificada por el Tribunal de Apelaciones”</w:t>
      </w:r>
      <w:r w:rsidRPr="002B7945">
        <w:rPr>
          <w:rFonts w:ascii="Arial" w:hAnsi="Arial" w:cs="Arial"/>
          <w:sz w:val="16"/>
          <w:szCs w:val="16"/>
        </w:rPr>
        <w:t xml:space="preserve"> no fue remitido a la Secretaría General. Además, el documento señalado en el numeral 6.15, </w:t>
      </w:r>
      <w:r w:rsidRPr="002B7945">
        <w:rPr>
          <w:rFonts w:ascii="Arial" w:hAnsi="Arial" w:cs="Arial"/>
          <w:i/>
          <w:sz w:val="16"/>
          <w:szCs w:val="16"/>
        </w:rPr>
        <w:t>“Original de la Pericia TÉCNICO CONTABLE de tipo particular realizada por la perito independiente Mcs. Ing. Lourdes Urbano”</w:t>
      </w:r>
      <w:r w:rsidRPr="002B7945">
        <w:rPr>
          <w:rFonts w:ascii="Arial" w:hAnsi="Arial" w:cs="Arial"/>
          <w:sz w:val="16"/>
          <w:szCs w:val="16"/>
        </w:rPr>
        <w:t xml:space="preserve"> está incompleto, ya que faltan dos documentos del Anexo B.3, que son: “</w:t>
      </w:r>
      <w:r w:rsidRPr="002B7945">
        <w:rPr>
          <w:rFonts w:ascii="Arial" w:hAnsi="Arial" w:cs="Arial"/>
          <w:i/>
          <w:sz w:val="16"/>
          <w:szCs w:val="16"/>
        </w:rPr>
        <w:t>RECURSO DE CASACIÓN N° 102-2015 CORTE NACIONAL DE JUSTICIA”; y, “ACLARACIÓN A LA SENTANCIA (SIC) – RECURSO DE CASACIÓN N° 102-2015 CORTE NACIONAL DE JUSTICIA”.</w:t>
      </w:r>
    </w:p>
  </w:footnote>
  <w:footnote w:id="3">
    <w:p w:rsidR="00B10EDD" w:rsidRPr="002B7945" w:rsidRDefault="00B10EDD" w:rsidP="006E6EA6">
      <w:pPr>
        <w:pStyle w:val="Sinespaciado"/>
        <w:ind w:left="142" w:hanging="142"/>
        <w:jc w:val="both"/>
        <w:rPr>
          <w:rFonts w:ascii="Arial" w:hAnsi="Arial" w:cs="Arial"/>
          <w:sz w:val="16"/>
          <w:szCs w:val="16"/>
        </w:rPr>
      </w:pPr>
      <w:r w:rsidRPr="002B7945">
        <w:rPr>
          <w:rStyle w:val="Refdenotaalpie"/>
          <w:rFonts w:ascii="Arial" w:hAnsi="Arial" w:cs="Arial"/>
          <w:sz w:val="16"/>
          <w:szCs w:val="16"/>
        </w:rPr>
        <w:footnoteRef/>
      </w:r>
      <w:r w:rsidRPr="002B7945">
        <w:rPr>
          <w:rFonts w:ascii="Arial" w:hAnsi="Arial" w:cs="Arial"/>
          <w:sz w:val="16"/>
          <w:szCs w:val="16"/>
        </w:rPr>
        <w:t xml:space="preserve"> </w:t>
      </w:r>
      <w:r w:rsidRPr="002B7945">
        <w:rPr>
          <w:rFonts w:ascii="Arial" w:hAnsi="Arial" w:cs="Arial"/>
          <w:sz w:val="16"/>
          <w:szCs w:val="16"/>
        </w:rPr>
        <w:tab/>
        <w:t xml:space="preserve">Conforme el detalle de archivos adjuntos del correo de 26 de septiembre de 2018, 16:52, los documentos electrónicos son: </w:t>
      </w:r>
      <w:r w:rsidRPr="002B7945">
        <w:rPr>
          <w:rFonts w:ascii="Arial" w:hAnsi="Arial" w:cs="Arial"/>
          <w:i/>
          <w:sz w:val="16"/>
          <w:szCs w:val="16"/>
        </w:rPr>
        <w:t>“5.- ACLARACIÓN A LA SENTENCIA (SIC) RECURSO DE CASACION NO. 102-2015 CORTE NACIONAL DE JUSTICIA.pdf”</w:t>
      </w:r>
      <w:r w:rsidRPr="002B7945">
        <w:rPr>
          <w:rFonts w:ascii="Arial" w:hAnsi="Arial" w:cs="Arial"/>
          <w:sz w:val="16"/>
          <w:szCs w:val="16"/>
        </w:rPr>
        <w:t xml:space="preserve">; </w:t>
      </w:r>
      <w:r w:rsidRPr="002B7945">
        <w:rPr>
          <w:rFonts w:ascii="Arial" w:hAnsi="Arial" w:cs="Arial"/>
          <w:i/>
          <w:sz w:val="16"/>
          <w:szCs w:val="16"/>
        </w:rPr>
        <w:t>“6.- PROVIDENCIA DEL 16 DE ENERO DEL 2017 – JUICIO NO. 17811-2013-4415.pdf”</w:t>
      </w:r>
      <w:r w:rsidRPr="002B7945">
        <w:rPr>
          <w:rFonts w:ascii="Arial" w:hAnsi="Arial" w:cs="Arial"/>
          <w:sz w:val="16"/>
          <w:szCs w:val="16"/>
        </w:rPr>
        <w:t>; “</w:t>
      </w:r>
      <w:r w:rsidRPr="002B7945">
        <w:rPr>
          <w:rFonts w:ascii="Arial" w:hAnsi="Arial" w:cs="Arial"/>
          <w:i/>
          <w:sz w:val="16"/>
          <w:szCs w:val="16"/>
        </w:rPr>
        <w:t>7.- PROVIDENCIA EN LA QUE SE DISPUSO LA NUEVA NUMERACION DEL PROCESO..pdf”</w:t>
      </w:r>
      <w:r w:rsidRPr="002B7945">
        <w:rPr>
          <w:rFonts w:ascii="Arial" w:hAnsi="Arial" w:cs="Arial"/>
          <w:sz w:val="16"/>
          <w:szCs w:val="16"/>
        </w:rPr>
        <w:t xml:space="preserve">; </w:t>
      </w:r>
      <w:r w:rsidRPr="002B7945">
        <w:rPr>
          <w:rFonts w:ascii="Arial" w:hAnsi="Arial" w:cs="Arial"/>
          <w:i/>
          <w:sz w:val="16"/>
          <w:szCs w:val="16"/>
        </w:rPr>
        <w:t>“8.- DOCUMENTO DE IDENTIFICACIÓN Y CARNET PROFESONAL DEL ABOGADO PATROCINADOR.pdf”</w:t>
      </w:r>
      <w:r w:rsidRPr="002B7945">
        <w:rPr>
          <w:rFonts w:ascii="Arial" w:hAnsi="Arial" w:cs="Arial"/>
          <w:sz w:val="16"/>
          <w:szCs w:val="16"/>
        </w:rPr>
        <w:t xml:space="preserve">; </w:t>
      </w:r>
      <w:r w:rsidRPr="002B7945">
        <w:rPr>
          <w:rFonts w:ascii="Arial" w:hAnsi="Arial" w:cs="Arial"/>
          <w:i/>
          <w:sz w:val="16"/>
          <w:szCs w:val="16"/>
        </w:rPr>
        <w:t>“ESCRITO DE COMPLEMENTACIÓN, ACLARACIÓN, SUBSANACIÓN Y REMISIÓN DE DOCUMENTOS..pdf”</w:t>
      </w:r>
      <w:r w:rsidRPr="002B7945">
        <w:rPr>
          <w:rFonts w:ascii="Arial" w:hAnsi="Arial" w:cs="Arial"/>
          <w:sz w:val="16"/>
          <w:szCs w:val="16"/>
        </w:rPr>
        <w:t xml:space="preserve">; </w:t>
      </w:r>
      <w:r w:rsidRPr="002B7945">
        <w:rPr>
          <w:rFonts w:ascii="Arial" w:hAnsi="Arial" w:cs="Arial"/>
          <w:i/>
          <w:sz w:val="16"/>
          <w:szCs w:val="16"/>
        </w:rPr>
        <w:t>“1.- RESOLUCIÓN FAVORABLE NRO. 371-2004-JP – TUTELA ADMINISTRATIVA.pdf”</w:t>
      </w:r>
      <w:r w:rsidRPr="002B7945">
        <w:rPr>
          <w:rFonts w:ascii="Arial" w:hAnsi="Arial" w:cs="Arial"/>
          <w:sz w:val="16"/>
          <w:szCs w:val="16"/>
        </w:rPr>
        <w:t xml:space="preserve">; </w:t>
      </w:r>
      <w:r w:rsidRPr="002B7945">
        <w:rPr>
          <w:rFonts w:ascii="Arial" w:hAnsi="Arial" w:cs="Arial"/>
          <w:i/>
          <w:sz w:val="16"/>
          <w:szCs w:val="16"/>
        </w:rPr>
        <w:t>“2.- RESOLUCIÓN FAVORABLE EMITIDA POR EL TRIBUNAL DE APELACIÓN DEL IEPI – TRAMITE NO. 07 – 1462 RA-1S.pdf”</w:t>
      </w:r>
      <w:r w:rsidRPr="002B7945">
        <w:rPr>
          <w:rFonts w:ascii="Arial" w:hAnsi="Arial" w:cs="Arial"/>
          <w:sz w:val="16"/>
          <w:szCs w:val="16"/>
        </w:rPr>
        <w:t xml:space="preserve">; </w:t>
      </w:r>
      <w:r w:rsidRPr="002B7945">
        <w:rPr>
          <w:rFonts w:ascii="Arial" w:hAnsi="Arial" w:cs="Arial"/>
          <w:i/>
          <w:sz w:val="16"/>
          <w:szCs w:val="16"/>
        </w:rPr>
        <w:t>“3.- ORIGINAL PERICIA TECNICO CONTABLE – MCS. LOURDES URBANO.pdf”; y, “4.- RECURSO DE CASACIÓN N°102-2015. CORTE NACIONAL DE JUSTICIA.pdf”</w:t>
      </w:r>
    </w:p>
  </w:footnote>
  <w:footnote w:id="4">
    <w:p w:rsidR="00B10EDD" w:rsidRPr="002B7945" w:rsidRDefault="00B10EDD" w:rsidP="006E6EA6">
      <w:pPr>
        <w:pStyle w:val="Sinespaciado"/>
        <w:ind w:left="142" w:hanging="142"/>
        <w:jc w:val="both"/>
        <w:rPr>
          <w:rFonts w:ascii="Arial" w:hAnsi="Arial" w:cs="Arial"/>
          <w:sz w:val="16"/>
          <w:szCs w:val="16"/>
        </w:rPr>
      </w:pPr>
      <w:r w:rsidRPr="002B7945">
        <w:rPr>
          <w:rStyle w:val="Refdenotaalpie"/>
          <w:rFonts w:ascii="Arial" w:hAnsi="Arial" w:cs="Arial"/>
          <w:sz w:val="16"/>
          <w:szCs w:val="16"/>
        </w:rPr>
        <w:footnoteRef/>
      </w:r>
      <w:r w:rsidRPr="002B7945">
        <w:rPr>
          <w:rFonts w:ascii="Arial" w:hAnsi="Arial" w:cs="Arial"/>
          <w:sz w:val="16"/>
          <w:szCs w:val="16"/>
        </w:rPr>
        <w:t xml:space="preserve"> </w:t>
      </w:r>
      <w:r w:rsidRPr="002B7945">
        <w:rPr>
          <w:rFonts w:ascii="Arial" w:hAnsi="Arial" w:cs="Arial"/>
          <w:sz w:val="16"/>
          <w:szCs w:val="16"/>
        </w:rPr>
        <w:tab/>
        <w:t xml:space="preserve">Sin perjuicio de ello, se dejó constancia que no se adjuntó </w:t>
      </w:r>
      <w:r>
        <w:rPr>
          <w:rFonts w:ascii="Arial" w:hAnsi="Arial" w:cs="Arial"/>
          <w:sz w:val="16"/>
          <w:szCs w:val="16"/>
        </w:rPr>
        <w:t>copia del Recurso de Casación No.</w:t>
      </w:r>
      <w:r w:rsidRPr="002B7945">
        <w:rPr>
          <w:rFonts w:ascii="Arial" w:hAnsi="Arial" w:cs="Arial"/>
          <w:sz w:val="16"/>
          <w:szCs w:val="16"/>
        </w:rPr>
        <w:t xml:space="preserve"> 102-2015; en ese sentido, la SGCAN dispuso a la reclamante que presente copia de todo lo actuado en el expediente antes señalado (escritos presentados por todas las partes, providencias, etc.) luego de la emisión de la sentencia del 21 de octubre de 2014, para efectos del análisis correspondiente sobre las cuestiones de fondo. </w:t>
      </w:r>
    </w:p>
  </w:footnote>
  <w:footnote w:id="5">
    <w:p w:rsidR="00B10EDD" w:rsidRPr="002B7945" w:rsidRDefault="00B10EDD" w:rsidP="006E6EA6">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w:t>
      </w:r>
      <w:r>
        <w:rPr>
          <w:rFonts w:cs="Arial"/>
          <w:sz w:val="16"/>
          <w:szCs w:val="16"/>
        </w:rPr>
        <w:tab/>
      </w:r>
      <w:r w:rsidRPr="002B7945">
        <w:rPr>
          <w:rFonts w:cs="Arial"/>
          <w:sz w:val="16"/>
          <w:szCs w:val="16"/>
        </w:rPr>
        <w:t xml:space="preserve">Los Anexos del Oficio No. MCEI-SDYNC-2018-0139 presentado por la República del Ecuador fueron los siguientes: 1. Acuerdo Ministerial 036-2017 de 26 de octubre de 2017; 2. Acción de personal que acredita el cargo del Subsecretario de Defensa y Normatividad Comercial; 3. Escrito, sin número, de 31 de octubre de 2018 remitido por el Tribunal Distrital de lo Contencioso Administrativo; 4. Oficio No. MCEI-SDYNC-2018-0113 de 17 de octubre de 2018; y, 5. Oficio No. MCEI-SDYNC-2018-0114 de 17 de octubre de 2018.  </w:t>
      </w:r>
    </w:p>
  </w:footnote>
  <w:footnote w:id="6">
    <w:p w:rsidR="00B10EDD" w:rsidRPr="002B7945" w:rsidRDefault="00B10EDD" w:rsidP="006E6EA6">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w:t>
      </w:r>
      <w:r w:rsidRPr="002B7945">
        <w:rPr>
          <w:rFonts w:cs="Arial"/>
          <w:sz w:val="16"/>
          <w:szCs w:val="16"/>
        </w:rPr>
        <w:tab/>
        <w:t>Escrito de reclamo de la empresa INDUALCA S.A., p. 6.</w:t>
      </w:r>
    </w:p>
  </w:footnote>
  <w:footnote w:id="7">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w:t>
      </w:r>
      <w:r w:rsidRPr="002B7945">
        <w:rPr>
          <w:rFonts w:cs="Arial"/>
          <w:sz w:val="16"/>
          <w:szCs w:val="16"/>
        </w:rPr>
        <w:tab/>
        <w:t>Escrito de reclamo de la empresa INDUALCA S.A., pp. 5 y 6.</w:t>
      </w:r>
    </w:p>
  </w:footnote>
  <w:footnote w:id="8">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w:t>
      </w:r>
      <w:r w:rsidRPr="002B7945">
        <w:rPr>
          <w:rFonts w:cs="Arial"/>
          <w:sz w:val="16"/>
          <w:szCs w:val="16"/>
        </w:rPr>
        <w:tab/>
        <w:t>Escrito de subsanación de la empresa INDUALCA S.A., p. 2</w:t>
      </w:r>
      <w:r>
        <w:rPr>
          <w:rFonts w:cs="Arial"/>
          <w:sz w:val="16"/>
          <w:szCs w:val="16"/>
        </w:rPr>
        <w:t>.</w:t>
      </w:r>
    </w:p>
  </w:footnote>
  <w:footnote w:id="9">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w:t>
      </w:r>
      <w:r w:rsidRPr="002B7945">
        <w:rPr>
          <w:rFonts w:cs="Arial"/>
          <w:sz w:val="16"/>
          <w:szCs w:val="16"/>
        </w:rPr>
        <w:tab/>
        <w:t>Escrito de subsanación de la empresa INDUALCA S.A., p. 2</w:t>
      </w:r>
      <w:r>
        <w:rPr>
          <w:rFonts w:cs="Arial"/>
          <w:sz w:val="16"/>
          <w:szCs w:val="16"/>
        </w:rPr>
        <w:t>.</w:t>
      </w:r>
    </w:p>
  </w:footnote>
  <w:footnote w:id="10">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w:t>
      </w:r>
      <w:r w:rsidRPr="002B7945">
        <w:rPr>
          <w:rFonts w:cs="Arial"/>
          <w:sz w:val="16"/>
          <w:szCs w:val="16"/>
        </w:rPr>
        <w:tab/>
        <w:t>Escrito de subsanación de la empresa INDUALCA S.A., p. 2.</w:t>
      </w:r>
    </w:p>
  </w:footnote>
  <w:footnote w:id="11">
    <w:p w:rsidR="00B10EDD" w:rsidRPr="002B7945" w:rsidRDefault="00B10EDD" w:rsidP="002B7945">
      <w:pPr>
        <w:pStyle w:val="Textonotapie"/>
        <w:tabs>
          <w:tab w:val="left" w:pos="142"/>
        </w:tabs>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Escrito de subsanación de la empresa INDUALCA S.A., p. 3.</w:t>
      </w:r>
    </w:p>
  </w:footnote>
  <w:footnote w:id="12">
    <w:p w:rsidR="00B10EDD" w:rsidRPr="002B7945" w:rsidRDefault="00B10EDD" w:rsidP="00524E76">
      <w:pPr>
        <w:pStyle w:val="Textonotapie"/>
        <w:tabs>
          <w:tab w:val="left" w:pos="142"/>
        </w:tabs>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Escrito de </w:t>
      </w:r>
      <w:r>
        <w:rPr>
          <w:rFonts w:cs="Arial"/>
          <w:sz w:val="16"/>
          <w:szCs w:val="16"/>
        </w:rPr>
        <w:t>reclamo</w:t>
      </w:r>
      <w:r w:rsidRPr="002B7945">
        <w:rPr>
          <w:rFonts w:cs="Arial"/>
          <w:sz w:val="16"/>
          <w:szCs w:val="16"/>
        </w:rPr>
        <w:t xml:space="preserve"> </w:t>
      </w:r>
      <w:r>
        <w:rPr>
          <w:rFonts w:cs="Arial"/>
          <w:sz w:val="16"/>
          <w:szCs w:val="16"/>
        </w:rPr>
        <w:t>de la empresa INDUALCA S.A., pp. 5, 6, 8, 9</w:t>
      </w:r>
      <w:r w:rsidRPr="002B7945">
        <w:rPr>
          <w:rFonts w:cs="Arial"/>
          <w:sz w:val="16"/>
          <w:szCs w:val="16"/>
        </w:rPr>
        <w:t>.</w:t>
      </w:r>
      <w:r>
        <w:rPr>
          <w:rFonts w:cs="Arial"/>
          <w:sz w:val="16"/>
          <w:szCs w:val="16"/>
        </w:rPr>
        <w:t xml:space="preserve"> 10 y 11.</w:t>
      </w:r>
    </w:p>
  </w:footnote>
  <w:footnote w:id="13">
    <w:p w:rsidR="00B10EDD" w:rsidRPr="002B7945" w:rsidRDefault="00B10EDD" w:rsidP="00E82E73">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Escrito de reclamo de la empresa INDUALCA S.A., p. 4.</w:t>
      </w:r>
    </w:p>
  </w:footnote>
  <w:footnote w:id="14">
    <w:p w:rsidR="00B10EDD" w:rsidRPr="002B7945" w:rsidRDefault="00B10EDD" w:rsidP="002B7945">
      <w:pPr>
        <w:pStyle w:val="Textonotapie"/>
        <w:spacing w:line="240" w:lineRule="auto"/>
        <w:ind w:left="142" w:hanging="142"/>
        <w:rPr>
          <w:rFonts w:cs="Arial"/>
          <w:sz w:val="16"/>
          <w:szCs w:val="16"/>
          <w:lang w:val="es-MX"/>
        </w:rPr>
      </w:pPr>
      <w:r w:rsidRPr="002B7945">
        <w:rPr>
          <w:rStyle w:val="Refdenotaalpie"/>
          <w:rFonts w:cs="Arial"/>
          <w:sz w:val="16"/>
          <w:szCs w:val="16"/>
        </w:rPr>
        <w:footnoteRef/>
      </w:r>
      <w:r w:rsidRPr="002B7945">
        <w:rPr>
          <w:rFonts w:cs="Arial"/>
          <w:sz w:val="16"/>
          <w:szCs w:val="16"/>
        </w:rPr>
        <w:t xml:space="preserve"> Oficio Nro. MCEI-SDYNC-2018-0139, mediante el cual la República del Ecuador contesta el reclamo presentado por la empresa INDUALCA S.A., Anexo 3 (Escrito del Tribunal Distrital de lo Contencioso Administrativo), pp 1 y 2. </w:t>
      </w:r>
    </w:p>
  </w:footnote>
  <w:footnote w:id="15">
    <w:p w:rsidR="00B10EDD" w:rsidRPr="002B7945" w:rsidRDefault="00B10EDD" w:rsidP="002B7945">
      <w:pPr>
        <w:pStyle w:val="Textonotapie"/>
        <w:tabs>
          <w:tab w:val="left" w:pos="142"/>
          <w:tab w:val="left" w:pos="426"/>
        </w:tabs>
        <w:spacing w:line="240" w:lineRule="auto"/>
        <w:ind w:left="142" w:hanging="142"/>
        <w:rPr>
          <w:rFonts w:cs="Arial"/>
          <w:sz w:val="16"/>
          <w:szCs w:val="16"/>
        </w:rPr>
      </w:pPr>
      <w:r w:rsidRPr="002B7945">
        <w:rPr>
          <w:rStyle w:val="Refdenotaalpie"/>
          <w:rFonts w:cs="Arial"/>
          <w:sz w:val="16"/>
          <w:szCs w:val="16"/>
        </w:rPr>
        <w:footnoteRef/>
      </w:r>
      <w:r w:rsidRPr="002B7945">
        <w:rPr>
          <w:rStyle w:val="Refdenotaalpie"/>
          <w:rFonts w:cs="Arial"/>
          <w:sz w:val="16"/>
          <w:szCs w:val="16"/>
        </w:rPr>
        <w:t xml:space="preserve"> </w:t>
      </w:r>
      <w:r w:rsidRPr="002B7945">
        <w:rPr>
          <w:rFonts w:cs="Arial"/>
          <w:sz w:val="16"/>
          <w:szCs w:val="16"/>
        </w:rPr>
        <w:tab/>
        <w:t>Sentencia de fecha 8 de diciembre de 1998 del Proceso No. 03-AI-97.</w:t>
      </w:r>
    </w:p>
  </w:footnote>
  <w:footnote w:id="16">
    <w:p w:rsidR="00B10EDD" w:rsidRPr="002B7945" w:rsidRDefault="00B10EDD" w:rsidP="002B7945">
      <w:pPr>
        <w:pStyle w:val="Textonotapie"/>
        <w:tabs>
          <w:tab w:val="left" w:pos="142"/>
        </w:tabs>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I</w:t>
      </w:r>
      <w:r w:rsidRPr="002B7945">
        <w:rPr>
          <w:rFonts w:cs="Arial"/>
          <w:spacing w:val="-3"/>
          <w:sz w:val="16"/>
          <w:szCs w:val="16"/>
        </w:rPr>
        <w:t xml:space="preserve">nterpretación Prejudicial de fecha </w:t>
      </w:r>
      <w:r w:rsidRPr="002B7945">
        <w:rPr>
          <w:rFonts w:cs="Arial"/>
          <w:sz w:val="16"/>
          <w:szCs w:val="16"/>
        </w:rPr>
        <w:t xml:space="preserve">10 de mayo de 2012 del Proceso No. </w:t>
      </w:r>
      <w:r w:rsidRPr="002B7945">
        <w:rPr>
          <w:rFonts w:cs="Arial"/>
          <w:spacing w:val="-3"/>
          <w:sz w:val="16"/>
          <w:szCs w:val="16"/>
        </w:rPr>
        <w:t>149-IP-2011.</w:t>
      </w:r>
    </w:p>
  </w:footnote>
  <w:footnote w:id="17">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Emitida por el T</w:t>
      </w:r>
      <w:r>
        <w:rPr>
          <w:rFonts w:cs="Arial"/>
          <w:sz w:val="16"/>
          <w:szCs w:val="16"/>
        </w:rPr>
        <w:t>JCA</w:t>
      </w:r>
      <w:r w:rsidRPr="002B7945">
        <w:rPr>
          <w:rFonts w:cs="Arial"/>
          <w:sz w:val="16"/>
          <w:szCs w:val="16"/>
        </w:rPr>
        <w:t>, a solicitud del Tribunal Distrital No. 1 de lo Contencioso Administrativo del Ecuador, con sede en Quito, dentro del proceso 17801-2006-15688. La reclamante aclaró, mediante escrito recibido por la SGCAN el 26 de septiembre de 2018, que actualmente el proceso tiene el número Juicio 17811-2013-4415.</w:t>
      </w:r>
    </w:p>
  </w:footnote>
  <w:footnote w:id="18">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ab/>
        <w:t xml:space="preserve">Oficio Nro. MCEI-SDYNC-2018-0139, mediante el cual la República del Ecuador contesta el reclamo presentado por la empresa INDUALCA S.A., p. 4. </w:t>
      </w:r>
    </w:p>
  </w:footnote>
  <w:footnote w:id="19">
    <w:p w:rsidR="00B10EDD" w:rsidRPr="00B10EDD" w:rsidRDefault="00B10EDD">
      <w:pPr>
        <w:pStyle w:val="Textonotapie"/>
        <w:rPr>
          <w:lang w:val="es-MX"/>
        </w:rPr>
      </w:pPr>
      <w:r>
        <w:rPr>
          <w:rStyle w:val="Refdenotaalpie"/>
        </w:rPr>
        <w:footnoteRef/>
      </w:r>
      <w:r>
        <w:t xml:space="preserve"> P</w:t>
      </w:r>
      <w:r w:rsidRPr="00E10530">
        <w:rPr>
          <w:rFonts w:cs="Arial"/>
          <w:color w:val="000000"/>
          <w:sz w:val="18"/>
          <w:szCs w:val="18"/>
        </w:rPr>
        <w:t xml:space="preserve">ublicada en la Gaceta Oficial del Acuerdo de Cartagena N° </w:t>
      </w:r>
      <w:r>
        <w:rPr>
          <w:rFonts w:cs="Arial"/>
          <w:sz w:val="18"/>
          <w:szCs w:val="18"/>
        </w:rPr>
        <w:t>2406</w:t>
      </w:r>
      <w:r w:rsidRPr="00E10530">
        <w:rPr>
          <w:rFonts w:cs="Arial"/>
          <w:sz w:val="18"/>
          <w:szCs w:val="18"/>
        </w:rPr>
        <w:t xml:space="preserve"> del 2</w:t>
      </w:r>
      <w:r>
        <w:rPr>
          <w:rFonts w:cs="Arial"/>
          <w:sz w:val="18"/>
          <w:szCs w:val="18"/>
        </w:rPr>
        <w:t>3</w:t>
      </w:r>
      <w:r w:rsidRPr="00E10530">
        <w:rPr>
          <w:rFonts w:cs="Arial"/>
          <w:sz w:val="18"/>
          <w:szCs w:val="18"/>
        </w:rPr>
        <w:t xml:space="preserve"> de </w:t>
      </w:r>
      <w:r>
        <w:rPr>
          <w:rFonts w:cs="Arial"/>
          <w:sz w:val="18"/>
          <w:szCs w:val="18"/>
        </w:rPr>
        <w:t>octubre de 2014.</w:t>
      </w:r>
    </w:p>
  </w:footnote>
  <w:footnote w:id="20">
    <w:p w:rsidR="00B10EDD" w:rsidRPr="00B10EDD" w:rsidRDefault="00B10EDD">
      <w:pPr>
        <w:pStyle w:val="Textonotapie"/>
        <w:rPr>
          <w:lang w:val="es-MX"/>
        </w:rPr>
      </w:pPr>
      <w:r>
        <w:rPr>
          <w:rStyle w:val="Refdenotaalpie"/>
        </w:rPr>
        <w:footnoteRef/>
      </w:r>
      <w:r>
        <w:t xml:space="preserve"> P</w:t>
      </w:r>
      <w:r w:rsidRPr="00E10530">
        <w:rPr>
          <w:rFonts w:cs="Arial"/>
          <w:color w:val="000000"/>
          <w:sz w:val="18"/>
          <w:szCs w:val="18"/>
        </w:rPr>
        <w:t xml:space="preserve">ublicada en la Gaceta Oficial del Acuerdo de Cartagena N° </w:t>
      </w:r>
      <w:r>
        <w:rPr>
          <w:rFonts w:cs="Arial"/>
          <w:sz w:val="18"/>
          <w:szCs w:val="18"/>
        </w:rPr>
        <w:t>2069</w:t>
      </w:r>
      <w:r w:rsidRPr="00E10530">
        <w:rPr>
          <w:rFonts w:cs="Arial"/>
          <w:sz w:val="18"/>
          <w:szCs w:val="18"/>
        </w:rPr>
        <w:t xml:space="preserve"> del </w:t>
      </w:r>
      <w:r>
        <w:rPr>
          <w:rFonts w:cs="Arial"/>
          <w:sz w:val="18"/>
          <w:szCs w:val="18"/>
        </w:rPr>
        <w:t>5</w:t>
      </w:r>
      <w:r w:rsidRPr="00E10530">
        <w:rPr>
          <w:rFonts w:cs="Arial"/>
          <w:sz w:val="18"/>
          <w:szCs w:val="18"/>
        </w:rPr>
        <w:t xml:space="preserve"> de</w:t>
      </w:r>
      <w:r>
        <w:rPr>
          <w:rFonts w:cs="Arial"/>
          <w:sz w:val="18"/>
          <w:szCs w:val="18"/>
        </w:rPr>
        <w:t xml:space="preserve"> julio de 2011.</w:t>
      </w:r>
    </w:p>
  </w:footnote>
  <w:footnote w:id="21">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Escrito de reclamo de la empresa INDUALCA S.A., p. 6.</w:t>
      </w:r>
    </w:p>
  </w:footnote>
  <w:footnote w:id="22">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Escrito de subsanación de la empresa INDUALCA S.A., p. 2.</w:t>
      </w:r>
    </w:p>
  </w:footnote>
  <w:footnote w:id="23">
    <w:p w:rsidR="00B10EDD" w:rsidRPr="002B7945" w:rsidRDefault="00B10EDD" w:rsidP="002B7945">
      <w:pPr>
        <w:pStyle w:val="Textonotapie"/>
        <w:spacing w:line="240" w:lineRule="auto"/>
        <w:ind w:left="142" w:hanging="142"/>
        <w:rPr>
          <w:rFonts w:cs="Arial"/>
          <w:sz w:val="16"/>
          <w:szCs w:val="16"/>
          <w:lang w:val="es-MX"/>
        </w:rPr>
      </w:pPr>
      <w:r w:rsidRPr="002B7945">
        <w:rPr>
          <w:rStyle w:val="Refdenotaalpie"/>
          <w:rFonts w:cs="Arial"/>
          <w:sz w:val="16"/>
          <w:szCs w:val="16"/>
        </w:rPr>
        <w:footnoteRef/>
      </w:r>
      <w:r w:rsidRPr="002B7945">
        <w:rPr>
          <w:rFonts w:cs="Arial"/>
          <w:sz w:val="16"/>
          <w:szCs w:val="16"/>
        </w:rPr>
        <w:t xml:space="preserve"> Escrito de subsanación de la empresa INDUALCA S.A. p. 2.</w:t>
      </w:r>
    </w:p>
  </w:footnote>
  <w:footnote w:id="24">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Escrito de reclamo de la empresa INDUALCA S.A., pp. 5 y 6.</w:t>
      </w:r>
    </w:p>
  </w:footnote>
  <w:footnote w:id="25">
    <w:p w:rsidR="00B10EDD" w:rsidRPr="002B7945" w:rsidRDefault="00B10EDD" w:rsidP="00BE2FC9">
      <w:pPr>
        <w:pStyle w:val="Textonotapie"/>
        <w:spacing w:line="240" w:lineRule="auto"/>
        <w:ind w:left="142" w:hanging="142"/>
        <w:rPr>
          <w:rFonts w:cs="Arial"/>
          <w:sz w:val="16"/>
          <w:szCs w:val="16"/>
          <w:lang w:val="es-MX"/>
        </w:rPr>
      </w:pPr>
      <w:r w:rsidRPr="002B7945">
        <w:rPr>
          <w:rStyle w:val="Refdenotaalpie"/>
          <w:rFonts w:cs="Arial"/>
          <w:sz w:val="16"/>
          <w:szCs w:val="16"/>
        </w:rPr>
        <w:footnoteRef/>
      </w:r>
      <w:r w:rsidRPr="002B7945">
        <w:rPr>
          <w:rFonts w:cs="Arial"/>
          <w:sz w:val="16"/>
          <w:szCs w:val="16"/>
        </w:rPr>
        <w:t xml:space="preserve"> Oficio Nro. MCEI-SDYNC-2018-0139, mediante el cual la República del Ecuador contesta el reclamo presentado por la empresa INDUALCA S.A., Anexo 3 (Escrito del Tribunal Distrital de lo Contencioso Administrativo), pp 1 y 2. </w:t>
      </w:r>
    </w:p>
  </w:footnote>
  <w:footnote w:id="26">
    <w:p w:rsidR="00B10EDD" w:rsidRPr="002B7945" w:rsidRDefault="00B10EDD" w:rsidP="00BE2FC9">
      <w:pPr>
        <w:pStyle w:val="Textonotapie"/>
        <w:spacing w:line="240" w:lineRule="auto"/>
        <w:ind w:left="142" w:hanging="142"/>
        <w:rPr>
          <w:rFonts w:cs="Arial"/>
          <w:sz w:val="16"/>
          <w:szCs w:val="16"/>
          <w:lang w:val="es-MX"/>
        </w:rPr>
      </w:pPr>
      <w:r w:rsidRPr="002B7945">
        <w:rPr>
          <w:rStyle w:val="Refdenotaalpie"/>
          <w:rFonts w:cs="Arial"/>
          <w:sz w:val="16"/>
          <w:szCs w:val="16"/>
        </w:rPr>
        <w:footnoteRef/>
      </w:r>
      <w:r w:rsidRPr="002B7945">
        <w:rPr>
          <w:rFonts w:cs="Arial"/>
          <w:sz w:val="16"/>
          <w:szCs w:val="16"/>
        </w:rPr>
        <w:t xml:space="preserve"> Oficio Nro. MCEI-SDYNC-2018-0139, mediante el cual la República del Ecuador contesta el reclamo presentado por la empresa INDUALCA S.A., Anexo 3 (Escrito del Tribunal Distrital de lo Contencioso Administrativo), p. 4.</w:t>
      </w:r>
    </w:p>
  </w:footnote>
  <w:footnote w:id="27">
    <w:p w:rsidR="00B10EDD" w:rsidRPr="002B7945" w:rsidRDefault="00B10EDD" w:rsidP="00BE2FC9">
      <w:pPr>
        <w:pStyle w:val="Textonotapie"/>
        <w:tabs>
          <w:tab w:val="left" w:pos="284"/>
        </w:tabs>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Sentencia del Tribunal Distrital de lo Contencioso Administrativo No. 1 de fecha 21 de octubre de 2014, p. 13.</w:t>
      </w:r>
    </w:p>
  </w:footnote>
  <w:footnote w:id="28">
    <w:p w:rsidR="00B10EDD" w:rsidRPr="002B7945" w:rsidRDefault="00B10EDD" w:rsidP="002B7945">
      <w:pPr>
        <w:pStyle w:val="Textonotapie"/>
        <w:tabs>
          <w:tab w:val="left" w:pos="284"/>
        </w:tabs>
        <w:spacing w:line="240" w:lineRule="auto"/>
        <w:ind w:left="142" w:hanging="142"/>
        <w:rPr>
          <w:rFonts w:cs="Arial"/>
          <w:i/>
          <w:sz w:val="16"/>
          <w:szCs w:val="16"/>
        </w:rPr>
      </w:pPr>
      <w:r w:rsidRPr="002B7945">
        <w:rPr>
          <w:rStyle w:val="Refdenotaalpie"/>
          <w:rFonts w:cs="Arial"/>
          <w:sz w:val="16"/>
          <w:szCs w:val="16"/>
        </w:rPr>
        <w:footnoteRef/>
      </w:r>
      <w:r w:rsidRPr="002B7945">
        <w:rPr>
          <w:rFonts w:cs="Arial"/>
          <w:sz w:val="16"/>
          <w:szCs w:val="16"/>
        </w:rPr>
        <w:t xml:space="preserve"> De acuerdo con la señalado en el apartado “VISTOS” de la sentencia del Tribunal Distrital de lo Contencioso Administrativo No. 1, la reclamante interpuso demanda, a fin de que dicho Tribunal determine: “</w:t>
      </w:r>
      <w:r w:rsidRPr="002B7945">
        <w:rPr>
          <w:rFonts w:cs="Arial"/>
          <w:i/>
          <w:sz w:val="16"/>
          <w:szCs w:val="16"/>
        </w:rPr>
        <w:t xml:space="preserve">A. </w:t>
      </w:r>
      <w:r w:rsidRPr="002B7945">
        <w:rPr>
          <w:rFonts w:cs="Arial"/>
          <w:i/>
          <w:sz w:val="16"/>
          <w:szCs w:val="16"/>
          <w:u w:val="single"/>
        </w:rPr>
        <w:t>La existencia de actos de competencia desleal por parte de ECUAQUÍMICA</w:t>
      </w:r>
      <w:r w:rsidRPr="002B7945">
        <w:rPr>
          <w:rFonts w:cs="Arial"/>
          <w:i/>
          <w:sz w:val="16"/>
          <w:szCs w:val="16"/>
        </w:rPr>
        <w:t xml:space="preserve">, y sus representantes, el actual Gerente General y Presidente (por sus propios derechos) en contra de INDUALCA. B. Que estos actos de competencia desleal realizados por ECUAQUÍMICA, y sus representantes (…) provienen de: i) Actos de confusión. ii) El expendio de un producto que contiene ‘pentaclorofenol’, prohibido de importarse y comercializarse en el Ecuador; iii) </w:t>
      </w:r>
      <w:r w:rsidRPr="002B7945">
        <w:rPr>
          <w:rFonts w:cs="Arial"/>
          <w:i/>
          <w:sz w:val="16"/>
          <w:szCs w:val="16"/>
          <w:u w:val="single"/>
        </w:rPr>
        <w:t>Dilución de las marcas de INDUALCA</w:t>
      </w:r>
      <w:r w:rsidRPr="002B7945">
        <w:rPr>
          <w:rFonts w:cs="Arial"/>
          <w:i/>
          <w:sz w:val="16"/>
          <w:szCs w:val="16"/>
        </w:rPr>
        <w:t xml:space="preserve">; iv) Daño a la reputación comercial de INDUALCA; C. El cese inmediato de todo acto de competencia desleal por parte de ECUAQUÍMICA y/o sus representantes, el actual Gerente General y Presidente (por sus propios derechos); D. </w:t>
      </w:r>
      <w:r w:rsidRPr="002B7945">
        <w:rPr>
          <w:rFonts w:cs="Arial"/>
          <w:i/>
          <w:sz w:val="16"/>
          <w:szCs w:val="16"/>
          <w:u w:val="single"/>
        </w:rPr>
        <w:t>El pago de los daños y perjuicios, que se calcularán en la forma prevista en el Artículo 303 de la Ley de Propiedad Intelectual</w:t>
      </w:r>
      <w:r w:rsidRPr="002B7945">
        <w:rPr>
          <w:rFonts w:cs="Arial"/>
          <w:i/>
          <w:sz w:val="16"/>
          <w:szCs w:val="16"/>
        </w:rPr>
        <w:t>; E. La imposición a los demandados de la multa contemplada en el Artículo 303 de la Ley de Propiedad Intelectual; E. La imposición a los demandados de la multa contemplada en el Artículo 304 de la Ley de Propiedad Intelectual; y F. La cancelación de los gastos y las costas judiciales en los que se liquidará la tasa judicial y los honorarios de nuestros abogados defensores</w:t>
      </w:r>
      <w:r w:rsidRPr="002B7945">
        <w:rPr>
          <w:rFonts w:cs="Arial"/>
          <w:sz w:val="16"/>
          <w:szCs w:val="16"/>
        </w:rPr>
        <w:t>.” (Énfasis agregado)</w:t>
      </w:r>
    </w:p>
  </w:footnote>
  <w:footnote w:id="29">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Escrito de subsanación de la empresa INDUALCA S.A., p. 2.</w:t>
      </w:r>
    </w:p>
  </w:footnote>
  <w:footnote w:id="30">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ab/>
        <w:t xml:space="preserve">La Resolución No. 1270-2016, de fecha 21 de noviembre de 2016, fue emitida por la </w:t>
      </w:r>
      <w:r w:rsidRPr="002B7945">
        <w:rPr>
          <w:rFonts w:cs="Arial"/>
          <w:sz w:val="16"/>
          <w:szCs w:val="16"/>
          <w:lang w:val="es-ES"/>
        </w:rPr>
        <w:t xml:space="preserve">la Sala Especializada de lo Contencioso Administrativo de Quito, en atención al Recurso de Casación interpuesto por ECUAQUÍMICA </w:t>
      </w:r>
      <w:r w:rsidRPr="002B7945">
        <w:rPr>
          <w:rFonts w:cs="Arial"/>
          <w:sz w:val="16"/>
          <w:szCs w:val="16"/>
        </w:rPr>
        <w:t>contra la sentencia de fecha 21 de octubre de 2014, emitida por el Tribunal Distrital de lo Contencioso Administrativo No. 1. Cabe mencionar que, de acuerdo a lo señalado en las fojas 3 y 4 de la referida Resolución, ECUAQUÍMICA alegó, entre otros aspectos, que se ha producido falta de aplicación del Tratado de Creación del TJCA, del artículo 127 de la Decisión 500, y de la Decisión 486. La Resolución de la Sala fue presentada por la reclamante como anexo a su escrito de subsanación.</w:t>
      </w:r>
    </w:p>
  </w:footnote>
  <w:footnote w:id="31">
    <w:p w:rsidR="00B10EDD" w:rsidRPr="002B7945" w:rsidRDefault="00B10EDD" w:rsidP="0065256D">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Resolución No. 1279-2016, emitida por la Sala Especializada de lo Contencioso Administrativa, que resuelve el Recurso de Casación No. 102-2015, interpuesto por ECUAQUÍMICA contra la sentencia de fecha 21 de octubre de 2014, emitida por el Tribunal Distrital de lo Contencioso Administrativo No. 1, pp. 16 y 17.</w:t>
      </w:r>
    </w:p>
  </w:footnote>
  <w:footnote w:id="32">
    <w:p w:rsidR="00B10EDD" w:rsidRPr="002B7945" w:rsidRDefault="00B10EDD" w:rsidP="0065256D">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ab/>
        <w:t xml:space="preserve">La Resolución No. 1270-2016, de fecha 21 de noviembre de 2016, fue emitida por la </w:t>
      </w:r>
      <w:r w:rsidRPr="002B7945">
        <w:rPr>
          <w:rFonts w:cs="Arial"/>
          <w:sz w:val="16"/>
          <w:szCs w:val="16"/>
          <w:lang w:val="es-ES"/>
        </w:rPr>
        <w:t xml:space="preserve">la Sala Especializada de lo Contencioso Administrativo de Quito, en atención al Recurso de Casación interpuesto por ECUAQUÍMICA </w:t>
      </w:r>
      <w:r w:rsidRPr="002B7945">
        <w:rPr>
          <w:rFonts w:cs="Arial"/>
          <w:sz w:val="16"/>
          <w:szCs w:val="16"/>
        </w:rPr>
        <w:t>contra la sentencia de fecha 21 de octubre de 2014, emitida por el Tribunal Distrital de lo Contencioso Administrativo No. 1. Cabe mencionar que, d</w:t>
      </w:r>
      <w:r>
        <w:rPr>
          <w:rFonts w:cs="Arial"/>
          <w:sz w:val="16"/>
          <w:szCs w:val="16"/>
        </w:rPr>
        <w:t xml:space="preserve">e acuerdo a lo señalado en las páginas </w:t>
      </w:r>
      <w:r w:rsidRPr="002B7945">
        <w:rPr>
          <w:rFonts w:cs="Arial"/>
          <w:sz w:val="16"/>
          <w:szCs w:val="16"/>
        </w:rPr>
        <w:t>3 y 4 de la referida Resolución, ECUAQUÍMICA alegó, entre otros aspectos, que se ha producido falta de aplicación del Tratado de Creación del TJCA, del artículo 127 de la Decisión 500, y de la Decisión 486.</w:t>
      </w:r>
    </w:p>
  </w:footnote>
  <w:footnote w:id="33">
    <w:p w:rsidR="00B10EDD" w:rsidRPr="002B7945" w:rsidRDefault="00B10EDD" w:rsidP="0065256D">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Resolución No. 1279-2016, emitida por la Sala Especializada de lo Contencioso Administrativa, que resuelve el Recurso de Casación No. 102-2015, interpuesto por ECUAQUÍMICA contra la sentencia de fecha 21 de octubre, pp. 16 y 17.</w:t>
      </w:r>
    </w:p>
  </w:footnote>
  <w:footnote w:id="34">
    <w:p w:rsidR="00B10EDD" w:rsidRPr="002B7945" w:rsidRDefault="00B10EDD" w:rsidP="0065256D">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Mediante la Providencia de fecha 16 de enero de 2017, el Tribunal Distrital de lo Contencioso Administrativo designó a la señora Yolanda Del Carmen Méndez Jarrín para que presente un informe pericial, conforme a lo solicitado en la sentencia emitida el 21 de octubre de 2014.</w:t>
      </w:r>
    </w:p>
  </w:footnote>
  <w:footnote w:id="35">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Escrito de Reclamo presentado por INDUALCA S.A., p. 4.</w:t>
      </w:r>
    </w:p>
  </w:footnote>
  <w:footnote w:id="36">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Escrito de subsanación de la empresa INDUALCA S.A., p. 2.</w:t>
      </w:r>
    </w:p>
  </w:footnote>
  <w:footnote w:id="37">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En la Sentencia de fecha 21 de octubre, </w:t>
      </w:r>
      <w:r w:rsidRPr="002B7945">
        <w:rPr>
          <w:rFonts w:cs="Arial"/>
          <w:sz w:val="16"/>
          <w:szCs w:val="16"/>
          <w:lang w:val="es-ES"/>
        </w:rPr>
        <w:t>el Tribunal Distrital de lo Contencioso Administrativo No. 1 señaló lo siguiente: “</w:t>
      </w:r>
      <w:r w:rsidRPr="002B7945">
        <w:rPr>
          <w:rFonts w:cs="Arial"/>
          <w:i/>
          <w:sz w:val="16"/>
          <w:szCs w:val="16"/>
          <w:lang w:val="es-ES"/>
        </w:rPr>
        <w:t>QUINTO.- La actora alega notoriedad de sus marcas, sin embargo de la revisión de la prueba aportada se concluye que ésta no es suficiente para reconocer dicha notoriedad en observancia al Art. 196 que dice que se entenderá que un signo es notoriamente conocido cuando fuese identificado por el sector pertinente del público consumidor en el país o internacionalmente. SEXTO.- De acuerdo a la Ley de Propiedad Intelectual en su Art. 28, vigente a la presentación de esta demanda, ‘se consideran actos de competencia desleal entre otros, aquellos capaces de crear confusión, independiente del medio utilizado, respecto del establecimiento, de los productos (…); las aseveraciones falsas en el ejercicio del comercio capaces de desacreditar el establecimiento, los productos o los servicios (…), así como cualquier otro acto susceptible de dañar o diluir el activo intangible o la reputación de la empresa; las indicaciones o aseveraciones cuyo empleo en el ejercicio del comercio pudieren inducir al público a error (...). Se entenderá por dilución del activo intangible el desvanecimiento del carácter distintivo o del valor publicitario de una marca, (…). De la prueba aportada se puede determinar que ECUAQUÍMICA (…) ha realizado actos de competencia desleal en contra de la accionante al haber comercializado un producto que contiene ‘pentaclorofenol’, prohibido de importarse y comercializarse en el Ecuador utilizando la marca MADEROL sin autorización alguna, diluyendo el valor de la marca MADEROL del actor. (…)</w:t>
      </w:r>
      <w:r w:rsidRPr="002B7945">
        <w:rPr>
          <w:rFonts w:cs="Arial"/>
          <w:sz w:val="16"/>
          <w:szCs w:val="16"/>
          <w:lang w:val="es-ES"/>
        </w:rPr>
        <w:t>.”</w:t>
      </w:r>
    </w:p>
  </w:footnote>
  <w:footnote w:id="38">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Sentencia de fecha 7 de julio de 2017 del Proceso 01-AI-2015, Interpretación Prejudicial de fecha 17 de febrero de 1994 del Proceso 6-IP-93, Interpretación Prejudicial de fecha 3 de setiembre de 1999 del Proceso 30-IP-99, Interpretación Prejudicial de fecha 3 de diciembre de 1987 del Proceso 01-IP-87, Interpretación Prejudicial de fecha 25 de setiembre de 1990 del Proceso 3-IP-90, Interpretación Prejudicial de fecha 29 de agosto de 1997 del Proceso 11-IP-96, e Interpretación Prejudicial de fecha 10 de abril de 2002 del Proceso 01-IP-2002.</w:t>
      </w:r>
    </w:p>
  </w:footnote>
  <w:footnote w:id="39">
    <w:p w:rsidR="00B10EDD" w:rsidRPr="002B7945" w:rsidRDefault="00B10EDD" w:rsidP="002B7945">
      <w:pPr>
        <w:pStyle w:val="Prrafodelista"/>
        <w:widowControl/>
        <w:adjustRightInd/>
        <w:spacing w:line="240" w:lineRule="auto"/>
        <w:ind w:left="142" w:hanging="142"/>
        <w:contextualSpacing w:val="0"/>
        <w:textAlignment w:val="auto"/>
        <w:rPr>
          <w:rFonts w:cs="Arial"/>
          <w:sz w:val="16"/>
          <w:szCs w:val="16"/>
          <w:lang w:val="es-ES"/>
        </w:rPr>
      </w:pPr>
      <w:r w:rsidRPr="002B7945">
        <w:rPr>
          <w:rStyle w:val="Refdenotaalpie"/>
          <w:rFonts w:cs="Arial"/>
          <w:sz w:val="16"/>
          <w:szCs w:val="16"/>
        </w:rPr>
        <w:footnoteRef/>
      </w:r>
      <w:r w:rsidRPr="002B7945">
        <w:rPr>
          <w:rFonts w:cs="Arial"/>
          <w:sz w:val="16"/>
          <w:szCs w:val="16"/>
        </w:rPr>
        <w:t xml:space="preserve"> </w:t>
      </w:r>
      <w:r w:rsidRPr="002B7945">
        <w:rPr>
          <w:rFonts w:cs="Arial"/>
          <w:sz w:val="16"/>
          <w:szCs w:val="16"/>
          <w:lang w:val="es-ES"/>
        </w:rPr>
        <w:t>En concordancia a ello, cabe mencionar que el Reglamento que regula aspectos vinculados con la solicitud y emisión de Interpretaciones Prejudiciales (Acuerdo 04/2018) señala que la interpretación prejudicial es un mecanismo procesal mediante el cual el Tribunal de Justicia de la Comunidad Andina explica el contenido y alcances de las normas que conforman el ordenamiento jurídico comunitario andino, así como orienta respecto de las instituciones jurídicas contenidas en tales normas.</w:t>
      </w:r>
    </w:p>
    <w:p w:rsidR="00B10EDD" w:rsidRPr="002B7945" w:rsidRDefault="00B10EDD" w:rsidP="002B7945">
      <w:pPr>
        <w:pStyle w:val="Textonotapie"/>
        <w:spacing w:line="240" w:lineRule="auto"/>
        <w:rPr>
          <w:rFonts w:cs="Arial"/>
          <w:sz w:val="16"/>
          <w:szCs w:val="16"/>
          <w:lang w:val="es-ES"/>
        </w:rPr>
      </w:pPr>
    </w:p>
  </w:footnote>
  <w:footnote w:id="40">
    <w:p w:rsidR="00B10EDD" w:rsidRPr="002B7945" w:rsidRDefault="00B10EDD" w:rsidP="002B7945">
      <w:pPr>
        <w:pStyle w:val="Textonotapie"/>
        <w:spacing w:line="240" w:lineRule="auto"/>
        <w:rPr>
          <w:rFonts w:cs="Arial"/>
          <w:sz w:val="16"/>
          <w:szCs w:val="16"/>
        </w:rPr>
      </w:pPr>
      <w:r w:rsidRPr="002B7945">
        <w:rPr>
          <w:rStyle w:val="Refdenotaalpie"/>
          <w:rFonts w:cs="Arial"/>
          <w:sz w:val="16"/>
          <w:szCs w:val="16"/>
        </w:rPr>
        <w:footnoteRef/>
      </w:r>
      <w:r w:rsidRPr="002B7945">
        <w:rPr>
          <w:rFonts w:cs="Arial"/>
          <w:sz w:val="16"/>
          <w:szCs w:val="16"/>
        </w:rPr>
        <w:t xml:space="preserve"> Escrito de Reclamo presentado por INDUALCA S.A., pp. 8 y 9.</w:t>
      </w:r>
    </w:p>
  </w:footnote>
  <w:footnote w:id="41">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Escrito de subsanación de la empresa INDUALCA S.A., p.2. </w:t>
      </w:r>
    </w:p>
  </w:footnote>
  <w:footnote w:id="42">
    <w:p w:rsidR="00B10EDD" w:rsidRPr="002B7945" w:rsidRDefault="00B10EDD" w:rsidP="002B7945">
      <w:pPr>
        <w:pStyle w:val="Textonotapie"/>
        <w:tabs>
          <w:tab w:val="left" w:pos="142"/>
        </w:tabs>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w:t>
      </w:r>
      <w:r w:rsidRPr="002B7945">
        <w:rPr>
          <w:rFonts w:cs="Arial"/>
          <w:sz w:val="16"/>
          <w:szCs w:val="16"/>
          <w:lang w:val="es-MX"/>
        </w:rPr>
        <w:t>Oficio Nro. MCEI-SDYNC-2018-0139, mediante el cual la República del Ecuador contesta el reclamo presentado por la empresa INDUALCA S.A., Anexo 3 (Escrito del Tribunal Distrital de lo Contencioso Administrativo), p. 3.</w:t>
      </w:r>
    </w:p>
  </w:footnote>
  <w:footnote w:id="43">
    <w:p w:rsidR="00B10EDD" w:rsidRPr="002B7945" w:rsidRDefault="00B10EDD" w:rsidP="002B7945">
      <w:pPr>
        <w:pStyle w:val="Textonotapie"/>
        <w:spacing w:line="240" w:lineRule="auto"/>
        <w:ind w:left="142" w:hanging="142"/>
        <w:rPr>
          <w:rFonts w:cs="Arial"/>
          <w:sz w:val="16"/>
          <w:szCs w:val="16"/>
          <w:lang w:val="es-MX"/>
        </w:rPr>
      </w:pPr>
      <w:r w:rsidRPr="002B7945">
        <w:rPr>
          <w:rStyle w:val="Refdenotaalpie"/>
          <w:rFonts w:cs="Arial"/>
          <w:sz w:val="16"/>
          <w:szCs w:val="16"/>
        </w:rPr>
        <w:footnoteRef/>
      </w:r>
      <w:r w:rsidRPr="002B7945">
        <w:rPr>
          <w:rFonts w:cs="Arial"/>
          <w:sz w:val="16"/>
          <w:szCs w:val="16"/>
          <w:lang w:val="en-GB"/>
        </w:rPr>
        <w:t xml:space="preserve"> </w:t>
      </w:r>
      <w:r w:rsidRPr="002B7945">
        <w:rPr>
          <w:rFonts w:cs="Arial"/>
          <w:spacing w:val="-3"/>
          <w:sz w:val="16"/>
          <w:szCs w:val="16"/>
          <w:bdr w:val="none" w:sz="0" w:space="0" w:color="auto" w:frame="1"/>
          <w:lang w:val="en-GB"/>
        </w:rPr>
        <w:t>KEENAN, Denis (1989). “</w:t>
      </w:r>
      <w:r w:rsidRPr="002B7945">
        <w:rPr>
          <w:rFonts w:cs="Arial"/>
          <w:bCs/>
          <w:spacing w:val="-3"/>
          <w:sz w:val="16"/>
          <w:szCs w:val="16"/>
          <w:bdr w:val="none" w:sz="0" w:space="0" w:color="auto" w:frame="1"/>
          <w:lang w:val="en-US"/>
        </w:rPr>
        <w:t>English Law</w:t>
      </w:r>
      <w:r w:rsidRPr="002B7945">
        <w:rPr>
          <w:rFonts w:cs="Arial"/>
          <w:spacing w:val="-3"/>
          <w:sz w:val="16"/>
          <w:szCs w:val="16"/>
          <w:bdr w:val="none" w:sz="0" w:space="0" w:color="auto" w:frame="1"/>
          <w:shd w:val="clear" w:color="auto" w:fill="FFFFFF"/>
          <w:lang w:val="en-US"/>
        </w:rPr>
        <w:t xml:space="preserve">”. Londres. </w:t>
      </w:r>
      <w:r w:rsidRPr="002B7945">
        <w:rPr>
          <w:rFonts w:cs="Arial"/>
          <w:spacing w:val="-3"/>
          <w:sz w:val="16"/>
          <w:szCs w:val="16"/>
          <w:bdr w:val="none" w:sz="0" w:space="0" w:color="auto" w:frame="1"/>
          <w:shd w:val="clear" w:color="auto" w:fill="FFFFFF"/>
        </w:rPr>
        <w:t xml:space="preserve">Novena Edición. Pitman, p. 130 y siguientes. </w:t>
      </w:r>
    </w:p>
  </w:footnote>
  <w:footnote w:id="44">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De acuerdo con lo dispuesto en el artículo 3 del Reglamento que regula aspectos vinculados con la solicitud y emisión de Interpretaciones Prejudiciales (Acuerdo 04/2018), “[l]</w:t>
      </w:r>
      <w:r w:rsidRPr="002B7945">
        <w:rPr>
          <w:rFonts w:cs="Arial"/>
          <w:i/>
          <w:sz w:val="16"/>
          <w:szCs w:val="16"/>
        </w:rPr>
        <w:t>a Interpretación Prejudicial constituye una Sentencia emitida en el marco de un proceso judicial de carácter no contencioso</w:t>
      </w:r>
      <w:r w:rsidRPr="002B7945">
        <w:rPr>
          <w:rFonts w:cs="Arial"/>
          <w:sz w:val="16"/>
          <w:szCs w:val="16"/>
        </w:rPr>
        <w:t>”.</w:t>
      </w:r>
    </w:p>
  </w:footnote>
  <w:footnote w:id="45">
    <w:p w:rsidR="00B10EDD" w:rsidRPr="002B7945" w:rsidRDefault="00B10EDD" w:rsidP="002B7945">
      <w:pPr>
        <w:pStyle w:val="Textonotapie"/>
        <w:spacing w:line="240" w:lineRule="auto"/>
        <w:ind w:left="142" w:hanging="142"/>
        <w:rPr>
          <w:rFonts w:cs="Arial"/>
          <w:sz w:val="16"/>
          <w:szCs w:val="16"/>
          <w:lang w:val="es-MX"/>
        </w:rPr>
      </w:pPr>
      <w:r w:rsidRPr="002B7945">
        <w:rPr>
          <w:rStyle w:val="Refdenotaalpie"/>
          <w:rFonts w:cs="Arial"/>
          <w:sz w:val="16"/>
          <w:szCs w:val="16"/>
        </w:rPr>
        <w:footnoteRef/>
      </w:r>
      <w:r w:rsidRPr="002B7945">
        <w:rPr>
          <w:rFonts w:cs="Arial"/>
          <w:sz w:val="16"/>
          <w:szCs w:val="16"/>
        </w:rPr>
        <w:t xml:space="preserve"> RUBIO LLORENTE, Francisco (1993). “</w:t>
      </w:r>
      <w:r w:rsidRPr="002B7945">
        <w:rPr>
          <w:rFonts w:cs="Arial"/>
          <w:sz w:val="16"/>
          <w:szCs w:val="16"/>
          <w:shd w:val="clear" w:color="auto" w:fill="FFFFFF"/>
        </w:rPr>
        <w:t>La jurisdicción constitucional como forma de creación del derecho" en “</w:t>
      </w:r>
      <w:r w:rsidRPr="002B7945">
        <w:rPr>
          <w:rFonts w:cs="Arial"/>
          <w:bCs/>
          <w:sz w:val="16"/>
          <w:szCs w:val="16"/>
          <w:bdr w:val="none" w:sz="0" w:space="0" w:color="auto" w:frame="1"/>
        </w:rPr>
        <w:t>La forma del poder”</w:t>
      </w:r>
      <w:r w:rsidRPr="002B7945">
        <w:rPr>
          <w:rFonts w:cs="Arial"/>
          <w:sz w:val="16"/>
          <w:szCs w:val="16"/>
          <w:shd w:val="clear" w:color="auto" w:fill="FFFFFF"/>
        </w:rPr>
        <w:t xml:space="preserve">. Madrid. Centro de Estudios Constitucionales. p. 500 y siguientes. </w:t>
      </w:r>
    </w:p>
  </w:footnote>
  <w:footnote w:id="46">
    <w:p w:rsidR="00B10EDD" w:rsidRPr="002B7945" w:rsidRDefault="00B10EDD" w:rsidP="005D34F8">
      <w:pPr>
        <w:pStyle w:val="Ttulo2"/>
        <w:spacing w:before="0" w:line="240" w:lineRule="auto"/>
        <w:rPr>
          <w:rFonts w:ascii="Arial" w:hAnsi="Arial" w:cs="Arial"/>
          <w:color w:val="auto"/>
          <w:sz w:val="16"/>
          <w:szCs w:val="16"/>
          <w:lang w:val="es-MX"/>
        </w:rPr>
      </w:pPr>
      <w:r w:rsidRPr="002B7945">
        <w:rPr>
          <w:rStyle w:val="Refdenotaalpie"/>
          <w:rFonts w:ascii="Arial" w:eastAsia="Times New Roman" w:hAnsi="Arial" w:cs="Arial"/>
          <w:color w:val="auto"/>
          <w:sz w:val="16"/>
          <w:szCs w:val="16"/>
          <w:lang w:val="es-ES" w:eastAsia="en-US"/>
        </w:rPr>
        <w:footnoteRef/>
      </w:r>
      <w:r w:rsidRPr="002B7945">
        <w:rPr>
          <w:rStyle w:val="Refdenotaalpie"/>
          <w:rFonts w:ascii="Arial" w:eastAsia="Times New Roman" w:hAnsi="Arial" w:cs="Arial"/>
          <w:color w:val="auto"/>
          <w:sz w:val="16"/>
          <w:szCs w:val="16"/>
          <w:lang w:val="es-ES" w:eastAsia="en-US"/>
        </w:rPr>
        <w:t xml:space="preserve"> </w:t>
      </w:r>
      <w:r w:rsidRPr="002B7945">
        <w:rPr>
          <w:rFonts w:ascii="Arial" w:eastAsia="Times New Roman" w:hAnsi="Arial" w:cs="Arial"/>
          <w:color w:val="auto"/>
          <w:sz w:val="16"/>
          <w:szCs w:val="16"/>
          <w:shd w:val="clear" w:color="auto" w:fill="FFFFFF"/>
          <w:lang w:val="es-ES" w:eastAsia="en-US"/>
        </w:rPr>
        <w:t xml:space="preserve">Sentencia SU047/99 de la Corte Suprema de la República de Colombia. p. 53. </w:t>
      </w:r>
    </w:p>
  </w:footnote>
  <w:footnote w:id="47">
    <w:p w:rsidR="00B10EDD" w:rsidRPr="002B7945" w:rsidRDefault="00B10EDD" w:rsidP="005D34F8">
      <w:pPr>
        <w:pStyle w:val="Textonotapie"/>
        <w:spacing w:line="240" w:lineRule="auto"/>
        <w:rPr>
          <w:rFonts w:cs="Arial"/>
          <w:sz w:val="16"/>
          <w:szCs w:val="16"/>
          <w:lang w:val="es-MX"/>
        </w:rPr>
      </w:pPr>
      <w:r w:rsidRPr="002B7945">
        <w:rPr>
          <w:rStyle w:val="Refdenotaalpie"/>
          <w:rFonts w:cs="Arial"/>
          <w:sz w:val="16"/>
          <w:szCs w:val="16"/>
        </w:rPr>
        <w:footnoteRef/>
      </w:r>
      <w:r w:rsidRPr="002B7945">
        <w:rPr>
          <w:rStyle w:val="Refdenotaalpie"/>
          <w:rFonts w:cs="Arial"/>
          <w:sz w:val="16"/>
          <w:szCs w:val="16"/>
        </w:rPr>
        <w:t xml:space="preserve"> </w:t>
      </w:r>
      <w:r w:rsidRPr="002B7945">
        <w:rPr>
          <w:rFonts w:cs="Arial"/>
          <w:bCs/>
          <w:sz w:val="16"/>
          <w:szCs w:val="16"/>
          <w:shd w:val="clear" w:color="auto" w:fill="FFFFFF"/>
        </w:rPr>
        <w:t>TUPAYACHI SOTOMAYOR, Jhonny (2009). El precedente constitucional vinculante en el Perú. Adrus, Perú. p. 55.</w:t>
      </w:r>
    </w:p>
  </w:footnote>
  <w:footnote w:id="48">
    <w:p w:rsidR="00B10EDD" w:rsidRPr="002B7945" w:rsidRDefault="00B10EDD" w:rsidP="005D34F8">
      <w:pPr>
        <w:pStyle w:val="Textonotapie"/>
        <w:spacing w:line="240" w:lineRule="auto"/>
        <w:rPr>
          <w:rFonts w:cs="Arial"/>
          <w:sz w:val="16"/>
          <w:szCs w:val="16"/>
          <w:lang w:val="es-MX"/>
        </w:rPr>
      </w:pPr>
      <w:r w:rsidRPr="002B7945">
        <w:rPr>
          <w:rStyle w:val="Refdenotaalpie"/>
          <w:rFonts w:cs="Arial"/>
          <w:sz w:val="16"/>
          <w:szCs w:val="16"/>
        </w:rPr>
        <w:footnoteRef/>
      </w:r>
      <w:r w:rsidRPr="002B7945">
        <w:rPr>
          <w:rStyle w:val="Refdenotaalpie"/>
          <w:rFonts w:cs="Arial"/>
          <w:sz w:val="16"/>
          <w:szCs w:val="16"/>
        </w:rPr>
        <w:t xml:space="preserve"> </w:t>
      </w:r>
      <w:r w:rsidRPr="002B7945">
        <w:rPr>
          <w:rFonts w:cs="Arial"/>
          <w:bCs/>
          <w:sz w:val="16"/>
          <w:szCs w:val="16"/>
          <w:shd w:val="clear" w:color="auto" w:fill="FFFFFF"/>
        </w:rPr>
        <w:t>Sentencia No. 029-15-SIS-CC, caso No. 0019-12-1S de la Corte Constitucional del Ecuador.</w:t>
      </w:r>
    </w:p>
  </w:footnote>
  <w:footnote w:id="49">
    <w:p w:rsidR="00B10EDD" w:rsidRPr="002B7945" w:rsidRDefault="00B10EDD" w:rsidP="005D34F8">
      <w:pPr>
        <w:pStyle w:val="Textonotapie"/>
        <w:spacing w:line="240" w:lineRule="auto"/>
        <w:rPr>
          <w:rFonts w:cs="Arial"/>
          <w:sz w:val="16"/>
          <w:szCs w:val="16"/>
          <w:lang w:val="es-MX"/>
        </w:rPr>
      </w:pPr>
      <w:r w:rsidRPr="002B7945">
        <w:rPr>
          <w:rStyle w:val="Refdenotaalpie"/>
          <w:rFonts w:cs="Arial"/>
          <w:sz w:val="16"/>
          <w:szCs w:val="16"/>
        </w:rPr>
        <w:footnoteRef/>
      </w:r>
      <w:r w:rsidRPr="002B7945">
        <w:rPr>
          <w:rFonts w:cs="Arial"/>
          <w:sz w:val="16"/>
          <w:szCs w:val="16"/>
        </w:rPr>
        <w:t xml:space="preserve"> </w:t>
      </w:r>
      <w:r w:rsidRPr="002B7945">
        <w:rPr>
          <w:rFonts w:cs="Arial"/>
          <w:bCs/>
          <w:sz w:val="16"/>
          <w:szCs w:val="16"/>
          <w:shd w:val="clear" w:color="auto" w:fill="FFFFFF"/>
        </w:rPr>
        <w:t>Sentencia SU047/99 de la Corte Suprema de la República de Colombia. p. 54.</w:t>
      </w:r>
    </w:p>
  </w:footnote>
  <w:footnote w:id="50">
    <w:p w:rsidR="00B10EDD" w:rsidRPr="002B7945" w:rsidRDefault="00B10EDD" w:rsidP="002B7945">
      <w:pPr>
        <w:pStyle w:val="Textonotapie"/>
        <w:spacing w:line="240" w:lineRule="auto"/>
        <w:rPr>
          <w:rFonts w:cs="Arial"/>
          <w:sz w:val="16"/>
          <w:szCs w:val="16"/>
        </w:rPr>
      </w:pPr>
      <w:r w:rsidRPr="002B7945">
        <w:rPr>
          <w:rStyle w:val="Refdenotaalpie"/>
          <w:rFonts w:cs="Arial"/>
          <w:sz w:val="16"/>
          <w:szCs w:val="16"/>
        </w:rPr>
        <w:footnoteRef/>
      </w:r>
      <w:r w:rsidRPr="002B7945">
        <w:rPr>
          <w:rFonts w:cs="Arial"/>
          <w:sz w:val="16"/>
          <w:szCs w:val="16"/>
        </w:rPr>
        <w:t xml:space="preserve"> Escrito de subsanación de INDUALCA S.A., p.2. </w:t>
      </w:r>
    </w:p>
  </w:footnote>
  <w:footnote w:id="51">
    <w:p w:rsidR="00B10EDD" w:rsidRPr="002B7945" w:rsidRDefault="00B10EDD" w:rsidP="002B7945">
      <w:pPr>
        <w:pStyle w:val="Textonotapie"/>
        <w:spacing w:line="240" w:lineRule="auto"/>
        <w:ind w:left="142" w:hanging="142"/>
        <w:rPr>
          <w:rFonts w:cs="Arial"/>
          <w:sz w:val="16"/>
          <w:szCs w:val="16"/>
        </w:rPr>
      </w:pPr>
      <w:r w:rsidRPr="002B7945">
        <w:rPr>
          <w:rStyle w:val="Refdenotaalpie"/>
          <w:rFonts w:cs="Arial"/>
          <w:sz w:val="16"/>
          <w:szCs w:val="16"/>
        </w:rPr>
        <w:footnoteRef/>
      </w:r>
      <w:r w:rsidRPr="002B7945">
        <w:rPr>
          <w:rFonts w:cs="Arial"/>
          <w:sz w:val="16"/>
          <w:szCs w:val="16"/>
        </w:rPr>
        <w:t xml:space="preserve"> Resolución No. 1279-2016, emitida por la Sala Especializada de lo Contencioso Administrativa, que resuelve el Recurso de Casación No. 102-2015, interpuesto por ECUAQUÍMICA contra la sentencia de fecha 21 de octubre, p. 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885"/>
    <w:multiLevelType w:val="hybridMultilevel"/>
    <w:tmpl w:val="F26CDF90"/>
    <w:lvl w:ilvl="0" w:tplc="3A009A40">
      <w:start w:val="1"/>
      <w:numFmt w:val="decimal"/>
      <w:lvlText w:val="[%1]"/>
      <w:lvlJc w:val="left"/>
      <w:pPr>
        <w:ind w:left="786"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85EC18B0">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2673F0D"/>
    <w:multiLevelType w:val="multilevel"/>
    <w:tmpl w:val="48E4E5F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2A0329A"/>
    <w:multiLevelType w:val="hybridMultilevel"/>
    <w:tmpl w:val="258A7BF8"/>
    <w:lvl w:ilvl="0" w:tplc="0DEA088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4483EA6"/>
    <w:multiLevelType w:val="multilevel"/>
    <w:tmpl w:val="ED4AEC66"/>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
    <w:nsid w:val="14484D12"/>
    <w:multiLevelType w:val="singleLevel"/>
    <w:tmpl w:val="7DCA488A"/>
    <w:lvl w:ilvl="0">
      <w:start w:val="1"/>
      <w:numFmt w:val="lowerLetter"/>
      <w:lvlText w:val="%1)"/>
      <w:legacy w:legacy="1" w:legacySpace="0" w:legacyIndent="720"/>
      <w:lvlJc w:val="left"/>
      <w:pPr>
        <w:ind w:left="720" w:hanging="720"/>
      </w:pPr>
    </w:lvl>
  </w:abstractNum>
  <w:abstractNum w:abstractNumId="5">
    <w:nsid w:val="1462311D"/>
    <w:multiLevelType w:val="hybridMultilevel"/>
    <w:tmpl w:val="F6BE6874"/>
    <w:lvl w:ilvl="0" w:tplc="0DEA088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512111D"/>
    <w:multiLevelType w:val="hybridMultilevel"/>
    <w:tmpl w:val="90B29B4C"/>
    <w:lvl w:ilvl="0" w:tplc="1DEA124E">
      <w:start w:val="1"/>
      <w:numFmt w:val="decimal"/>
      <w:lvlText w:val="[%1]"/>
      <w:lvlJc w:val="left"/>
      <w:pPr>
        <w:ind w:left="1211"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28883B1C">
      <w:start w:val="1"/>
      <w:numFmt w:val="lowerRoman"/>
      <w:lvlText w:val="(%3)"/>
      <w:lvlJc w:val="left"/>
      <w:pPr>
        <w:ind w:left="2700" w:hanging="720"/>
      </w:pPr>
      <w:rPr>
        <w:rFonts w:hint="default"/>
        <w:i w:val="0"/>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1183F5B"/>
    <w:multiLevelType w:val="hybridMultilevel"/>
    <w:tmpl w:val="AE1270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45D37E0"/>
    <w:multiLevelType w:val="multilevel"/>
    <w:tmpl w:val="B0680B8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562662D"/>
    <w:multiLevelType w:val="hybridMultilevel"/>
    <w:tmpl w:val="1A6E788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99504C4"/>
    <w:multiLevelType w:val="hybridMultilevel"/>
    <w:tmpl w:val="71902D56"/>
    <w:lvl w:ilvl="0" w:tplc="978E9684">
      <w:start w:val="1"/>
      <w:numFmt w:val="decimal"/>
      <w:lvlText w:val="[%1]"/>
      <w:lvlJc w:val="left"/>
      <w:pPr>
        <w:ind w:left="1495" w:hanging="360"/>
      </w:pPr>
      <w:rPr>
        <w:rFonts w:hint="default"/>
        <w:b w:val="0"/>
        <w:i w:val="0"/>
        <w:color w:val="auto"/>
        <w:sz w:val="16"/>
        <w:szCs w:val="16"/>
        <w:lang w:val="es-PE"/>
      </w:rPr>
    </w:lvl>
    <w:lvl w:ilvl="1" w:tplc="280A0019">
      <w:start w:val="1"/>
      <w:numFmt w:val="lowerLetter"/>
      <w:lvlText w:val="%2."/>
      <w:lvlJc w:val="left"/>
      <w:pPr>
        <w:ind w:left="1440" w:hanging="360"/>
      </w:pPr>
    </w:lvl>
    <w:lvl w:ilvl="2" w:tplc="85EC18B0">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1014192"/>
    <w:multiLevelType w:val="hybridMultilevel"/>
    <w:tmpl w:val="9E8A907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2F23CA7"/>
    <w:multiLevelType w:val="multilevel"/>
    <w:tmpl w:val="050CD7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94D10B3"/>
    <w:multiLevelType w:val="hybridMultilevel"/>
    <w:tmpl w:val="8DA2097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9664667"/>
    <w:multiLevelType w:val="hybridMultilevel"/>
    <w:tmpl w:val="60CAA4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F4E5A72"/>
    <w:multiLevelType w:val="hybridMultilevel"/>
    <w:tmpl w:val="39F00360"/>
    <w:lvl w:ilvl="0" w:tplc="546ABE06">
      <w:start w:val="1"/>
      <w:numFmt w:val="decimal"/>
      <w:lvlText w:val="[%1]"/>
      <w:lvlJc w:val="left"/>
      <w:pPr>
        <w:ind w:left="720" w:hanging="360"/>
      </w:pPr>
      <w:rPr>
        <w:rFonts w:hint="default"/>
        <w:b w:val="0"/>
        <w:i w:val="0"/>
        <w:color w:val="auto"/>
        <w:sz w:val="16"/>
        <w:szCs w:val="16"/>
      </w:rPr>
    </w:lvl>
    <w:lvl w:ilvl="1" w:tplc="BDF622BC">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15E6948"/>
    <w:multiLevelType w:val="hybridMultilevel"/>
    <w:tmpl w:val="AC76DC32"/>
    <w:lvl w:ilvl="0" w:tplc="546ABE06">
      <w:start w:val="1"/>
      <w:numFmt w:val="decimal"/>
      <w:lvlText w:val="[%1]"/>
      <w:lvlJc w:val="left"/>
      <w:pPr>
        <w:ind w:left="720" w:hanging="360"/>
      </w:pPr>
      <w:rPr>
        <w:rFonts w:hint="default"/>
        <w:b w:val="0"/>
        <w:i w:val="0"/>
        <w:color w:val="auto"/>
        <w:sz w:val="16"/>
        <w:szCs w:val="16"/>
      </w:rPr>
    </w:lvl>
    <w:lvl w:ilvl="1" w:tplc="BDF622BC">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87D3636"/>
    <w:multiLevelType w:val="hybridMultilevel"/>
    <w:tmpl w:val="1360C412"/>
    <w:lvl w:ilvl="0" w:tplc="5E4A9EA2">
      <w:start w:val="1"/>
      <w:numFmt w:val="upperLetter"/>
      <w:lvlText w:val="%1)"/>
      <w:lvlJc w:val="left"/>
      <w:pPr>
        <w:ind w:left="2520" w:hanging="360"/>
      </w:pPr>
      <w:rPr>
        <w:rFonts w:hint="default"/>
      </w:rPr>
    </w:lvl>
    <w:lvl w:ilvl="1" w:tplc="280A0019" w:tentative="1">
      <w:start w:val="1"/>
      <w:numFmt w:val="lowerLetter"/>
      <w:lvlText w:val="%2."/>
      <w:lvlJc w:val="left"/>
      <w:pPr>
        <w:ind w:left="3240" w:hanging="360"/>
      </w:pPr>
    </w:lvl>
    <w:lvl w:ilvl="2" w:tplc="280A001B">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18">
    <w:nsid w:val="4C1C23F5"/>
    <w:multiLevelType w:val="hybridMultilevel"/>
    <w:tmpl w:val="407083FA"/>
    <w:lvl w:ilvl="0" w:tplc="F70C3846">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9">
    <w:nsid w:val="4F84338F"/>
    <w:multiLevelType w:val="multilevel"/>
    <w:tmpl w:val="5A7C9D1C"/>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nsid w:val="50C01ADB"/>
    <w:multiLevelType w:val="hybridMultilevel"/>
    <w:tmpl w:val="14B02C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1196E78"/>
    <w:multiLevelType w:val="hybridMultilevel"/>
    <w:tmpl w:val="8DA2097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9CA5101"/>
    <w:multiLevelType w:val="hybridMultilevel"/>
    <w:tmpl w:val="C0C864DA"/>
    <w:lvl w:ilvl="0" w:tplc="280A0001">
      <w:start w:val="1"/>
      <w:numFmt w:val="bullet"/>
      <w:lvlText w:val=""/>
      <w:lvlJc w:val="left"/>
      <w:pPr>
        <w:ind w:left="1080" w:hanging="72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AE13CE0"/>
    <w:multiLevelType w:val="hybridMultilevel"/>
    <w:tmpl w:val="5B44B92C"/>
    <w:lvl w:ilvl="0" w:tplc="280A001B">
      <w:start w:val="1"/>
      <w:numFmt w:val="lowerRoman"/>
      <w:lvlText w:val="%1."/>
      <w:lvlJc w:val="right"/>
      <w:pPr>
        <w:ind w:left="1004" w:hanging="360"/>
      </w:pPr>
    </w:lvl>
    <w:lvl w:ilvl="1" w:tplc="280A0019" w:tentative="1">
      <w:start w:val="1"/>
      <w:numFmt w:val="lowerLetter"/>
      <w:lvlText w:val="%2."/>
      <w:lvlJc w:val="left"/>
      <w:pPr>
        <w:ind w:left="1724" w:hanging="360"/>
      </w:pPr>
    </w:lvl>
    <w:lvl w:ilvl="2" w:tplc="280A001B">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4">
    <w:nsid w:val="5B010941"/>
    <w:multiLevelType w:val="hybridMultilevel"/>
    <w:tmpl w:val="02FA888E"/>
    <w:lvl w:ilvl="0" w:tplc="300A6B30">
      <w:start w:val="1"/>
      <w:numFmt w:val="lowerLetter"/>
      <w:lvlText w:val="%1)"/>
      <w:lvlJc w:val="left"/>
      <w:pPr>
        <w:ind w:left="927" w:hanging="360"/>
      </w:pPr>
      <w:rPr>
        <w:rFonts w:hint="default"/>
        <w:i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nsid w:val="5B021DDF"/>
    <w:multiLevelType w:val="hybridMultilevel"/>
    <w:tmpl w:val="88A48582"/>
    <w:lvl w:ilvl="0" w:tplc="325C650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EE23C82"/>
    <w:multiLevelType w:val="hybridMultilevel"/>
    <w:tmpl w:val="2F2AE932"/>
    <w:lvl w:ilvl="0" w:tplc="FFFFFFFF">
      <w:start w:val="5"/>
      <w:numFmt w:val="lowerLetter"/>
      <w:lvlText w:val="%1."/>
      <w:lvlJc w:val="left"/>
      <w:pPr>
        <w:tabs>
          <w:tab w:val="num" w:pos="1440"/>
        </w:tabs>
        <w:ind w:left="1440" w:hanging="360"/>
      </w:pPr>
      <w:rPr>
        <w:rFonts w:hint="default"/>
      </w:rPr>
    </w:lvl>
    <w:lvl w:ilvl="1" w:tplc="FFFFFFFF">
      <w:start w:val="1"/>
      <w:numFmt w:val="upperLetter"/>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start w:val="1"/>
      <w:numFmt w:val="lowerLetter"/>
      <w:lvlText w:val="%4)"/>
      <w:lvlJc w:val="left"/>
      <w:pPr>
        <w:tabs>
          <w:tab w:val="num" w:pos="3600"/>
        </w:tabs>
        <w:ind w:left="3600" w:hanging="360"/>
      </w:pPr>
      <w:rPr>
        <w:rFonts w:hint="default"/>
      </w:rPr>
    </w:lvl>
    <w:lvl w:ilvl="4" w:tplc="1E1458A6">
      <w:start w:val="1"/>
      <w:numFmt w:val="decimal"/>
      <w:lvlText w:val="%5."/>
      <w:lvlJc w:val="left"/>
      <w:pPr>
        <w:tabs>
          <w:tab w:val="num" w:pos="1637"/>
        </w:tabs>
        <w:ind w:left="1637" w:hanging="360"/>
      </w:pPr>
      <w:rPr>
        <w:rFonts w:hint="default"/>
        <w:b/>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7">
    <w:nsid w:val="61A66F5B"/>
    <w:multiLevelType w:val="hybridMultilevel"/>
    <w:tmpl w:val="1202136C"/>
    <w:lvl w:ilvl="0" w:tplc="0C0A0005">
      <w:start w:val="1"/>
      <w:numFmt w:val="bullet"/>
      <w:lvlText w:val=""/>
      <w:lvlJc w:val="left"/>
      <w:pPr>
        <w:tabs>
          <w:tab w:val="num" w:pos="1068"/>
        </w:tabs>
        <w:ind w:left="1068" w:hanging="360"/>
      </w:pPr>
      <w:rPr>
        <w:rFonts w:ascii="Wingdings" w:hAnsi="Wingding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8">
    <w:nsid w:val="62F64F67"/>
    <w:multiLevelType w:val="multilevel"/>
    <w:tmpl w:val="B2B68F42"/>
    <w:lvl w:ilvl="0">
      <w:start w:val="5"/>
      <w:numFmt w:val="decimal"/>
      <w:lvlText w:val="%1."/>
      <w:lvlJc w:val="left"/>
      <w:pPr>
        <w:ind w:left="540" w:hanging="54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1571"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68623574"/>
    <w:multiLevelType w:val="hybridMultilevel"/>
    <w:tmpl w:val="EED02D6C"/>
    <w:lvl w:ilvl="0" w:tplc="CB10B5A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FA85E19"/>
    <w:multiLevelType w:val="hybridMultilevel"/>
    <w:tmpl w:val="384AEE7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2F160E6"/>
    <w:multiLevelType w:val="multilevel"/>
    <w:tmpl w:val="4A6CA84C"/>
    <w:lvl w:ilvl="0">
      <w:start w:val="1"/>
      <w:numFmt w:val="decimal"/>
      <w:lvlText w:val="%1."/>
      <w:lvlJc w:val="left"/>
      <w:pPr>
        <w:ind w:left="-66"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932" w:hanging="1080"/>
      </w:pPr>
      <w:rPr>
        <w:rFonts w:hint="default"/>
        <w:b/>
      </w:rPr>
    </w:lvl>
    <w:lvl w:ilvl="4">
      <w:start w:val="1"/>
      <w:numFmt w:val="decimal"/>
      <w:isLgl/>
      <w:lvlText w:val="%1.%2.%3.%4.%5."/>
      <w:lvlJc w:val="left"/>
      <w:pPr>
        <w:ind w:left="2358" w:hanging="1080"/>
      </w:pPr>
      <w:rPr>
        <w:rFonts w:hint="default"/>
        <w:b/>
      </w:rPr>
    </w:lvl>
    <w:lvl w:ilvl="5">
      <w:start w:val="1"/>
      <w:numFmt w:val="decimal"/>
      <w:isLgl/>
      <w:lvlText w:val="%1.%2.%3.%4.%5.%6."/>
      <w:lvlJc w:val="left"/>
      <w:pPr>
        <w:ind w:left="3144" w:hanging="1440"/>
      </w:pPr>
      <w:rPr>
        <w:rFonts w:hint="default"/>
        <w:b/>
      </w:rPr>
    </w:lvl>
    <w:lvl w:ilvl="6">
      <w:start w:val="1"/>
      <w:numFmt w:val="decimal"/>
      <w:isLgl/>
      <w:lvlText w:val="%1.%2.%3.%4.%5.%6.%7."/>
      <w:lvlJc w:val="left"/>
      <w:pPr>
        <w:ind w:left="3570" w:hanging="1440"/>
      </w:pPr>
      <w:rPr>
        <w:rFonts w:hint="default"/>
        <w:b/>
      </w:rPr>
    </w:lvl>
    <w:lvl w:ilvl="7">
      <w:start w:val="1"/>
      <w:numFmt w:val="decimal"/>
      <w:isLgl/>
      <w:lvlText w:val="%1.%2.%3.%4.%5.%6.%7.%8."/>
      <w:lvlJc w:val="left"/>
      <w:pPr>
        <w:ind w:left="4356" w:hanging="1800"/>
      </w:pPr>
      <w:rPr>
        <w:rFonts w:hint="default"/>
        <w:b/>
      </w:rPr>
    </w:lvl>
    <w:lvl w:ilvl="8">
      <w:start w:val="1"/>
      <w:numFmt w:val="decimal"/>
      <w:isLgl/>
      <w:lvlText w:val="%1.%2.%3.%4.%5.%6.%7.%8.%9."/>
      <w:lvlJc w:val="left"/>
      <w:pPr>
        <w:ind w:left="4782" w:hanging="1800"/>
      </w:pPr>
      <w:rPr>
        <w:rFonts w:hint="default"/>
        <w:b/>
      </w:rPr>
    </w:lvl>
  </w:abstractNum>
  <w:abstractNum w:abstractNumId="32">
    <w:nsid w:val="757736EC"/>
    <w:multiLevelType w:val="hybridMultilevel"/>
    <w:tmpl w:val="9266FE54"/>
    <w:lvl w:ilvl="0" w:tplc="09E608E4">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3">
    <w:nsid w:val="75DB17C4"/>
    <w:multiLevelType w:val="hybridMultilevel"/>
    <w:tmpl w:val="DBA613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767A71FA"/>
    <w:multiLevelType w:val="hybridMultilevel"/>
    <w:tmpl w:val="A4E449E8"/>
    <w:lvl w:ilvl="0" w:tplc="0C0A0005">
      <w:start w:val="1"/>
      <w:numFmt w:val="bullet"/>
      <w:lvlText w:val=""/>
      <w:lvlJc w:val="left"/>
      <w:pPr>
        <w:tabs>
          <w:tab w:val="num" w:pos="1776"/>
        </w:tabs>
        <w:ind w:left="1776" w:hanging="360"/>
      </w:pPr>
      <w:rPr>
        <w:rFonts w:ascii="Wingdings" w:hAnsi="Wingding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5">
    <w:nsid w:val="779F6CB3"/>
    <w:multiLevelType w:val="hybridMultilevel"/>
    <w:tmpl w:val="258A7BF8"/>
    <w:lvl w:ilvl="0" w:tplc="0DEA088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9EB77F3"/>
    <w:multiLevelType w:val="hybridMultilevel"/>
    <w:tmpl w:val="DBF273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2"/>
  </w:num>
  <w:num w:numId="4">
    <w:abstractNumId w:val="19"/>
  </w:num>
  <w:num w:numId="5">
    <w:abstractNumId w:val="28"/>
  </w:num>
  <w:num w:numId="6">
    <w:abstractNumId w:val="27"/>
  </w:num>
  <w:num w:numId="7">
    <w:abstractNumId w:val="35"/>
  </w:num>
  <w:num w:numId="8">
    <w:abstractNumId w:val="5"/>
  </w:num>
  <w:num w:numId="9">
    <w:abstractNumId w:val="26"/>
  </w:num>
  <w:num w:numId="10">
    <w:abstractNumId w:val="34"/>
  </w:num>
  <w:num w:numId="11">
    <w:abstractNumId w:val="16"/>
  </w:num>
  <w:num w:numId="12">
    <w:abstractNumId w:val="4"/>
  </w:num>
  <w:num w:numId="13">
    <w:abstractNumId w:val="23"/>
  </w:num>
  <w:num w:numId="14">
    <w:abstractNumId w:val="2"/>
  </w:num>
  <w:num w:numId="15">
    <w:abstractNumId w:val="6"/>
  </w:num>
  <w:num w:numId="16">
    <w:abstractNumId w:val="20"/>
  </w:num>
  <w:num w:numId="17">
    <w:abstractNumId w:val="33"/>
  </w:num>
  <w:num w:numId="18">
    <w:abstractNumId w:val="36"/>
  </w:num>
  <w:num w:numId="19">
    <w:abstractNumId w:val="13"/>
  </w:num>
  <w:num w:numId="20">
    <w:abstractNumId w:val="21"/>
  </w:num>
  <w:num w:numId="21">
    <w:abstractNumId w:val="22"/>
  </w:num>
  <w:num w:numId="22">
    <w:abstractNumId w:val="3"/>
  </w:num>
  <w:num w:numId="23">
    <w:abstractNumId w:val="8"/>
  </w:num>
  <w:num w:numId="24">
    <w:abstractNumId w:val="1"/>
  </w:num>
  <w:num w:numId="25">
    <w:abstractNumId w:val="31"/>
  </w:num>
  <w:num w:numId="26">
    <w:abstractNumId w:val="7"/>
  </w:num>
  <w:num w:numId="27">
    <w:abstractNumId w:val="9"/>
  </w:num>
  <w:num w:numId="28">
    <w:abstractNumId w:val="11"/>
  </w:num>
  <w:num w:numId="29">
    <w:abstractNumId w:val="14"/>
  </w:num>
  <w:num w:numId="30">
    <w:abstractNumId w:val="17"/>
  </w:num>
  <w:num w:numId="31">
    <w:abstractNumId w:val="25"/>
  </w:num>
  <w:num w:numId="32">
    <w:abstractNumId w:val="30"/>
  </w:num>
  <w:num w:numId="33">
    <w:abstractNumId w:val="24"/>
  </w:num>
  <w:num w:numId="34">
    <w:abstractNumId w:val="15"/>
  </w:num>
  <w:num w:numId="35">
    <w:abstractNumId w:val="10"/>
  </w:num>
  <w:num w:numId="36">
    <w:abstractNumId w:val="18"/>
  </w:num>
  <w:num w:numId="37">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ca Arias Rico">
    <w15:presenceInfo w15:providerId="None" w15:userId="Monica Arias 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971FEA"/>
    <w:rsid w:val="000006AF"/>
    <w:rsid w:val="00000D0C"/>
    <w:rsid w:val="0000116F"/>
    <w:rsid w:val="000015B0"/>
    <w:rsid w:val="00001AC5"/>
    <w:rsid w:val="000024E8"/>
    <w:rsid w:val="00003075"/>
    <w:rsid w:val="0000516B"/>
    <w:rsid w:val="0000560A"/>
    <w:rsid w:val="00005E85"/>
    <w:rsid w:val="00006173"/>
    <w:rsid w:val="0000707F"/>
    <w:rsid w:val="0001047E"/>
    <w:rsid w:val="00010AB3"/>
    <w:rsid w:val="00011109"/>
    <w:rsid w:val="000125D0"/>
    <w:rsid w:val="00014D7C"/>
    <w:rsid w:val="00016566"/>
    <w:rsid w:val="00017031"/>
    <w:rsid w:val="00022611"/>
    <w:rsid w:val="000232DB"/>
    <w:rsid w:val="00024CA2"/>
    <w:rsid w:val="00024DB8"/>
    <w:rsid w:val="00025460"/>
    <w:rsid w:val="00026C1B"/>
    <w:rsid w:val="000315BD"/>
    <w:rsid w:val="00031932"/>
    <w:rsid w:val="00035AD2"/>
    <w:rsid w:val="000360E4"/>
    <w:rsid w:val="0003775F"/>
    <w:rsid w:val="00037F4C"/>
    <w:rsid w:val="000401D9"/>
    <w:rsid w:val="000413AE"/>
    <w:rsid w:val="0004236C"/>
    <w:rsid w:val="00043338"/>
    <w:rsid w:val="00043A70"/>
    <w:rsid w:val="00044540"/>
    <w:rsid w:val="00044BF5"/>
    <w:rsid w:val="00045145"/>
    <w:rsid w:val="000452A1"/>
    <w:rsid w:val="0004601E"/>
    <w:rsid w:val="00046525"/>
    <w:rsid w:val="00047BA4"/>
    <w:rsid w:val="00051EBC"/>
    <w:rsid w:val="00055137"/>
    <w:rsid w:val="000555F7"/>
    <w:rsid w:val="00056A52"/>
    <w:rsid w:val="00057287"/>
    <w:rsid w:val="00057F0E"/>
    <w:rsid w:val="0006126A"/>
    <w:rsid w:val="00062CA1"/>
    <w:rsid w:val="00063B11"/>
    <w:rsid w:val="00063C69"/>
    <w:rsid w:val="00064270"/>
    <w:rsid w:val="0006433E"/>
    <w:rsid w:val="00065CD7"/>
    <w:rsid w:val="00065DF8"/>
    <w:rsid w:val="0006691C"/>
    <w:rsid w:val="00067C43"/>
    <w:rsid w:val="00070446"/>
    <w:rsid w:val="00071996"/>
    <w:rsid w:val="00071F31"/>
    <w:rsid w:val="000725EA"/>
    <w:rsid w:val="00072EE2"/>
    <w:rsid w:val="00073880"/>
    <w:rsid w:val="00073A1E"/>
    <w:rsid w:val="000747DF"/>
    <w:rsid w:val="00076E63"/>
    <w:rsid w:val="0007706C"/>
    <w:rsid w:val="000812DF"/>
    <w:rsid w:val="000816D8"/>
    <w:rsid w:val="0008430A"/>
    <w:rsid w:val="00084E1B"/>
    <w:rsid w:val="00084F9E"/>
    <w:rsid w:val="00085120"/>
    <w:rsid w:val="00085AA4"/>
    <w:rsid w:val="00085C70"/>
    <w:rsid w:val="00086279"/>
    <w:rsid w:val="000862F6"/>
    <w:rsid w:val="0008736F"/>
    <w:rsid w:val="00087B91"/>
    <w:rsid w:val="00087FF8"/>
    <w:rsid w:val="000904EB"/>
    <w:rsid w:val="00090E84"/>
    <w:rsid w:val="0009110D"/>
    <w:rsid w:val="0009138E"/>
    <w:rsid w:val="0009327E"/>
    <w:rsid w:val="0009492A"/>
    <w:rsid w:val="00095120"/>
    <w:rsid w:val="00096A1B"/>
    <w:rsid w:val="00096BF0"/>
    <w:rsid w:val="00096EC2"/>
    <w:rsid w:val="00097333"/>
    <w:rsid w:val="00097DF2"/>
    <w:rsid w:val="00097FE7"/>
    <w:rsid w:val="000A4364"/>
    <w:rsid w:val="000A4E0C"/>
    <w:rsid w:val="000A6FA3"/>
    <w:rsid w:val="000A703B"/>
    <w:rsid w:val="000B48DF"/>
    <w:rsid w:val="000B5B17"/>
    <w:rsid w:val="000B5B2E"/>
    <w:rsid w:val="000B60D3"/>
    <w:rsid w:val="000C0483"/>
    <w:rsid w:val="000C1FE8"/>
    <w:rsid w:val="000C4811"/>
    <w:rsid w:val="000D199C"/>
    <w:rsid w:val="000D324F"/>
    <w:rsid w:val="000D6FDB"/>
    <w:rsid w:val="000D771F"/>
    <w:rsid w:val="000D7E70"/>
    <w:rsid w:val="000E0E23"/>
    <w:rsid w:val="000E16D1"/>
    <w:rsid w:val="000E2823"/>
    <w:rsid w:val="000E4B30"/>
    <w:rsid w:val="000E57B5"/>
    <w:rsid w:val="000E598F"/>
    <w:rsid w:val="000E7602"/>
    <w:rsid w:val="000E7C5A"/>
    <w:rsid w:val="000F14F5"/>
    <w:rsid w:val="000F4D55"/>
    <w:rsid w:val="000F5085"/>
    <w:rsid w:val="000F5588"/>
    <w:rsid w:val="00100031"/>
    <w:rsid w:val="00100146"/>
    <w:rsid w:val="001005CF"/>
    <w:rsid w:val="0010126C"/>
    <w:rsid w:val="001016B7"/>
    <w:rsid w:val="00101DB9"/>
    <w:rsid w:val="00105961"/>
    <w:rsid w:val="00105CFA"/>
    <w:rsid w:val="00106E89"/>
    <w:rsid w:val="00107394"/>
    <w:rsid w:val="001077CB"/>
    <w:rsid w:val="001078A9"/>
    <w:rsid w:val="00107FA9"/>
    <w:rsid w:val="001113D9"/>
    <w:rsid w:val="00111917"/>
    <w:rsid w:val="00111D2E"/>
    <w:rsid w:val="001124CB"/>
    <w:rsid w:val="00112E0D"/>
    <w:rsid w:val="0011365F"/>
    <w:rsid w:val="00113A2A"/>
    <w:rsid w:val="00116645"/>
    <w:rsid w:val="0011694C"/>
    <w:rsid w:val="00120A0E"/>
    <w:rsid w:val="00120B67"/>
    <w:rsid w:val="0012121E"/>
    <w:rsid w:val="0012135A"/>
    <w:rsid w:val="0012141C"/>
    <w:rsid w:val="001218DC"/>
    <w:rsid w:val="00121FFD"/>
    <w:rsid w:val="001235FB"/>
    <w:rsid w:val="00124CA9"/>
    <w:rsid w:val="0012567F"/>
    <w:rsid w:val="001266BE"/>
    <w:rsid w:val="00130716"/>
    <w:rsid w:val="00131B13"/>
    <w:rsid w:val="00132857"/>
    <w:rsid w:val="00132FAD"/>
    <w:rsid w:val="00134E26"/>
    <w:rsid w:val="00134E7B"/>
    <w:rsid w:val="0013550A"/>
    <w:rsid w:val="00140538"/>
    <w:rsid w:val="001409E0"/>
    <w:rsid w:val="00143EB7"/>
    <w:rsid w:val="00146033"/>
    <w:rsid w:val="0014625D"/>
    <w:rsid w:val="00146607"/>
    <w:rsid w:val="00146EF3"/>
    <w:rsid w:val="0015161B"/>
    <w:rsid w:val="00152A66"/>
    <w:rsid w:val="00154E78"/>
    <w:rsid w:val="001573D1"/>
    <w:rsid w:val="00157825"/>
    <w:rsid w:val="001578AA"/>
    <w:rsid w:val="00161558"/>
    <w:rsid w:val="00163671"/>
    <w:rsid w:val="00164F64"/>
    <w:rsid w:val="00165569"/>
    <w:rsid w:val="001656B4"/>
    <w:rsid w:val="00166EBD"/>
    <w:rsid w:val="00167569"/>
    <w:rsid w:val="00167925"/>
    <w:rsid w:val="00167E8F"/>
    <w:rsid w:val="001715C9"/>
    <w:rsid w:val="001727D5"/>
    <w:rsid w:val="00175AD4"/>
    <w:rsid w:val="001763A0"/>
    <w:rsid w:val="00176B6A"/>
    <w:rsid w:val="001773BF"/>
    <w:rsid w:val="00182662"/>
    <w:rsid w:val="00183CF3"/>
    <w:rsid w:val="00184FA0"/>
    <w:rsid w:val="001858E3"/>
    <w:rsid w:val="001860E4"/>
    <w:rsid w:val="001922D2"/>
    <w:rsid w:val="00192446"/>
    <w:rsid w:val="00194089"/>
    <w:rsid w:val="0019444D"/>
    <w:rsid w:val="00194D62"/>
    <w:rsid w:val="001954CD"/>
    <w:rsid w:val="00195ACF"/>
    <w:rsid w:val="00195F7B"/>
    <w:rsid w:val="001961B0"/>
    <w:rsid w:val="001A019B"/>
    <w:rsid w:val="001A06BA"/>
    <w:rsid w:val="001A0ECD"/>
    <w:rsid w:val="001A2596"/>
    <w:rsid w:val="001A4886"/>
    <w:rsid w:val="001B24B4"/>
    <w:rsid w:val="001B2F1C"/>
    <w:rsid w:val="001C2CBA"/>
    <w:rsid w:val="001C3F54"/>
    <w:rsid w:val="001C44E1"/>
    <w:rsid w:val="001C52E2"/>
    <w:rsid w:val="001C55AF"/>
    <w:rsid w:val="001C55E8"/>
    <w:rsid w:val="001C7D5D"/>
    <w:rsid w:val="001D2355"/>
    <w:rsid w:val="001D7E99"/>
    <w:rsid w:val="001E05C6"/>
    <w:rsid w:val="001E2D4F"/>
    <w:rsid w:val="001E36E0"/>
    <w:rsid w:val="001E3A56"/>
    <w:rsid w:val="001E3B88"/>
    <w:rsid w:val="001E3C4E"/>
    <w:rsid w:val="001E5E09"/>
    <w:rsid w:val="001E60FF"/>
    <w:rsid w:val="001E6ADC"/>
    <w:rsid w:val="001F0E2B"/>
    <w:rsid w:val="001F4959"/>
    <w:rsid w:val="00200041"/>
    <w:rsid w:val="00200B03"/>
    <w:rsid w:val="00201889"/>
    <w:rsid w:val="00202EBE"/>
    <w:rsid w:val="002032DD"/>
    <w:rsid w:val="0020333C"/>
    <w:rsid w:val="002062A0"/>
    <w:rsid w:val="00206839"/>
    <w:rsid w:val="002068BF"/>
    <w:rsid w:val="002078FF"/>
    <w:rsid w:val="00213191"/>
    <w:rsid w:val="0021361A"/>
    <w:rsid w:val="0021496B"/>
    <w:rsid w:val="00215D05"/>
    <w:rsid w:val="00216847"/>
    <w:rsid w:val="00220F0F"/>
    <w:rsid w:val="00222BE8"/>
    <w:rsid w:val="00224091"/>
    <w:rsid w:val="00225694"/>
    <w:rsid w:val="00226D0E"/>
    <w:rsid w:val="00227EF3"/>
    <w:rsid w:val="00231000"/>
    <w:rsid w:val="00232584"/>
    <w:rsid w:val="00233EC3"/>
    <w:rsid w:val="0023797A"/>
    <w:rsid w:val="0024035C"/>
    <w:rsid w:val="00243E48"/>
    <w:rsid w:val="002444AE"/>
    <w:rsid w:val="00244C28"/>
    <w:rsid w:val="00245E14"/>
    <w:rsid w:val="00245FFF"/>
    <w:rsid w:val="002479E2"/>
    <w:rsid w:val="00250A05"/>
    <w:rsid w:val="00251E3E"/>
    <w:rsid w:val="00251E4F"/>
    <w:rsid w:val="002531F0"/>
    <w:rsid w:val="00253649"/>
    <w:rsid w:val="00254C9B"/>
    <w:rsid w:val="002574D2"/>
    <w:rsid w:val="002574DF"/>
    <w:rsid w:val="0026449D"/>
    <w:rsid w:val="0026486E"/>
    <w:rsid w:val="00265CBD"/>
    <w:rsid w:val="00266010"/>
    <w:rsid w:val="00273688"/>
    <w:rsid w:val="00274650"/>
    <w:rsid w:val="00274D6F"/>
    <w:rsid w:val="0027567D"/>
    <w:rsid w:val="0028172F"/>
    <w:rsid w:val="00281FC2"/>
    <w:rsid w:val="002860D0"/>
    <w:rsid w:val="00286714"/>
    <w:rsid w:val="00287358"/>
    <w:rsid w:val="00287E83"/>
    <w:rsid w:val="00291497"/>
    <w:rsid w:val="002929EE"/>
    <w:rsid w:val="00292D56"/>
    <w:rsid w:val="002949AD"/>
    <w:rsid w:val="002A1668"/>
    <w:rsid w:val="002A1BE6"/>
    <w:rsid w:val="002A26E6"/>
    <w:rsid w:val="002A2D8F"/>
    <w:rsid w:val="002A4127"/>
    <w:rsid w:val="002A56D0"/>
    <w:rsid w:val="002B02BF"/>
    <w:rsid w:val="002B05AC"/>
    <w:rsid w:val="002B2F99"/>
    <w:rsid w:val="002B393E"/>
    <w:rsid w:val="002B74B6"/>
    <w:rsid w:val="002B74CA"/>
    <w:rsid w:val="002B7517"/>
    <w:rsid w:val="002B7945"/>
    <w:rsid w:val="002C12EA"/>
    <w:rsid w:val="002C17AC"/>
    <w:rsid w:val="002C2555"/>
    <w:rsid w:val="002C4839"/>
    <w:rsid w:val="002C4F7A"/>
    <w:rsid w:val="002C5096"/>
    <w:rsid w:val="002C71B4"/>
    <w:rsid w:val="002D16B1"/>
    <w:rsid w:val="002D3A1A"/>
    <w:rsid w:val="002D542F"/>
    <w:rsid w:val="002D62BA"/>
    <w:rsid w:val="002D70A6"/>
    <w:rsid w:val="002E1D3E"/>
    <w:rsid w:val="002E444E"/>
    <w:rsid w:val="002E6144"/>
    <w:rsid w:val="002F3E32"/>
    <w:rsid w:val="003013F3"/>
    <w:rsid w:val="003014CC"/>
    <w:rsid w:val="0030174A"/>
    <w:rsid w:val="003026EB"/>
    <w:rsid w:val="003046CC"/>
    <w:rsid w:val="003049AC"/>
    <w:rsid w:val="003051B0"/>
    <w:rsid w:val="00305717"/>
    <w:rsid w:val="00305DE0"/>
    <w:rsid w:val="00305EB0"/>
    <w:rsid w:val="00306CA4"/>
    <w:rsid w:val="00307513"/>
    <w:rsid w:val="00307814"/>
    <w:rsid w:val="00307DF3"/>
    <w:rsid w:val="003108F3"/>
    <w:rsid w:val="00311EE2"/>
    <w:rsid w:val="00313566"/>
    <w:rsid w:val="00313D53"/>
    <w:rsid w:val="003145AC"/>
    <w:rsid w:val="003159E2"/>
    <w:rsid w:val="00315FDF"/>
    <w:rsid w:val="003201B8"/>
    <w:rsid w:val="003212C4"/>
    <w:rsid w:val="00322F54"/>
    <w:rsid w:val="00323AC2"/>
    <w:rsid w:val="00325FB0"/>
    <w:rsid w:val="00326E33"/>
    <w:rsid w:val="00330A58"/>
    <w:rsid w:val="00330AA9"/>
    <w:rsid w:val="00331870"/>
    <w:rsid w:val="00331C3C"/>
    <w:rsid w:val="003321F5"/>
    <w:rsid w:val="00332A78"/>
    <w:rsid w:val="003341B2"/>
    <w:rsid w:val="00334232"/>
    <w:rsid w:val="003351EE"/>
    <w:rsid w:val="00336FF9"/>
    <w:rsid w:val="0034133F"/>
    <w:rsid w:val="003417ED"/>
    <w:rsid w:val="00341C1E"/>
    <w:rsid w:val="003433DD"/>
    <w:rsid w:val="0034552E"/>
    <w:rsid w:val="0035012C"/>
    <w:rsid w:val="00350CAE"/>
    <w:rsid w:val="00350E2C"/>
    <w:rsid w:val="0035113F"/>
    <w:rsid w:val="00351315"/>
    <w:rsid w:val="003568DB"/>
    <w:rsid w:val="00357ED3"/>
    <w:rsid w:val="003605CE"/>
    <w:rsid w:val="003608C9"/>
    <w:rsid w:val="00362848"/>
    <w:rsid w:val="003629D2"/>
    <w:rsid w:val="00363C59"/>
    <w:rsid w:val="003649A0"/>
    <w:rsid w:val="00370E96"/>
    <w:rsid w:val="00370EE1"/>
    <w:rsid w:val="00370FA4"/>
    <w:rsid w:val="00371A91"/>
    <w:rsid w:val="00373918"/>
    <w:rsid w:val="00373D22"/>
    <w:rsid w:val="00373F38"/>
    <w:rsid w:val="003757F9"/>
    <w:rsid w:val="00376CA6"/>
    <w:rsid w:val="00377E77"/>
    <w:rsid w:val="00377F7A"/>
    <w:rsid w:val="00380131"/>
    <w:rsid w:val="00384EFD"/>
    <w:rsid w:val="003912B2"/>
    <w:rsid w:val="00392131"/>
    <w:rsid w:val="003955F4"/>
    <w:rsid w:val="003962F2"/>
    <w:rsid w:val="00396A64"/>
    <w:rsid w:val="003A041A"/>
    <w:rsid w:val="003A2B30"/>
    <w:rsid w:val="003A4773"/>
    <w:rsid w:val="003A5B51"/>
    <w:rsid w:val="003A6C69"/>
    <w:rsid w:val="003B10B2"/>
    <w:rsid w:val="003B1FB8"/>
    <w:rsid w:val="003B31A7"/>
    <w:rsid w:val="003B322C"/>
    <w:rsid w:val="003C00D6"/>
    <w:rsid w:val="003C2BA2"/>
    <w:rsid w:val="003C2FC7"/>
    <w:rsid w:val="003C4939"/>
    <w:rsid w:val="003C5C7F"/>
    <w:rsid w:val="003C673B"/>
    <w:rsid w:val="003C7882"/>
    <w:rsid w:val="003C7FC8"/>
    <w:rsid w:val="003D20BA"/>
    <w:rsid w:val="003D3095"/>
    <w:rsid w:val="003D347D"/>
    <w:rsid w:val="003D3C14"/>
    <w:rsid w:val="003D3FA8"/>
    <w:rsid w:val="003D603D"/>
    <w:rsid w:val="003D6342"/>
    <w:rsid w:val="003D7662"/>
    <w:rsid w:val="003E2537"/>
    <w:rsid w:val="003E5458"/>
    <w:rsid w:val="003E713C"/>
    <w:rsid w:val="003F0AEB"/>
    <w:rsid w:val="003F1196"/>
    <w:rsid w:val="003F1745"/>
    <w:rsid w:val="003F24F0"/>
    <w:rsid w:val="003F3FDD"/>
    <w:rsid w:val="003F4A92"/>
    <w:rsid w:val="003F58EF"/>
    <w:rsid w:val="00400021"/>
    <w:rsid w:val="00401044"/>
    <w:rsid w:val="0040110E"/>
    <w:rsid w:val="00401516"/>
    <w:rsid w:val="0040253F"/>
    <w:rsid w:val="004035A7"/>
    <w:rsid w:val="0040365A"/>
    <w:rsid w:val="00407E0F"/>
    <w:rsid w:val="0041073B"/>
    <w:rsid w:val="0041152D"/>
    <w:rsid w:val="0041249A"/>
    <w:rsid w:val="0041449E"/>
    <w:rsid w:val="004148D4"/>
    <w:rsid w:val="00415BA1"/>
    <w:rsid w:val="00416BD1"/>
    <w:rsid w:val="00416FD8"/>
    <w:rsid w:val="00421679"/>
    <w:rsid w:val="00421F3F"/>
    <w:rsid w:val="00427F51"/>
    <w:rsid w:val="00432FD7"/>
    <w:rsid w:val="004340C4"/>
    <w:rsid w:val="0043469E"/>
    <w:rsid w:val="004352AF"/>
    <w:rsid w:val="00435976"/>
    <w:rsid w:val="00435E41"/>
    <w:rsid w:val="004377FF"/>
    <w:rsid w:val="00437C70"/>
    <w:rsid w:val="00441C1F"/>
    <w:rsid w:val="004461BD"/>
    <w:rsid w:val="004463A5"/>
    <w:rsid w:val="00446EC1"/>
    <w:rsid w:val="004473F4"/>
    <w:rsid w:val="00447769"/>
    <w:rsid w:val="00455C27"/>
    <w:rsid w:val="00455D06"/>
    <w:rsid w:val="004574A8"/>
    <w:rsid w:val="00461B1C"/>
    <w:rsid w:val="004641C1"/>
    <w:rsid w:val="00472C44"/>
    <w:rsid w:val="00473B95"/>
    <w:rsid w:val="00474798"/>
    <w:rsid w:val="0047597F"/>
    <w:rsid w:val="00477126"/>
    <w:rsid w:val="00480471"/>
    <w:rsid w:val="004808B0"/>
    <w:rsid w:val="004826BE"/>
    <w:rsid w:val="00483BA9"/>
    <w:rsid w:val="00484249"/>
    <w:rsid w:val="0048431E"/>
    <w:rsid w:val="00486D97"/>
    <w:rsid w:val="00487B22"/>
    <w:rsid w:val="004905EC"/>
    <w:rsid w:val="00490E08"/>
    <w:rsid w:val="004944BA"/>
    <w:rsid w:val="00495100"/>
    <w:rsid w:val="004A1D3B"/>
    <w:rsid w:val="004A3032"/>
    <w:rsid w:val="004A34F0"/>
    <w:rsid w:val="004A45A0"/>
    <w:rsid w:val="004A54B5"/>
    <w:rsid w:val="004A67F9"/>
    <w:rsid w:val="004B0E92"/>
    <w:rsid w:val="004B1907"/>
    <w:rsid w:val="004B1CE9"/>
    <w:rsid w:val="004B3430"/>
    <w:rsid w:val="004B4228"/>
    <w:rsid w:val="004B4DBC"/>
    <w:rsid w:val="004B5728"/>
    <w:rsid w:val="004B5B38"/>
    <w:rsid w:val="004B7F26"/>
    <w:rsid w:val="004C0326"/>
    <w:rsid w:val="004C18DA"/>
    <w:rsid w:val="004C34A2"/>
    <w:rsid w:val="004C4466"/>
    <w:rsid w:val="004C7048"/>
    <w:rsid w:val="004D1B3C"/>
    <w:rsid w:val="004D38AF"/>
    <w:rsid w:val="004D52E2"/>
    <w:rsid w:val="004D53F9"/>
    <w:rsid w:val="004D6E19"/>
    <w:rsid w:val="004D7E4E"/>
    <w:rsid w:val="004E02C6"/>
    <w:rsid w:val="004E143F"/>
    <w:rsid w:val="004E400C"/>
    <w:rsid w:val="004E4A65"/>
    <w:rsid w:val="004E4B64"/>
    <w:rsid w:val="004F1EEC"/>
    <w:rsid w:val="004F26BA"/>
    <w:rsid w:val="004F2854"/>
    <w:rsid w:val="004F493E"/>
    <w:rsid w:val="004F52A2"/>
    <w:rsid w:val="004F5BCB"/>
    <w:rsid w:val="004F6160"/>
    <w:rsid w:val="004F69B6"/>
    <w:rsid w:val="004F6FBA"/>
    <w:rsid w:val="00501125"/>
    <w:rsid w:val="00501690"/>
    <w:rsid w:val="00503409"/>
    <w:rsid w:val="00503C27"/>
    <w:rsid w:val="005047B7"/>
    <w:rsid w:val="00504AC7"/>
    <w:rsid w:val="00506996"/>
    <w:rsid w:val="005101F1"/>
    <w:rsid w:val="0051133B"/>
    <w:rsid w:val="00511F80"/>
    <w:rsid w:val="00512DCD"/>
    <w:rsid w:val="0051412A"/>
    <w:rsid w:val="0051588A"/>
    <w:rsid w:val="00517237"/>
    <w:rsid w:val="00517F3E"/>
    <w:rsid w:val="00520AC5"/>
    <w:rsid w:val="0052117B"/>
    <w:rsid w:val="005215E6"/>
    <w:rsid w:val="0052239C"/>
    <w:rsid w:val="0052475D"/>
    <w:rsid w:val="00524D48"/>
    <w:rsid w:val="00524E76"/>
    <w:rsid w:val="00527F6C"/>
    <w:rsid w:val="00530C0B"/>
    <w:rsid w:val="00532477"/>
    <w:rsid w:val="005337E7"/>
    <w:rsid w:val="00534EEC"/>
    <w:rsid w:val="00534FF6"/>
    <w:rsid w:val="0053715B"/>
    <w:rsid w:val="00541465"/>
    <w:rsid w:val="0054197A"/>
    <w:rsid w:val="0054474E"/>
    <w:rsid w:val="00545996"/>
    <w:rsid w:val="00545AD2"/>
    <w:rsid w:val="00546862"/>
    <w:rsid w:val="00546937"/>
    <w:rsid w:val="00550D3D"/>
    <w:rsid w:val="00551823"/>
    <w:rsid w:val="00552A65"/>
    <w:rsid w:val="005539C1"/>
    <w:rsid w:val="00553C42"/>
    <w:rsid w:val="00556056"/>
    <w:rsid w:val="00557026"/>
    <w:rsid w:val="00557793"/>
    <w:rsid w:val="00557908"/>
    <w:rsid w:val="00560F7E"/>
    <w:rsid w:val="00562988"/>
    <w:rsid w:val="00563F32"/>
    <w:rsid w:val="00565B04"/>
    <w:rsid w:val="00566E7F"/>
    <w:rsid w:val="005672FC"/>
    <w:rsid w:val="00570523"/>
    <w:rsid w:val="00570762"/>
    <w:rsid w:val="00570D67"/>
    <w:rsid w:val="005731A4"/>
    <w:rsid w:val="005773B0"/>
    <w:rsid w:val="00577D0F"/>
    <w:rsid w:val="00581350"/>
    <w:rsid w:val="005813E0"/>
    <w:rsid w:val="00581BC0"/>
    <w:rsid w:val="00582BAB"/>
    <w:rsid w:val="00583022"/>
    <w:rsid w:val="0058397E"/>
    <w:rsid w:val="00583D22"/>
    <w:rsid w:val="0058434A"/>
    <w:rsid w:val="00585D1C"/>
    <w:rsid w:val="00587A4E"/>
    <w:rsid w:val="005901B0"/>
    <w:rsid w:val="005912B1"/>
    <w:rsid w:val="0059729A"/>
    <w:rsid w:val="005A0C65"/>
    <w:rsid w:val="005A1D5E"/>
    <w:rsid w:val="005A29BB"/>
    <w:rsid w:val="005A34B6"/>
    <w:rsid w:val="005A3556"/>
    <w:rsid w:val="005A3851"/>
    <w:rsid w:val="005A4316"/>
    <w:rsid w:val="005A516B"/>
    <w:rsid w:val="005A6F94"/>
    <w:rsid w:val="005A7E14"/>
    <w:rsid w:val="005B0D6D"/>
    <w:rsid w:val="005B12FC"/>
    <w:rsid w:val="005B3B01"/>
    <w:rsid w:val="005B3FFF"/>
    <w:rsid w:val="005B5266"/>
    <w:rsid w:val="005B6A77"/>
    <w:rsid w:val="005C058D"/>
    <w:rsid w:val="005C2BAE"/>
    <w:rsid w:val="005C36C0"/>
    <w:rsid w:val="005C3A17"/>
    <w:rsid w:val="005C532D"/>
    <w:rsid w:val="005C54A6"/>
    <w:rsid w:val="005C5D3D"/>
    <w:rsid w:val="005C6DEA"/>
    <w:rsid w:val="005C7027"/>
    <w:rsid w:val="005C78EC"/>
    <w:rsid w:val="005D084D"/>
    <w:rsid w:val="005D103C"/>
    <w:rsid w:val="005D1C61"/>
    <w:rsid w:val="005D1F9E"/>
    <w:rsid w:val="005D25A5"/>
    <w:rsid w:val="005D34F8"/>
    <w:rsid w:val="005D3DE4"/>
    <w:rsid w:val="005D4045"/>
    <w:rsid w:val="005D48AA"/>
    <w:rsid w:val="005D5557"/>
    <w:rsid w:val="005D559E"/>
    <w:rsid w:val="005D6E8C"/>
    <w:rsid w:val="005D7F07"/>
    <w:rsid w:val="005E0178"/>
    <w:rsid w:val="005E063A"/>
    <w:rsid w:val="005E0C6E"/>
    <w:rsid w:val="005E0E2A"/>
    <w:rsid w:val="005E1028"/>
    <w:rsid w:val="005E16A9"/>
    <w:rsid w:val="005E2738"/>
    <w:rsid w:val="005E3C49"/>
    <w:rsid w:val="005E66C6"/>
    <w:rsid w:val="005E7068"/>
    <w:rsid w:val="005F1835"/>
    <w:rsid w:val="005F405A"/>
    <w:rsid w:val="005F4D50"/>
    <w:rsid w:val="005F4FE3"/>
    <w:rsid w:val="005F67E4"/>
    <w:rsid w:val="005F7C0C"/>
    <w:rsid w:val="005F7ECD"/>
    <w:rsid w:val="00600529"/>
    <w:rsid w:val="006010FD"/>
    <w:rsid w:val="006011B0"/>
    <w:rsid w:val="006024F0"/>
    <w:rsid w:val="006050B6"/>
    <w:rsid w:val="00607789"/>
    <w:rsid w:val="00607A54"/>
    <w:rsid w:val="0061252D"/>
    <w:rsid w:val="0061356A"/>
    <w:rsid w:val="00614BE3"/>
    <w:rsid w:val="00615A6E"/>
    <w:rsid w:val="006210F1"/>
    <w:rsid w:val="00621A40"/>
    <w:rsid w:val="0062429C"/>
    <w:rsid w:val="0062696C"/>
    <w:rsid w:val="0062739A"/>
    <w:rsid w:val="006317CB"/>
    <w:rsid w:val="00632149"/>
    <w:rsid w:val="00633B67"/>
    <w:rsid w:val="006403DB"/>
    <w:rsid w:val="00640700"/>
    <w:rsid w:val="00640ECD"/>
    <w:rsid w:val="00643D03"/>
    <w:rsid w:val="006440E3"/>
    <w:rsid w:val="00645FF1"/>
    <w:rsid w:val="00646ACE"/>
    <w:rsid w:val="00646EB7"/>
    <w:rsid w:val="0065256D"/>
    <w:rsid w:val="00653639"/>
    <w:rsid w:val="00653B55"/>
    <w:rsid w:val="00653BF7"/>
    <w:rsid w:val="00660E43"/>
    <w:rsid w:val="00661A55"/>
    <w:rsid w:val="00661E20"/>
    <w:rsid w:val="0066210F"/>
    <w:rsid w:val="00663B5E"/>
    <w:rsid w:val="00663BC5"/>
    <w:rsid w:val="0066471F"/>
    <w:rsid w:val="00665371"/>
    <w:rsid w:val="006656C6"/>
    <w:rsid w:val="00670AD2"/>
    <w:rsid w:val="0067157F"/>
    <w:rsid w:val="0067182C"/>
    <w:rsid w:val="0068561A"/>
    <w:rsid w:val="00686376"/>
    <w:rsid w:val="00686450"/>
    <w:rsid w:val="006868F3"/>
    <w:rsid w:val="00686E1B"/>
    <w:rsid w:val="0069028A"/>
    <w:rsid w:val="00691EAD"/>
    <w:rsid w:val="00697882"/>
    <w:rsid w:val="006A035F"/>
    <w:rsid w:val="006A12CD"/>
    <w:rsid w:val="006A17FB"/>
    <w:rsid w:val="006A4608"/>
    <w:rsid w:val="006A5D86"/>
    <w:rsid w:val="006A6F83"/>
    <w:rsid w:val="006B16F0"/>
    <w:rsid w:val="006B22BA"/>
    <w:rsid w:val="006B24AF"/>
    <w:rsid w:val="006B2844"/>
    <w:rsid w:val="006B5B41"/>
    <w:rsid w:val="006C04D1"/>
    <w:rsid w:val="006C091E"/>
    <w:rsid w:val="006C0A88"/>
    <w:rsid w:val="006C51CB"/>
    <w:rsid w:val="006D02DB"/>
    <w:rsid w:val="006D262C"/>
    <w:rsid w:val="006D2950"/>
    <w:rsid w:val="006D3880"/>
    <w:rsid w:val="006D3B12"/>
    <w:rsid w:val="006D5841"/>
    <w:rsid w:val="006E036A"/>
    <w:rsid w:val="006E2894"/>
    <w:rsid w:val="006E5F3B"/>
    <w:rsid w:val="006E6884"/>
    <w:rsid w:val="006E6EA6"/>
    <w:rsid w:val="006E700C"/>
    <w:rsid w:val="006F10CC"/>
    <w:rsid w:val="006F1B13"/>
    <w:rsid w:val="006F3278"/>
    <w:rsid w:val="006F39DE"/>
    <w:rsid w:val="006F3E0B"/>
    <w:rsid w:val="006F7017"/>
    <w:rsid w:val="007007F4"/>
    <w:rsid w:val="007027A6"/>
    <w:rsid w:val="00704155"/>
    <w:rsid w:val="00706693"/>
    <w:rsid w:val="007075D7"/>
    <w:rsid w:val="00707DCE"/>
    <w:rsid w:val="00707E8F"/>
    <w:rsid w:val="00710D9A"/>
    <w:rsid w:val="00714143"/>
    <w:rsid w:val="0071590C"/>
    <w:rsid w:val="00715DAD"/>
    <w:rsid w:val="00716AE8"/>
    <w:rsid w:val="00716F36"/>
    <w:rsid w:val="00720E5A"/>
    <w:rsid w:val="00721EC0"/>
    <w:rsid w:val="0072409D"/>
    <w:rsid w:val="00724A0C"/>
    <w:rsid w:val="00725AC6"/>
    <w:rsid w:val="00727C8F"/>
    <w:rsid w:val="0073033B"/>
    <w:rsid w:val="00730E66"/>
    <w:rsid w:val="00730EB8"/>
    <w:rsid w:val="00733F44"/>
    <w:rsid w:val="00734F88"/>
    <w:rsid w:val="00735395"/>
    <w:rsid w:val="00735C8C"/>
    <w:rsid w:val="00735D5E"/>
    <w:rsid w:val="00736650"/>
    <w:rsid w:val="00737167"/>
    <w:rsid w:val="0074429B"/>
    <w:rsid w:val="00744DFF"/>
    <w:rsid w:val="00744FCD"/>
    <w:rsid w:val="007470CD"/>
    <w:rsid w:val="007473BC"/>
    <w:rsid w:val="00747447"/>
    <w:rsid w:val="00751637"/>
    <w:rsid w:val="00754BEF"/>
    <w:rsid w:val="007604CD"/>
    <w:rsid w:val="00765068"/>
    <w:rsid w:val="007657BD"/>
    <w:rsid w:val="00765ED2"/>
    <w:rsid w:val="00767173"/>
    <w:rsid w:val="007705A1"/>
    <w:rsid w:val="00773666"/>
    <w:rsid w:val="0077390F"/>
    <w:rsid w:val="007741CF"/>
    <w:rsid w:val="00774988"/>
    <w:rsid w:val="00774C05"/>
    <w:rsid w:val="00775CB1"/>
    <w:rsid w:val="00776FAC"/>
    <w:rsid w:val="00777EBC"/>
    <w:rsid w:val="00782324"/>
    <w:rsid w:val="0078461F"/>
    <w:rsid w:val="007851F4"/>
    <w:rsid w:val="00786940"/>
    <w:rsid w:val="00787B84"/>
    <w:rsid w:val="00790A71"/>
    <w:rsid w:val="0079308D"/>
    <w:rsid w:val="00794777"/>
    <w:rsid w:val="007A17DA"/>
    <w:rsid w:val="007A2E85"/>
    <w:rsid w:val="007A2FFF"/>
    <w:rsid w:val="007A4187"/>
    <w:rsid w:val="007A5025"/>
    <w:rsid w:val="007A7536"/>
    <w:rsid w:val="007B13AA"/>
    <w:rsid w:val="007B26C6"/>
    <w:rsid w:val="007B4153"/>
    <w:rsid w:val="007B51B7"/>
    <w:rsid w:val="007B6588"/>
    <w:rsid w:val="007C2066"/>
    <w:rsid w:val="007C67DC"/>
    <w:rsid w:val="007C7BF9"/>
    <w:rsid w:val="007D02CE"/>
    <w:rsid w:val="007D114B"/>
    <w:rsid w:val="007D1BB4"/>
    <w:rsid w:val="007D2B05"/>
    <w:rsid w:val="007D37FA"/>
    <w:rsid w:val="007D5DC9"/>
    <w:rsid w:val="007D664B"/>
    <w:rsid w:val="007E0A2B"/>
    <w:rsid w:val="007E1A8A"/>
    <w:rsid w:val="007E324C"/>
    <w:rsid w:val="007E46F9"/>
    <w:rsid w:val="007E568B"/>
    <w:rsid w:val="007E5DC1"/>
    <w:rsid w:val="007E7AFF"/>
    <w:rsid w:val="007F05D1"/>
    <w:rsid w:val="007F0AC2"/>
    <w:rsid w:val="007F2AD3"/>
    <w:rsid w:val="007F4FC0"/>
    <w:rsid w:val="007F751D"/>
    <w:rsid w:val="008036F4"/>
    <w:rsid w:val="00806B39"/>
    <w:rsid w:val="008134AC"/>
    <w:rsid w:val="008139E5"/>
    <w:rsid w:val="00814401"/>
    <w:rsid w:val="00820327"/>
    <w:rsid w:val="00823458"/>
    <w:rsid w:val="008251CC"/>
    <w:rsid w:val="00831FEE"/>
    <w:rsid w:val="00832CBB"/>
    <w:rsid w:val="008337C1"/>
    <w:rsid w:val="008346B0"/>
    <w:rsid w:val="00841440"/>
    <w:rsid w:val="0084236D"/>
    <w:rsid w:val="00846557"/>
    <w:rsid w:val="008472AD"/>
    <w:rsid w:val="00847FA9"/>
    <w:rsid w:val="00853ACB"/>
    <w:rsid w:val="00853F86"/>
    <w:rsid w:val="00862AA7"/>
    <w:rsid w:val="00865C09"/>
    <w:rsid w:val="008705F6"/>
    <w:rsid w:val="00871E06"/>
    <w:rsid w:val="00872A5E"/>
    <w:rsid w:val="008742A0"/>
    <w:rsid w:val="0087452D"/>
    <w:rsid w:val="00875C0A"/>
    <w:rsid w:val="00875E96"/>
    <w:rsid w:val="00877B3E"/>
    <w:rsid w:val="0088114F"/>
    <w:rsid w:val="008839CE"/>
    <w:rsid w:val="00885D74"/>
    <w:rsid w:val="0088779E"/>
    <w:rsid w:val="0089178A"/>
    <w:rsid w:val="00893190"/>
    <w:rsid w:val="00893E05"/>
    <w:rsid w:val="008A0631"/>
    <w:rsid w:val="008A0984"/>
    <w:rsid w:val="008A117E"/>
    <w:rsid w:val="008A270C"/>
    <w:rsid w:val="008A3CC4"/>
    <w:rsid w:val="008A4B23"/>
    <w:rsid w:val="008A6DB7"/>
    <w:rsid w:val="008A7554"/>
    <w:rsid w:val="008A77CD"/>
    <w:rsid w:val="008B0FD3"/>
    <w:rsid w:val="008B113D"/>
    <w:rsid w:val="008B1788"/>
    <w:rsid w:val="008B3B01"/>
    <w:rsid w:val="008B40AE"/>
    <w:rsid w:val="008B7BE6"/>
    <w:rsid w:val="008C16B9"/>
    <w:rsid w:val="008C19E1"/>
    <w:rsid w:val="008C3120"/>
    <w:rsid w:val="008C31EE"/>
    <w:rsid w:val="008C3764"/>
    <w:rsid w:val="008C63DD"/>
    <w:rsid w:val="008D017A"/>
    <w:rsid w:val="008D3185"/>
    <w:rsid w:val="008D368A"/>
    <w:rsid w:val="008D5205"/>
    <w:rsid w:val="008D5F87"/>
    <w:rsid w:val="008E7D71"/>
    <w:rsid w:val="008F0CFC"/>
    <w:rsid w:val="008F2047"/>
    <w:rsid w:val="008F3D49"/>
    <w:rsid w:val="008F539E"/>
    <w:rsid w:val="00900A33"/>
    <w:rsid w:val="009010FA"/>
    <w:rsid w:val="00901D9A"/>
    <w:rsid w:val="00902BA1"/>
    <w:rsid w:val="009036E9"/>
    <w:rsid w:val="00904328"/>
    <w:rsid w:val="009061A1"/>
    <w:rsid w:val="00906C20"/>
    <w:rsid w:val="009075DF"/>
    <w:rsid w:val="00913C6D"/>
    <w:rsid w:val="00913E10"/>
    <w:rsid w:val="00914946"/>
    <w:rsid w:val="00916304"/>
    <w:rsid w:val="00921DD9"/>
    <w:rsid w:val="00924506"/>
    <w:rsid w:val="0092474C"/>
    <w:rsid w:val="009250BC"/>
    <w:rsid w:val="009264E3"/>
    <w:rsid w:val="00926867"/>
    <w:rsid w:val="009271D6"/>
    <w:rsid w:val="009305EF"/>
    <w:rsid w:val="009322B7"/>
    <w:rsid w:val="009333C8"/>
    <w:rsid w:val="00935901"/>
    <w:rsid w:val="00936248"/>
    <w:rsid w:val="00936CEC"/>
    <w:rsid w:val="009377AA"/>
    <w:rsid w:val="00942061"/>
    <w:rsid w:val="00943542"/>
    <w:rsid w:val="00943F2B"/>
    <w:rsid w:val="00943F67"/>
    <w:rsid w:val="009446F0"/>
    <w:rsid w:val="00944783"/>
    <w:rsid w:val="00944A49"/>
    <w:rsid w:val="00944DA0"/>
    <w:rsid w:val="009450EE"/>
    <w:rsid w:val="00945A05"/>
    <w:rsid w:val="00946972"/>
    <w:rsid w:val="00947659"/>
    <w:rsid w:val="009508B9"/>
    <w:rsid w:val="00950C59"/>
    <w:rsid w:val="0095324A"/>
    <w:rsid w:val="009568FC"/>
    <w:rsid w:val="00961628"/>
    <w:rsid w:val="00962336"/>
    <w:rsid w:val="00962605"/>
    <w:rsid w:val="00967214"/>
    <w:rsid w:val="00967285"/>
    <w:rsid w:val="0096762E"/>
    <w:rsid w:val="00967AEB"/>
    <w:rsid w:val="0097065B"/>
    <w:rsid w:val="00970AB1"/>
    <w:rsid w:val="00971708"/>
    <w:rsid w:val="00971FEA"/>
    <w:rsid w:val="00976010"/>
    <w:rsid w:val="00980CFB"/>
    <w:rsid w:val="00981727"/>
    <w:rsid w:val="009829D3"/>
    <w:rsid w:val="0098393A"/>
    <w:rsid w:val="00983AA4"/>
    <w:rsid w:val="00983D4B"/>
    <w:rsid w:val="00984548"/>
    <w:rsid w:val="00984714"/>
    <w:rsid w:val="00985B1E"/>
    <w:rsid w:val="00986E2E"/>
    <w:rsid w:val="00987445"/>
    <w:rsid w:val="00987BD8"/>
    <w:rsid w:val="00990424"/>
    <w:rsid w:val="0099062E"/>
    <w:rsid w:val="00991162"/>
    <w:rsid w:val="009931CC"/>
    <w:rsid w:val="009953AB"/>
    <w:rsid w:val="00995A1D"/>
    <w:rsid w:val="00995D98"/>
    <w:rsid w:val="00995FFD"/>
    <w:rsid w:val="00996548"/>
    <w:rsid w:val="00996BB1"/>
    <w:rsid w:val="009A1C1E"/>
    <w:rsid w:val="009A21DC"/>
    <w:rsid w:val="009A4199"/>
    <w:rsid w:val="009A4C25"/>
    <w:rsid w:val="009B2884"/>
    <w:rsid w:val="009B289F"/>
    <w:rsid w:val="009B3D07"/>
    <w:rsid w:val="009C2A7C"/>
    <w:rsid w:val="009C3820"/>
    <w:rsid w:val="009C49A2"/>
    <w:rsid w:val="009C5764"/>
    <w:rsid w:val="009C709C"/>
    <w:rsid w:val="009D03B9"/>
    <w:rsid w:val="009D2550"/>
    <w:rsid w:val="009D2DE0"/>
    <w:rsid w:val="009D2F3F"/>
    <w:rsid w:val="009D38BB"/>
    <w:rsid w:val="009D437A"/>
    <w:rsid w:val="009D44D0"/>
    <w:rsid w:val="009D4F12"/>
    <w:rsid w:val="009D7509"/>
    <w:rsid w:val="009D787C"/>
    <w:rsid w:val="009E064F"/>
    <w:rsid w:val="009E4E9C"/>
    <w:rsid w:val="009E73B9"/>
    <w:rsid w:val="009F14CD"/>
    <w:rsid w:val="009F1B7C"/>
    <w:rsid w:val="009F2A60"/>
    <w:rsid w:val="009F31A1"/>
    <w:rsid w:val="009F3CB5"/>
    <w:rsid w:val="009F521B"/>
    <w:rsid w:val="009F728A"/>
    <w:rsid w:val="009F7A9A"/>
    <w:rsid w:val="00A00A50"/>
    <w:rsid w:val="00A00E3B"/>
    <w:rsid w:val="00A03D98"/>
    <w:rsid w:val="00A06060"/>
    <w:rsid w:val="00A07C9A"/>
    <w:rsid w:val="00A07E14"/>
    <w:rsid w:val="00A11516"/>
    <w:rsid w:val="00A116A3"/>
    <w:rsid w:val="00A12CF6"/>
    <w:rsid w:val="00A148D9"/>
    <w:rsid w:val="00A2057C"/>
    <w:rsid w:val="00A23EA4"/>
    <w:rsid w:val="00A25FAC"/>
    <w:rsid w:val="00A27354"/>
    <w:rsid w:val="00A33938"/>
    <w:rsid w:val="00A347F1"/>
    <w:rsid w:val="00A36FE5"/>
    <w:rsid w:val="00A37FE0"/>
    <w:rsid w:val="00A403D3"/>
    <w:rsid w:val="00A40745"/>
    <w:rsid w:val="00A40CFA"/>
    <w:rsid w:val="00A40E22"/>
    <w:rsid w:val="00A42907"/>
    <w:rsid w:val="00A45F1A"/>
    <w:rsid w:val="00A46DE1"/>
    <w:rsid w:val="00A47C42"/>
    <w:rsid w:val="00A51D4F"/>
    <w:rsid w:val="00A54632"/>
    <w:rsid w:val="00A54E3B"/>
    <w:rsid w:val="00A55131"/>
    <w:rsid w:val="00A553FC"/>
    <w:rsid w:val="00A555A1"/>
    <w:rsid w:val="00A56331"/>
    <w:rsid w:val="00A61F72"/>
    <w:rsid w:val="00A63046"/>
    <w:rsid w:val="00A631C4"/>
    <w:rsid w:val="00A63F80"/>
    <w:rsid w:val="00A67430"/>
    <w:rsid w:val="00A715AE"/>
    <w:rsid w:val="00A71DFD"/>
    <w:rsid w:val="00A729FE"/>
    <w:rsid w:val="00A73CCC"/>
    <w:rsid w:val="00A7419C"/>
    <w:rsid w:val="00A743F8"/>
    <w:rsid w:val="00A76226"/>
    <w:rsid w:val="00A841F6"/>
    <w:rsid w:val="00A86BD4"/>
    <w:rsid w:val="00A87236"/>
    <w:rsid w:val="00A874F6"/>
    <w:rsid w:val="00A87D04"/>
    <w:rsid w:val="00A9182A"/>
    <w:rsid w:val="00A92D70"/>
    <w:rsid w:val="00A92F26"/>
    <w:rsid w:val="00A92F4E"/>
    <w:rsid w:val="00A92F6C"/>
    <w:rsid w:val="00A93795"/>
    <w:rsid w:val="00A96D42"/>
    <w:rsid w:val="00A97B4B"/>
    <w:rsid w:val="00AA0A8E"/>
    <w:rsid w:val="00AA3089"/>
    <w:rsid w:val="00AA3170"/>
    <w:rsid w:val="00AA3609"/>
    <w:rsid w:val="00AA7172"/>
    <w:rsid w:val="00AB168B"/>
    <w:rsid w:val="00AB2305"/>
    <w:rsid w:val="00AB4774"/>
    <w:rsid w:val="00AB563E"/>
    <w:rsid w:val="00AB6E8C"/>
    <w:rsid w:val="00AC01F1"/>
    <w:rsid w:val="00AC0F02"/>
    <w:rsid w:val="00AC2025"/>
    <w:rsid w:val="00AC7F81"/>
    <w:rsid w:val="00AD0938"/>
    <w:rsid w:val="00AD0B04"/>
    <w:rsid w:val="00AD1C19"/>
    <w:rsid w:val="00AD2C16"/>
    <w:rsid w:val="00AD422C"/>
    <w:rsid w:val="00AD5BE1"/>
    <w:rsid w:val="00AE0095"/>
    <w:rsid w:val="00AE00D2"/>
    <w:rsid w:val="00AE15C4"/>
    <w:rsid w:val="00AE30CD"/>
    <w:rsid w:val="00AE5059"/>
    <w:rsid w:val="00AE581C"/>
    <w:rsid w:val="00AE7EBE"/>
    <w:rsid w:val="00AE7F64"/>
    <w:rsid w:val="00AF01B3"/>
    <w:rsid w:val="00AF103B"/>
    <w:rsid w:val="00AF3511"/>
    <w:rsid w:val="00AF56DB"/>
    <w:rsid w:val="00AF67F3"/>
    <w:rsid w:val="00B0050B"/>
    <w:rsid w:val="00B028CB"/>
    <w:rsid w:val="00B03330"/>
    <w:rsid w:val="00B10DA1"/>
    <w:rsid w:val="00B10EDD"/>
    <w:rsid w:val="00B12D4E"/>
    <w:rsid w:val="00B17288"/>
    <w:rsid w:val="00B21447"/>
    <w:rsid w:val="00B22A27"/>
    <w:rsid w:val="00B2573F"/>
    <w:rsid w:val="00B26BF6"/>
    <w:rsid w:val="00B27E21"/>
    <w:rsid w:val="00B3004B"/>
    <w:rsid w:val="00B31728"/>
    <w:rsid w:val="00B33187"/>
    <w:rsid w:val="00B33818"/>
    <w:rsid w:val="00B3477A"/>
    <w:rsid w:val="00B359C4"/>
    <w:rsid w:val="00B35B9B"/>
    <w:rsid w:val="00B36FE6"/>
    <w:rsid w:val="00B379BB"/>
    <w:rsid w:val="00B4283C"/>
    <w:rsid w:val="00B44459"/>
    <w:rsid w:val="00B44A6D"/>
    <w:rsid w:val="00B45639"/>
    <w:rsid w:val="00B462B5"/>
    <w:rsid w:val="00B46328"/>
    <w:rsid w:val="00B469D2"/>
    <w:rsid w:val="00B474E7"/>
    <w:rsid w:val="00B52BB0"/>
    <w:rsid w:val="00B52F7D"/>
    <w:rsid w:val="00B544B2"/>
    <w:rsid w:val="00B54CD6"/>
    <w:rsid w:val="00B579C7"/>
    <w:rsid w:val="00B62328"/>
    <w:rsid w:val="00B62887"/>
    <w:rsid w:val="00B6536B"/>
    <w:rsid w:val="00B67CDD"/>
    <w:rsid w:val="00B72031"/>
    <w:rsid w:val="00B74D19"/>
    <w:rsid w:val="00B77CCE"/>
    <w:rsid w:val="00B77EA1"/>
    <w:rsid w:val="00B82CD1"/>
    <w:rsid w:val="00B83E00"/>
    <w:rsid w:val="00B83E73"/>
    <w:rsid w:val="00B84D28"/>
    <w:rsid w:val="00B84DE6"/>
    <w:rsid w:val="00B84F55"/>
    <w:rsid w:val="00B86E64"/>
    <w:rsid w:val="00B8771E"/>
    <w:rsid w:val="00B92D0C"/>
    <w:rsid w:val="00B934B4"/>
    <w:rsid w:val="00B93875"/>
    <w:rsid w:val="00B95FAB"/>
    <w:rsid w:val="00BA042B"/>
    <w:rsid w:val="00BA3EC9"/>
    <w:rsid w:val="00BA4E7A"/>
    <w:rsid w:val="00BA4EAD"/>
    <w:rsid w:val="00BA605E"/>
    <w:rsid w:val="00BA639E"/>
    <w:rsid w:val="00BB6C2B"/>
    <w:rsid w:val="00BB6E99"/>
    <w:rsid w:val="00BC0394"/>
    <w:rsid w:val="00BC17E9"/>
    <w:rsid w:val="00BC3373"/>
    <w:rsid w:val="00BC3593"/>
    <w:rsid w:val="00BC3ED7"/>
    <w:rsid w:val="00BC42DC"/>
    <w:rsid w:val="00BD5AC3"/>
    <w:rsid w:val="00BD653C"/>
    <w:rsid w:val="00BE2FC9"/>
    <w:rsid w:val="00BE3446"/>
    <w:rsid w:val="00BE36F1"/>
    <w:rsid w:val="00BE4F1E"/>
    <w:rsid w:val="00BF0660"/>
    <w:rsid w:val="00BF2D72"/>
    <w:rsid w:val="00BF2E51"/>
    <w:rsid w:val="00BF48F7"/>
    <w:rsid w:val="00BF4F0B"/>
    <w:rsid w:val="00BF4F82"/>
    <w:rsid w:val="00BF5F71"/>
    <w:rsid w:val="00BF65F4"/>
    <w:rsid w:val="00C007CB"/>
    <w:rsid w:val="00C01129"/>
    <w:rsid w:val="00C01ACD"/>
    <w:rsid w:val="00C04839"/>
    <w:rsid w:val="00C05CED"/>
    <w:rsid w:val="00C06BD1"/>
    <w:rsid w:val="00C06F01"/>
    <w:rsid w:val="00C07602"/>
    <w:rsid w:val="00C11507"/>
    <w:rsid w:val="00C12CAC"/>
    <w:rsid w:val="00C13310"/>
    <w:rsid w:val="00C14ABF"/>
    <w:rsid w:val="00C168A8"/>
    <w:rsid w:val="00C16AD2"/>
    <w:rsid w:val="00C208C5"/>
    <w:rsid w:val="00C238F7"/>
    <w:rsid w:val="00C249BD"/>
    <w:rsid w:val="00C24CE4"/>
    <w:rsid w:val="00C24F13"/>
    <w:rsid w:val="00C25301"/>
    <w:rsid w:val="00C3053D"/>
    <w:rsid w:val="00C326B0"/>
    <w:rsid w:val="00C34D3C"/>
    <w:rsid w:val="00C3653A"/>
    <w:rsid w:val="00C36AD7"/>
    <w:rsid w:val="00C377FD"/>
    <w:rsid w:val="00C416DA"/>
    <w:rsid w:val="00C41C09"/>
    <w:rsid w:val="00C41E9A"/>
    <w:rsid w:val="00C42D9C"/>
    <w:rsid w:val="00C46503"/>
    <w:rsid w:val="00C46F63"/>
    <w:rsid w:val="00C474E6"/>
    <w:rsid w:val="00C512FC"/>
    <w:rsid w:val="00C52B7B"/>
    <w:rsid w:val="00C531F2"/>
    <w:rsid w:val="00C55712"/>
    <w:rsid w:val="00C574E8"/>
    <w:rsid w:val="00C603E2"/>
    <w:rsid w:val="00C60D6D"/>
    <w:rsid w:val="00C63491"/>
    <w:rsid w:val="00C64103"/>
    <w:rsid w:val="00C64F72"/>
    <w:rsid w:val="00C65C72"/>
    <w:rsid w:val="00C65F7D"/>
    <w:rsid w:val="00C661B7"/>
    <w:rsid w:val="00C66488"/>
    <w:rsid w:val="00C66EA0"/>
    <w:rsid w:val="00C677D4"/>
    <w:rsid w:val="00C71812"/>
    <w:rsid w:val="00C72222"/>
    <w:rsid w:val="00C72250"/>
    <w:rsid w:val="00C75703"/>
    <w:rsid w:val="00C760BA"/>
    <w:rsid w:val="00C8038F"/>
    <w:rsid w:val="00C81C82"/>
    <w:rsid w:val="00C828F1"/>
    <w:rsid w:val="00C84487"/>
    <w:rsid w:val="00C849EE"/>
    <w:rsid w:val="00C85BE1"/>
    <w:rsid w:val="00C862D3"/>
    <w:rsid w:val="00C90ADC"/>
    <w:rsid w:val="00C912CF"/>
    <w:rsid w:val="00C918B7"/>
    <w:rsid w:val="00C9442D"/>
    <w:rsid w:val="00C94E78"/>
    <w:rsid w:val="00C96D01"/>
    <w:rsid w:val="00CA1C9E"/>
    <w:rsid w:val="00CA2036"/>
    <w:rsid w:val="00CA229C"/>
    <w:rsid w:val="00CA4CE6"/>
    <w:rsid w:val="00CA61DA"/>
    <w:rsid w:val="00CA6972"/>
    <w:rsid w:val="00CA6A51"/>
    <w:rsid w:val="00CA7894"/>
    <w:rsid w:val="00CA7B14"/>
    <w:rsid w:val="00CA7E3C"/>
    <w:rsid w:val="00CB072B"/>
    <w:rsid w:val="00CB09F3"/>
    <w:rsid w:val="00CB1BEC"/>
    <w:rsid w:val="00CB29DD"/>
    <w:rsid w:val="00CB311C"/>
    <w:rsid w:val="00CB3159"/>
    <w:rsid w:val="00CB67C8"/>
    <w:rsid w:val="00CB754F"/>
    <w:rsid w:val="00CC25F5"/>
    <w:rsid w:val="00CC52BA"/>
    <w:rsid w:val="00CC628C"/>
    <w:rsid w:val="00CC67FA"/>
    <w:rsid w:val="00CC6ACD"/>
    <w:rsid w:val="00CD116A"/>
    <w:rsid w:val="00CD12FE"/>
    <w:rsid w:val="00CD269F"/>
    <w:rsid w:val="00CD58ED"/>
    <w:rsid w:val="00CD5DF0"/>
    <w:rsid w:val="00CD7C13"/>
    <w:rsid w:val="00CE04CE"/>
    <w:rsid w:val="00CE0745"/>
    <w:rsid w:val="00CE1D38"/>
    <w:rsid w:val="00CE2229"/>
    <w:rsid w:val="00CE235F"/>
    <w:rsid w:val="00CE52E8"/>
    <w:rsid w:val="00CF0F3C"/>
    <w:rsid w:val="00CF158A"/>
    <w:rsid w:val="00CF1FF9"/>
    <w:rsid w:val="00CF3609"/>
    <w:rsid w:val="00CF58EB"/>
    <w:rsid w:val="00CF6297"/>
    <w:rsid w:val="00CF6B4A"/>
    <w:rsid w:val="00CF7627"/>
    <w:rsid w:val="00CF7BAF"/>
    <w:rsid w:val="00D016B3"/>
    <w:rsid w:val="00D0178A"/>
    <w:rsid w:val="00D020C8"/>
    <w:rsid w:val="00D024B2"/>
    <w:rsid w:val="00D0280D"/>
    <w:rsid w:val="00D046F5"/>
    <w:rsid w:val="00D04D88"/>
    <w:rsid w:val="00D0596C"/>
    <w:rsid w:val="00D06894"/>
    <w:rsid w:val="00D07188"/>
    <w:rsid w:val="00D0782F"/>
    <w:rsid w:val="00D07C60"/>
    <w:rsid w:val="00D07FA9"/>
    <w:rsid w:val="00D11C7C"/>
    <w:rsid w:val="00D14FCF"/>
    <w:rsid w:val="00D15FD6"/>
    <w:rsid w:val="00D1757D"/>
    <w:rsid w:val="00D21B5A"/>
    <w:rsid w:val="00D21FC2"/>
    <w:rsid w:val="00D221FA"/>
    <w:rsid w:val="00D23A4B"/>
    <w:rsid w:val="00D24207"/>
    <w:rsid w:val="00D26BE7"/>
    <w:rsid w:val="00D33149"/>
    <w:rsid w:val="00D33B4C"/>
    <w:rsid w:val="00D33E56"/>
    <w:rsid w:val="00D3433E"/>
    <w:rsid w:val="00D34838"/>
    <w:rsid w:val="00D35A11"/>
    <w:rsid w:val="00D35DB3"/>
    <w:rsid w:val="00D40DB2"/>
    <w:rsid w:val="00D40DE6"/>
    <w:rsid w:val="00D415A0"/>
    <w:rsid w:val="00D41E8B"/>
    <w:rsid w:val="00D41FB6"/>
    <w:rsid w:val="00D45007"/>
    <w:rsid w:val="00D506AF"/>
    <w:rsid w:val="00D527A0"/>
    <w:rsid w:val="00D54EDA"/>
    <w:rsid w:val="00D55F8F"/>
    <w:rsid w:val="00D56CFC"/>
    <w:rsid w:val="00D57C6F"/>
    <w:rsid w:val="00D57D2B"/>
    <w:rsid w:val="00D6170A"/>
    <w:rsid w:val="00D64F88"/>
    <w:rsid w:val="00D6660E"/>
    <w:rsid w:val="00D7264F"/>
    <w:rsid w:val="00D73962"/>
    <w:rsid w:val="00D769FC"/>
    <w:rsid w:val="00D77667"/>
    <w:rsid w:val="00D77F9A"/>
    <w:rsid w:val="00D800F5"/>
    <w:rsid w:val="00D81AD1"/>
    <w:rsid w:val="00D85484"/>
    <w:rsid w:val="00D85897"/>
    <w:rsid w:val="00D86F51"/>
    <w:rsid w:val="00D87DC8"/>
    <w:rsid w:val="00D87EE1"/>
    <w:rsid w:val="00D915AF"/>
    <w:rsid w:val="00D9194F"/>
    <w:rsid w:val="00D93E12"/>
    <w:rsid w:val="00D9501D"/>
    <w:rsid w:val="00D9589A"/>
    <w:rsid w:val="00D95AF2"/>
    <w:rsid w:val="00D96CE1"/>
    <w:rsid w:val="00D97256"/>
    <w:rsid w:val="00D97723"/>
    <w:rsid w:val="00DA2538"/>
    <w:rsid w:val="00DA3821"/>
    <w:rsid w:val="00DA5109"/>
    <w:rsid w:val="00DA5D12"/>
    <w:rsid w:val="00DB24CC"/>
    <w:rsid w:val="00DB34F9"/>
    <w:rsid w:val="00DB3E2B"/>
    <w:rsid w:val="00DB512F"/>
    <w:rsid w:val="00DC0504"/>
    <w:rsid w:val="00DC191F"/>
    <w:rsid w:val="00DC246D"/>
    <w:rsid w:val="00DC2C23"/>
    <w:rsid w:val="00DC51A3"/>
    <w:rsid w:val="00DC7EC5"/>
    <w:rsid w:val="00DD2CE1"/>
    <w:rsid w:val="00DD5822"/>
    <w:rsid w:val="00DD770A"/>
    <w:rsid w:val="00DE13BC"/>
    <w:rsid w:val="00DE30B4"/>
    <w:rsid w:val="00DE4422"/>
    <w:rsid w:val="00DE455B"/>
    <w:rsid w:val="00DE6AA5"/>
    <w:rsid w:val="00DE7892"/>
    <w:rsid w:val="00DF11C5"/>
    <w:rsid w:val="00DF1794"/>
    <w:rsid w:val="00DF1E4B"/>
    <w:rsid w:val="00DF29E5"/>
    <w:rsid w:val="00DF4597"/>
    <w:rsid w:val="00DF5B78"/>
    <w:rsid w:val="00DF6DC0"/>
    <w:rsid w:val="00E0215B"/>
    <w:rsid w:val="00E03C05"/>
    <w:rsid w:val="00E07189"/>
    <w:rsid w:val="00E130DA"/>
    <w:rsid w:val="00E15661"/>
    <w:rsid w:val="00E1592A"/>
    <w:rsid w:val="00E21E82"/>
    <w:rsid w:val="00E23F04"/>
    <w:rsid w:val="00E24C38"/>
    <w:rsid w:val="00E254C4"/>
    <w:rsid w:val="00E268BD"/>
    <w:rsid w:val="00E27363"/>
    <w:rsid w:val="00E27433"/>
    <w:rsid w:val="00E27BFE"/>
    <w:rsid w:val="00E301D8"/>
    <w:rsid w:val="00E30F0D"/>
    <w:rsid w:val="00E34496"/>
    <w:rsid w:val="00E34C15"/>
    <w:rsid w:val="00E37B92"/>
    <w:rsid w:val="00E37F93"/>
    <w:rsid w:val="00E40F5E"/>
    <w:rsid w:val="00E42596"/>
    <w:rsid w:val="00E426AF"/>
    <w:rsid w:val="00E427A3"/>
    <w:rsid w:val="00E43E44"/>
    <w:rsid w:val="00E44EE8"/>
    <w:rsid w:val="00E45607"/>
    <w:rsid w:val="00E4615D"/>
    <w:rsid w:val="00E46D37"/>
    <w:rsid w:val="00E50AF4"/>
    <w:rsid w:val="00E51A39"/>
    <w:rsid w:val="00E52289"/>
    <w:rsid w:val="00E52537"/>
    <w:rsid w:val="00E52944"/>
    <w:rsid w:val="00E53471"/>
    <w:rsid w:val="00E536BF"/>
    <w:rsid w:val="00E561A3"/>
    <w:rsid w:val="00E5632C"/>
    <w:rsid w:val="00E57A26"/>
    <w:rsid w:val="00E61D33"/>
    <w:rsid w:val="00E628C5"/>
    <w:rsid w:val="00E631B9"/>
    <w:rsid w:val="00E63536"/>
    <w:rsid w:val="00E6389A"/>
    <w:rsid w:val="00E63FAD"/>
    <w:rsid w:val="00E706B9"/>
    <w:rsid w:val="00E70B09"/>
    <w:rsid w:val="00E736E7"/>
    <w:rsid w:val="00E73EEA"/>
    <w:rsid w:val="00E741B0"/>
    <w:rsid w:val="00E74C2D"/>
    <w:rsid w:val="00E773C2"/>
    <w:rsid w:val="00E7780E"/>
    <w:rsid w:val="00E806FF"/>
    <w:rsid w:val="00E812D0"/>
    <w:rsid w:val="00E82E73"/>
    <w:rsid w:val="00E84542"/>
    <w:rsid w:val="00E856F0"/>
    <w:rsid w:val="00E85FA2"/>
    <w:rsid w:val="00E87DD4"/>
    <w:rsid w:val="00E90419"/>
    <w:rsid w:val="00E93199"/>
    <w:rsid w:val="00E94E3D"/>
    <w:rsid w:val="00E97FD0"/>
    <w:rsid w:val="00EA1F4A"/>
    <w:rsid w:val="00EA21B0"/>
    <w:rsid w:val="00EA3E63"/>
    <w:rsid w:val="00EA4A13"/>
    <w:rsid w:val="00EA52E4"/>
    <w:rsid w:val="00EA5FF3"/>
    <w:rsid w:val="00EB2789"/>
    <w:rsid w:val="00EB2D7E"/>
    <w:rsid w:val="00EB3A40"/>
    <w:rsid w:val="00EB6CD2"/>
    <w:rsid w:val="00EB7431"/>
    <w:rsid w:val="00EB7971"/>
    <w:rsid w:val="00EC02C3"/>
    <w:rsid w:val="00EC0BE3"/>
    <w:rsid w:val="00EC3977"/>
    <w:rsid w:val="00EC5C13"/>
    <w:rsid w:val="00EC6007"/>
    <w:rsid w:val="00EC683A"/>
    <w:rsid w:val="00EC68C1"/>
    <w:rsid w:val="00EC79F9"/>
    <w:rsid w:val="00ED2774"/>
    <w:rsid w:val="00ED2E84"/>
    <w:rsid w:val="00ED3A8E"/>
    <w:rsid w:val="00ED45B8"/>
    <w:rsid w:val="00ED650C"/>
    <w:rsid w:val="00ED7A13"/>
    <w:rsid w:val="00EE0BF4"/>
    <w:rsid w:val="00EE5785"/>
    <w:rsid w:val="00EE60A0"/>
    <w:rsid w:val="00EE64EB"/>
    <w:rsid w:val="00EE6729"/>
    <w:rsid w:val="00EE6D63"/>
    <w:rsid w:val="00EF1BF3"/>
    <w:rsid w:val="00EF3968"/>
    <w:rsid w:val="00EF4B7F"/>
    <w:rsid w:val="00EF5799"/>
    <w:rsid w:val="00EF5DCC"/>
    <w:rsid w:val="00EF68FB"/>
    <w:rsid w:val="00EF6B75"/>
    <w:rsid w:val="00EF6D7A"/>
    <w:rsid w:val="00F00C65"/>
    <w:rsid w:val="00F01EDA"/>
    <w:rsid w:val="00F03A89"/>
    <w:rsid w:val="00F052C7"/>
    <w:rsid w:val="00F10022"/>
    <w:rsid w:val="00F10D5A"/>
    <w:rsid w:val="00F14E27"/>
    <w:rsid w:val="00F14F03"/>
    <w:rsid w:val="00F164D5"/>
    <w:rsid w:val="00F169C4"/>
    <w:rsid w:val="00F16C01"/>
    <w:rsid w:val="00F1712F"/>
    <w:rsid w:val="00F21D3F"/>
    <w:rsid w:val="00F2321C"/>
    <w:rsid w:val="00F26A66"/>
    <w:rsid w:val="00F278F3"/>
    <w:rsid w:val="00F35039"/>
    <w:rsid w:val="00F35581"/>
    <w:rsid w:val="00F37C2D"/>
    <w:rsid w:val="00F402AD"/>
    <w:rsid w:val="00F41551"/>
    <w:rsid w:val="00F41763"/>
    <w:rsid w:val="00F41EBA"/>
    <w:rsid w:val="00F4249D"/>
    <w:rsid w:val="00F428A5"/>
    <w:rsid w:val="00F436AA"/>
    <w:rsid w:val="00F4586A"/>
    <w:rsid w:val="00F46142"/>
    <w:rsid w:val="00F47E28"/>
    <w:rsid w:val="00F53411"/>
    <w:rsid w:val="00F5348A"/>
    <w:rsid w:val="00F54C5C"/>
    <w:rsid w:val="00F558D8"/>
    <w:rsid w:val="00F56B65"/>
    <w:rsid w:val="00F5746E"/>
    <w:rsid w:val="00F61056"/>
    <w:rsid w:val="00F62111"/>
    <w:rsid w:val="00F63193"/>
    <w:rsid w:val="00F64B95"/>
    <w:rsid w:val="00F66C3C"/>
    <w:rsid w:val="00F677D2"/>
    <w:rsid w:val="00F71698"/>
    <w:rsid w:val="00F73669"/>
    <w:rsid w:val="00F73A49"/>
    <w:rsid w:val="00F73DBE"/>
    <w:rsid w:val="00F77DF0"/>
    <w:rsid w:val="00F83EA5"/>
    <w:rsid w:val="00F84A60"/>
    <w:rsid w:val="00F859D2"/>
    <w:rsid w:val="00F85A11"/>
    <w:rsid w:val="00F87E55"/>
    <w:rsid w:val="00F91151"/>
    <w:rsid w:val="00F91173"/>
    <w:rsid w:val="00F93A80"/>
    <w:rsid w:val="00F93AD6"/>
    <w:rsid w:val="00F95189"/>
    <w:rsid w:val="00F95D2B"/>
    <w:rsid w:val="00F96630"/>
    <w:rsid w:val="00FA0008"/>
    <w:rsid w:val="00FA0023"/>
    <w:rsid w:val="00FA1BBF"/>
    <w:rsid w:val="00FA35BB"/>
    <w:rsid w:val="00FA500C"/>
    <w:rsid w:val="00FA7B87"/>
    <w:rsid w:val="00FB1170"/>
    <w:rsid w:val="00FB1231"/>
    <w:rsid w:val="00FB21D0"/>
    <w:rsid w:val="00FB3C04"/>
    <w:rsid w:val="00FB48C0"/>
    <w:rsid w:val="00FB6631"/>
    <w:rsid w:val="00FB7755"/>
    <w:rsid w:val="00FB7B15"/>
    <w:rsid w:val="00FB7E87"/>
    <w:rsid w:val="00FC0E95"/>
    <w:rsid w:val="00FC1BF9"/>
    <w:rsid w:val="00FC29F9"/>
    <w:rsid w:val="00FC4E14"/>
    <w:rsid w:val="00FC5468"/>
    <w:rsid w:val="00FD015F"/>
    <w:rsid w:val="00FD15B6"/>
    <w:rsid w:val="00FD2525"/>
    <w:rsid w:val="00FD283D"/>
    <w:rsid w:val="00FD3E11"/>
    <w:rsid w:val="00FD552C"/>
    <w:rsid w:val="00FE00A2"/>
    <w:rsid w:val="00FE193A"/>
    <w:rsid w:val="00FE2523"/>
    <w:rsid w:val="00FE3B05"/>
    <w:rsid w:val="00FE518B"/>
    <w:rsid w:val="00FE69DB"/>
    <w:rsid w:val="00FE6E5B"/>
    <w:rsid w:val="00FF2BC5"/>
    <w:rsid w:val="00FF354F"/>
    <w:rsid w:val="00FF48C5"/>
    <w:rsid w:val="00FF4D83"/>
    <w:rsid w:val="00FF662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15"/>
    <w:pPr>
      <w:widowControl w:val="0"/>
      <w:adjustRightInd w:val="0"/>
      <w:spacing w:after="0" w:line="360" w:lineRule="atLeast"/>
      <w:jc w:val="both"/>
      <w:textAlignment w:val="baseline"/>
    </w:pPr>
    <w:rPr>
      <w:rFonts w:eastAsia="Times New Roman" w:cs="Times New Roman"/>
      <w:sz w:val="24"/>
      <w:szCs w:val="20"/>
      <w:lang w:eastAsia="es-PE"/>
    </w:rPr>
  </w:style>
  <w:style w:type="paragraph" w:styleId="Ttulo1">
    <w:name w:val="heading 1"/>
    <w:basedOn w:val="Normal"/>
    <w:next w:val="Normal"/>
    <w:link w:val="Ttulo1Car"/>
    <w:qFormat/>
    <w:rsid w:val="00530C0B"/>
    <w:pPr>
      <w:keepNext/>
      <w:widowControl/>
      <w:adjustRightInd/>
      <w:spacing w:line="240" w:lineRule="auto"/>
      <w:jc w:val="center"/>
      <w:textAlignment w:val="auto"/>
      <w:outlineLvl w:val="0"/>
    </w:pPr>
    <w:rPr>
      <w:b/>
      <w:sz w:val="20"/>
      <w:lang w:val="es-ES" w:eastAsia="en-US"/>
    </w:rPr>
  </w:style>
  <w:style w:type="paragraph" w:styleId="Ttulo2">
    <w:name w:val="heading 2"/>
    <w:basedOn w:val="Normal"/>
    <w:next w:val="Normal"/>
    <w:link w:val="Ttulo2Car"/>
    <w:uiPriority w:val="9"/>
    <w:semiHidden/>
    <w:unhideWhenUsed/>
    <w:qFormat/>
    <w:rsid w:val="00B544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qFormat/>
    <w:rsid w:val="00530C0B"/>
    <w:pPr>
      <w:keepNext/>
      <w:adjustRightInd/>
      <w:spacing w:before="240" w:after="60" w:line="240" w:lineRule="auto"/>
      <w:jc w:val="left"/>
      <w:textAlignment w:val="auto"/>
      <w:outlineLvl w:val="3"/>
    </w:pPr>
    <w:rPr>
      <w:b/>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w Parrafo numerado"/>
    <w:basedOn w:val="Normal"/>
    <w:link w:val="PrrafodelistaCar"/>
    <w:uiPriority w:val="34"/>
    <w:qFormat/>
    <w:rsid w:val="00971FEA"/>
    <w:pPr>
      <w:ind w:left="720"/>
      <w:contextualSpacing/>
    </w:pPr>
  </w:style>
  <w:style w:type="character" w:customStyle="1" w:styleId="PrrafodelistaCar">
    <w:name w:val="Párrafo de lista Car"/>
    <w:aliases w:val="w Parrafo numerado Car"/>
    <w:link w:val="Prrafodelista"/>
    <w:uiPriority w:val="34"/>
    <w:locked/>
    <w:rsid w:val="00971FEA"/>
    <w:rPr>
      <w:rFonts w:eastAsia="Times New Roman"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uiPriority w:val="99"/>
    <w:rsid w:val="00971FEA"/>
    <w:rPr>
      <w:sz w:val="20"/>
    </w:rPr>
  </w:style>
  <w:style w:type="character" w:customStyle="1" w:styleId="TextonotapieCar">
    <w:name w:val="Texto nota pie Car"/>
    <w:aliases w:val="Footnote ak Car Car Car Car,fn cafc Car,Footnote Text Char1 Car,fn Char Char Car,footnote text Char Char Car,Footnotes Char Char Car,Note de bas de page Car Car Car"/>
    <w:basedOn w:val="Fuentedeprrafopredeter"/>
    <w:uiPriority w:val="99"/>
    <w:rsid w:val="00971FEA"/>
    <w:rPr>
      <w:rFonts w:eastAsia="Times New Roman" w:cs="Times New Roman"/>
      <w:sz w:val="20"/>
      <w:szCs w:val="20"/>
      <w:lang w:eastAsia="es-PE"/>
    </w:rPr>
  </w:style>
  <w:style w:type="character" w:styleId="Refdenotaalpie">
    <w:name w:val="footnote reference"/>
    <w:aliases w:val="Ref,de nota al pie,Error-Fußnotenzeichen5,Error-Fußnotenzeichen6,Error-Fußnotenzeichen3"/>
    <w:uiPriority w:val="99"/>
    <w:rsid w:val="00971FEA"/>
    <w:rPr>
      <w:vertAlign w:val="superscript"/>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uiPriority w:val="99"/>
    <w:rsid w:val="00971FEA"/>
    <w:rPr>
      <w:rFonts w:eastAsia="Times New Roman" w:cs="Times New Roman"/>
      <w:sz w:val="20"/>
      <w:szCs w:val="20"/>
      <w:lang w:eastAsia="es-PE"/>
    </w:rPr>
  </w:style>
  <w:style w:type="paragraph" w:styleId="NormalWeb">
    <w:name w:val="Normal (Web)"/>
    <w:basedOn w:val="Normal"/>
    <w:uiPriority w:val="99"/>
    <w:rsid w:val="00971FEA"/>
    <w:pPr>
      <w:widowControl/>
      <w:adjustRightInd/>
      <w:spacing w:before="100" w:beforeAutospacing="1" w:after="100" w:afterAutospacing="1" w:line="240" w:lineRule="auto"/>
      <w:jc w:val="left"/>
      <w:textAlignment w:val="auto"/>
    </w:pPr>
    <w:rPr>
      <w:rFonts w:ascii="Times New Roman" w:hAnsi="Times New Roman"/>
      <w:color w:val="333333"/>
      <w:szCs w:val="24"/>
      <w:lang w:eastAsia="es-ES"/>
    </w:rPr>
  </w:style>
  <w:style w:type="paragraph" w:styleId="Sinespaciado">
    <w:name w:val="No Spacing"/>
    <w:uiPriority w:val="1"/>
    <w:qFormat/>
    <w:rsid w:val="001A06BA"/>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026C1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26C1B"/>
    <w:rPr>
      <w:rFonts w:eastAsia="Times New Roman" w:cs="Times New Roman"/>
      <w:sz w:val="24"/>
      <w:szCs w:val="20"/>
      <w:lang w:eastAsia="es-PE"/>
    </w:rPr>
  </w:style>
  <w:style w:type="paragraph" w:styleId="Piedepgina">
    <w:name w:val="footer"/>
    <w:basedOn w:val="Normal"/>
    <w:link w:val="PiedepginaCar"/>
    <w:uiPriority w:val="99"/>
    <w:unhideWhenUsed/>
    <w:rsid w:val="00026C1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26C1B"/>
    <w:rPr>
      <w:rFonts w:eastAsia="Times New Roman" w:cs="Times New Roman"/>
      <w:sz w:val="24"/>
      <w:szCs w:val="20"/>
      <w:lang w:eastAsia="es-PE"/>
    </w:rPr>
  </w:style>
  <w:style w:type="paragraph" w:customStyle="1" w:styleId="qowt-li-00">
    <w:name w:val="qowt-li-0_0"/>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qowt-stl-encabezado">
    <w:name w:val="qowt-stl-encabezado"/>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qowt-field">
    <w:name w:val="qowt-field"/>
    <w:basedOn w:val="Fuentedeprrafopredeter"/>
    <w:rsid w:val="00710D9A"/>
  </w:style>
  <w:style w:type="paragraph" w:customStyle="1" w:styleId="qowt-stl-normal">
    <w:name w:val="qowt-stl-normal"/>
    <w:basedOn w:val="Normal"/>
    <w:rsid w:val="00163671"/>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Ttulo1Car">
    <w:name w:val="Título 1 Car"/>
    <w:basedOn w:val="Fuentedeprrafopredeter"/>
    <w:link w:val="Ttulo1"/>
    <w:rsid w:val="00530C0B"/>
    <w:rPr>
      <w:rFonts w:eastAsia="Times New Roman" w:cs="Times New Roman"/>
      <w:b/>
      <w:sz w:val="20"/>
      <w:szCs w:val="20"/>
      <w:lang w:val="es-ES"/>
    </w:rPr>
  </w:style>
  <w:style w:type="character" w:customStyle="1" w:styleId="Ttulo4Car">
    <w:name w:val="Título 4 Car"/>
    <w:basedOn w:val="Fuentedeprrafopredeter"/>
    <w:link w:val="Ttulo4"/>
    <w:rsid w:val="00530C0B"/>
    <w:rPr>
      <w:rFonts w:eastAsia="Times New Roman" w:cs="Times New Roman"/>
      <w:b/>
      <w:szCs w:val="20"/>
      <w:lang w:val="es-ES"/>
    </w:rPr>
  </w:style>
  <w:style w:type="character" w:customStyle="1" w:styleId="qowt-font3-arial">
    <w:name w:val="qowt-font3-arial"/>
    <w:basedOn w:val="Fuentedeprrafopredeter"/>
    <w:rsid w:val="00C01ACD"/>
  </w:style>
  <w:style w:type="paragraph" w:customStyle="1" w:styleId="qowt-li-18864540681">
    <w:name w:val="qowt-li-1886454068_1"/>
    <w:basedOn w:val="Normal"/>
    <w:rsid w:val="00C01ACD"/>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gaceta">
    <w:name w:val="gaceta"/>
    <w:rsid w:val="006403DB"/>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paragraph" w:styleId="Textodeglobo">
    <w:name w:val="Balloon Text"/>
    <w:basedOn w:val="Normal"/>
    <w:link w:val="TextodegloboCar"/>
    <w:uiPriority w:val="99"/>
    <w:semiHidden/>
    <w:unhideWhenUsed/>
    <w:rsid w:val="00B428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83C"/>
    <w:rPr>
      <w:rFonts w:ascii="Segoe UI" w:eastAsia="Times New Roman" w:hAnsi="Segoe UI" w:cs="Segoe UI"/>
      <w:sz w:val="18"/>
      <w:szCs w:val="18"/>
      <w:lang w:eastAsia="es-PE"/>
    </w:rPr>
  </w:style>
  <w:style w:type="character" w:styleId="Refdecomentario">
    <w:name w:val="annotation reference"/>
    <w:basedOn w:val="Fuentedeprrafopredeter"/>
    <w:uiPriority w:val="99"/>
    <w:semiHidden/>
    <w:unhideWhenUsed/>
    <w:rsid w:val="00C01129"/>
    <w:rPr>
      <w:sz w:val="16"/>
      <w:szCs w:val="16"/>
    </w:rPr>
  </w:style>
  <w:style w:type="paragraph" w:styleId="Textocomentario">
    <w:name w:val="annotation text"/>
    <w:basedOn w:val="Normal"/>
    <w:link w:val="TextocomentarioCar"/>
    <w:uiPriority w:val="99"/>
    <w:semiHidden/>
    <w:unhideWhenUsed/>
    <w:rsid w:val="00C01129"/>
    <w:pPr>
      <w:spacing w:line="240" w:lineRule="auto"/>
    </w:pPr>
    <w:rPr>
      <w:sz w:val="20"/>
    </w:rPr>
  </w:style>
  <w:style w:type="character" w:customStyle="1" w:styleId="TextocomentarioCar">
    <w:name w:val="Texto comentario Car"/>
    <w:basedOn w:val="Fuentedeprrafopredeter"/>
    <w:link w:val="Textocomentario"/>
    <w:uiPriority w:val="99"/>
    <w:semiHidden/>
    <w:rsid w:val="00C01129"/>
    <w:rPr>
      <w:rFonts w:eastAsia="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C01129"/>
    <w:rPr>
      <w:b/>
      <w:bCs/>
    </w:rPr>
  </w:style>
  <w:style w:type="character" w:customStyle="1" w:styleId="AsuntodelcomentarioCar">
    <w:name w:val="Asunto del comentario Car"/>
    <w:basedOn w:val="TextocomentarioCar"/>
    <w:link w:val="Asuntodelcomentario"/>
    <w:uiPriority w:val="99"/>
    <w:semiHidden/>
    <w:rsid w:val="00C01129"/>
    <w:rPr>
      <w:rFonts w:eastAsia="Times New Roman" w:cs="Times New Roman"/>
      <w:b/>
      <w:bCs/>
      <w:sz w:val="20"/>
      <w:szCs w:val="20"/>
      <w:lang w:eastAsia="es-PE"/>
    </w:rPr>
  </w:style>
  <w:style w:type="table" w:styleId="Tablaconcuadrcula">
    <w:name w:val="Table Grid"/>
    <w:basedOn w:val="Tablanormal"/>
    <w:uiPriority w:val="39"/>
    <w:rsid w:val="00944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owt-stl-prrafodelista">
    <w:name w:val="qowt-stl-prrafodelista"/>
    <w:basedOn w:val="Normal"/>
    <w:rsid w:val="0008736F"/>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Textoindependiente21">
    <w:name w:val="Texto independiente 21"/>
    <w:basedOn w:val="Normal"/>
    <w:rsid w:val="00C249BD"/>
    <w:pPr>
      <w:widowControl/>
      <w:suppressAutoHyphens/>
      <w:overflowPunct w:val="0"/>
      <w:autoSpaceDE w:val="0"/>
      <w:autoSpaceDN w:val="0"/>
      <w:spacing w:line="240" w:lineRule="auto"/>
    </w:pPr>
    <w:rPr>
      <w:rFonts w:ascii="Book Antiqua" w:hAnsi="Book Antiqua"/>
      <w:spacing w:val="-3"/>
      <w:lang w:val="es-ES_tradnl" w:eastAsia="es-ES"/>
    </w:rPr>
  </w:style>
  <w:style w:type="character" w:customStyle="1" w:styleId="Ttulo2Car">
    <w:name w:val="Título 2 Car"/>
    <w:basedOn w:val="Fuentedeprrafopredeter"/>
    <w:link w:val="Ttulo2"/>
    <w:uiPriority w:val="9"/>
    <w:semiHidden/>
    <w:rsid w:val="00B544B2"/>
    <w:rPr>
      <w:rFonts w:asciiTheme="majorHAnsi" w:eastAsiaTheme="majorEastAsia" w:hAnsiTheme="majorHAnsi" w:cstheme="majorBidi"/>
      <w:color w:val="2E74B5" w:themeColor="accent1" w:themeShade="BF"/>
      <w:sz w:val="26"/>
      <w:szCs w:val="26"/>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15"/>
    <w:pPr>
      <w:widowControl w:val="0"/>
      <w:adjustRightInd w:val="0"/>
      <w:spacing w:after="0" w:line="360" w:lineRule="atLeast"/>
      <w:jc w:val="both"/>
      <w:textAlignment w:val="baseline"/>
    </w:pPr>
    <w:rPr>
      <w:rFonts w:eastAsia="Times New Roman" w:cs="Times New Roman"/>
      <w:sz w:val="24"/>
      <w:szCs w:val="20"/>
      <w:lang w:eastAsia="es-PE"/>
    </w:rPr>
  </w:style>
  <w:style w:type="paragraph" w:styleId="Ttulo1">
    <w:name w:val="heading 1"/>
    <w:basedOn w:val="Normal"/>
    <w:next w:val="Normal"/>
    <w:link w:val="Ttulo1Car"/>
    <w:qFormat/>
    <w:rsid w:val="00530C0B"/>
    <w:pPr>
      <w:keepNext/>
      <w:widowControl/>
      <w:adjustRightInd/>
      <w:spacing w:line="240" w:lineRule="auto"/>
      <w:jc w:val="center"/>
      <w:textAlignment w:val="auto"/>
      <w:outlineLvl w:val="0"/>
    </w:pPr>
    <w:rPr>
      <w:b/>
      <w:sz w:val="20"/>
      <w:lang w:val="es-ES" w:eastAsia="en-US"/>
    </w:rPr>
  </w:style>
  <w:style w:type="paragraph" w:styleId="Ttulo2">
    <w:name w:val="heading 2"/>
    <w:basedOn w:val="Normal"/>
    <w:next w:val="Normal"/>
    <w:link w:val="Ttulo2Car"/>
    <w:uiPriority w:val="9"/>
    <w:semiHidden/>
    <w:unhideWhenUsed/>
    <w:qFormat/>
    <w:rsid w:val="00B544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qFormat/>
    <w:rsid w:val="00530C0B"/>
    <w:pPr>
      <w:keepNext/>
      <w:adjustRightInd/>
      <w:spacing w:before="240" w:after="60" w:line="240" w:lineRule="auto"/>
      <w:jc w:val="left"/>
      <w:textAlignment w:val="auto"/>
      <w:outlineLvl w:val="3"/>
    </w:pPr>
    <w:rPr>
      <w:b/>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w Parrafo numerado"/>
    <w:basedOn w:val="Normal"/>
    <w:link w:val="PrrafodelistaCar"/>
    <w:uiPriority w:val="34"/>
    <w:qFormat/>
    <w:rsid w:val="00971FEA"/>
    <w:pPr>
      <w:ind w:left="720"/>
      <w:contextualSpacing/>
    </w:pPr>
  </w:style>
  <w:style w:type="character" w:customStyle="1" w:styleId="PrrafodelistaCar">
    <w:name w:val="Párrafo de lista Car"/>
    <w:aliases w:val="w Parrafo numerado Car"/>
    <w:link w:val="Prrafodelista"/>
    <w:uiPriority w:val="34"/>
    <w:locked/>
    <w:rsid w:val="00971FEA"/>
    <w:rPr>
      <w:rFonts w:eastAsia="Times New Roman"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uiPriority w:val="99"/>
    <w:rsid w:val="00971FEA"/>
    <w:rPr>
      <w:sz w:val="20"/>
    </w:rPr>
  </w:style>
  <w:style w:type="character" w:customStyle="1" w:styleId="TextonotapieCar">
    <w:name w:val="Texto nota pie Car"/>
    <w:aliases w:val="Footnote ak Car Car Car Car,fn cafc Car,Footnote Text Char1 Car,fn Char Char Car,footnote text Char Char Car,Footnotes Char Char Car,Note de bas de page Car Car Car"/>
    <w:basedOn w:val="Fuentedeprrafopredeter"/>
    <w:uiPriority w:val="99"/>
    <w:rsid w:val="00971FEA"/>
    <w:rPr>
      <w:rFonts w:eastAsia="Times New Roman" w:cs="Times New Roman"/>
      <w:sz w:val="20"/>
      <w:szCs w:val="20"/>
      <w:lang w:eastAsia="es-PE"/>
    </w:rPr>
  </w:style>
  <w:style w:type="character" w:styleId="Refdenotaalpie">
    <w:name w:val="footnote reference"/>
    <w:aliases w:val="Ref,de nota al pie,Error-Fußnotenzeichen5,Error-Fußnotenzeichen6,Error-Fußnotenzeichen3"/>
    <w:uiPriority w:val="99"/>
    <w:rsid w:val="00971FEA"/>
    <w:rPr>
      <w:vertAlign w:val="superscript"/>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uiPriority w:val="99"/>
    <w:rsid w:val="00971FEA"/>
    <w:rPr>
      <w:rFonts w:eastAsia="Times New Roman" w:cs="Times New Roman"/>
      <w:sz w:val="20"/>
      <w:szCs w:val="20"/>
      <w:lang w:eastAsia="es-PE"/>
    </w:rPr>
  </w:style>
  <w:style w:type="paragraph" w:styleId="NormalWeb">
    <w:name w:val="Normal (Web)"/>
    <w:basedOn w:val="Normal"/>
    <w:uiPriority w:val="99"/>
    <w:rsid w:val="00971FEA"/>
    <w:pPr>
      <w:widowControl/>
      <w:adjustRightInd/>
      <w:spacing w:before="100" w:beforeAutospacing="1" w:after="100" w:afterAutospacing="1" w:line="240" w:lineRule="auto"/>
      <w:jc w:val="left"/>
      <w:textAlignment w:val="auto"/>
    </w:pPr>
    <w:rPr>
      <w:rFonts w:ascii="Times New Roman" w:hAnsi="Times New Roman"/>
      <w:color w:val="333333"/>
      <w:szCs w:val="24"/>
      <w:lang w:eastAsia="es-ES"/>
    </w:rPr>
  </w:style>
  <w:style w:type="paragraph" w:styleId="Sinespaciado">
    <w:name w:val="No Spacing"/>
    <w:uiPriority w:val="1"/>
    <w:qFormat/>
    <w:rsid w:val="001A06BA"/>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026C1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26C1B"/>
    <w:rPr>
      <w:rFonts w:eastAsia="Times New Roman" w:cs="Times New Roman"/>
      <w:sz w:val="24"/>
      <w:szCs w:val="20"/>
      <w:lang w:eastAsia="es-PE"/>
    </w:rPr>
  </w:style>
  <w:style w:type="paragraph" w:styleId="Piedepgina">
    <w:name w:val="footer"/>
    <w:basedOn w:val="Normal"/>
    <w:link w:val="PiedepginaCar"/>
    <w:uiPriority w:val="99"/>
    <w:unhideWhenUsed/>
    <w:rsid w:val="00026C1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26C1B"/>
    <w:rPr>
      <w:rFonts w:eastAsia="Times New Roman" w:cs="Times New Roman"/>
      <w:sz w:val="24"/>
      <w:szCs w:val="20"/>
      <w:lang w:eastAsia="es-PE"/>
    </w:rPr>
  </w:style>
  <w:style w:type="paragraph" w:customStyle="1" w:styleId="qowt-li-00">
    <w:name w:val="qowt-li-0_0"/>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qowt-stl-encabezado">
    <w:name w:val="qowt-stl-encabezado"/>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qowt-field">
    <w:name w:val="qowt-field"/>
    <w:basedOn w:val="Fuentedeprrafopredeter"/>
    <w:rsid w:val="00710D9A"/>
  </w:style>
  <w:style w:type="paragraph" w:customStyle="1" w:styleId="qowt-stl-normal">
    <w:name w:val="qowt-stl-normal"/>
    <w:basedOn w:val="Normal"/>
    <w:rsid w:val="00163671"/>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Ttulo1Car">
    <w:name w:val="Título 1 Car"/>
    <w:basedOn w:val="Fuentedeprrafopredeter"/>
    <w:link w:val="Ttulo1"/>
    <w:rsid w:val="00530C0B"/>
    <w:rPr>
      <w:rFonts w:eastAsia="Times New Roman" w:cs="Times New Roman"/>
      <w:b/>
      <w:sz w:val="20"/>
      <w:szCs w:val="20"/>
      <w:lang w:val="es-ES"/>
    </w:rPr>
  </w:style>
  <w:style w:type="character" w:customStyle="1" w:styleId="Ttulo4Car">
    <w:name w:val="Título 4 Car"/>
    <w:basedOn w:val="Fuentedeprrafopredeter"/>
    <w:link w:val="Ttulo4"/>
    <w:rsid w:val="00530C0B"/>
    <w:rPr>
      <w:rFonts w:eastAsia="Times New Roman" w:cs="Times New Roman"/>
      <w:b/>
      <w:szCs w:val="20"/>
      <w:lang w:val="es-ES"/>
    </w:rPr>
  </w:style>
  <w:style w:type="character" w:customStyle="1" w:styleId="qowt-font3-arial">
    <w:name w:val="qowt-font3-arial"/>
    <w:basedOn w:val="Fuentedeprrafopredeter"/>
    <w:rsid w:val="00C01ACD"/>
  </w:style>
  <w:style w:type="paragraph" w:customStyle="1" w:styleId="qowt-li-18864540681">
    <w:name w:val="qowt-li-1886454068_1"/>
    <w:basedOn w:val="Normal"/>
    <w:rsid w:val="00C01ACD"/>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gaceta">
    <w:name w:val="gaceta"/>
    <w:rsid w:val="006403DB"/>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paragraph" w:styleId="Textodeglobo">
    <w:name w:val="Balloon Text"/>
    <w:basedOn w:val="Normal"/>
    <w:link w:val="TextodegloboCar"/>
    <w:uiPriority w:val="99"/>
    <w:semiHidden/>
    <w:unhideWhenUsed/>
    <w:rsid w:val="00B428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83C"/>
    <w:rPr>
      <w:rFonts w:ascii="Segoe UI" w:eastAsia="Times New Roman" w:hAnsi="Segoe UI" w:cs="Segoe UI"/>
      <w:sz w:val="18"/>
      <w:szCs w:val="18"/>
      <w:lang w:eastAsia="es-PE"/>
    </w:rPr>
  </w:style>
  <w:style w:type="character" w:styleId="Refdecomentario">
    <w:name w:val="annotation reference"/>
    <w:basedOn w:val="Fuentedeprrafopredeter"/>
    <w:uiPriority w:val="99"/>
    <w:semiHidden/>
    <w:unhideWhenUsed/>
    <w:rsid w:val="00C01129"/>
    <w:rPr>
      <w:sz w:val="16"/>
      <w:szCs w:val="16"/>
    </w:rPr>
  </w:style>
  <w:style w:type="paragraph" w:styleId="Textocomentario">
    <w:name w:val="annotation text"/>
    <w:basedOn w:val="Normal"/>
    <w:link w:val="TextocomentarioCar"/>
    <w:uiPriority w:val="99"/>
    <w:semiHidden/>
    <w:unhideWhenUsed/>
    <w:rsid w:val="00C01129"/>
    <w:pPr>
      <w:spacing w:line="240" w:lineRule="auto"/>
    </w:pPr>
    <w:rPr>
      <w:sz w:val="20"/>
    </w:rPr>
  </w:style>
  <w:style w:type="character" w:customStyle="1" w:styleId="TextocomentarioCar">
    <w:name w:val="Texto comentario Car"/>
    <w:basedOn w:val="Fuentedeprrafopredeter"/>
    <w:link w:val="Textocomentario"/>
    <w:uiPriority w:val="99"/>
    <w:semiHidden/>
    <w:rsid w:val="00C01129"/>
    <w:rPr>
      <w:rFonts w:eastAsia="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C01129"/>
    <w:rPr>
      <w:b/>
      <w:bCs/>
    </w:rPr>
  </w:style>
  <w:style w:type="character" w:customStyle="1" w:styleId="AsuntodelcomentarioCar">
    <w:name w:val="Asunto del comentario Car"/>
    <w:basedOn w:val="TextocomentarioCar"/>
    <w:link w:val="Asuntodelcomentario"/>
    <w:uiPriority w:val="99"/>
    <w:semiHidden/>
    <w:rsid w:val="00C01129"/>
    <w:rPr>
      <w:rFonts w:eastAsia="Times New Roman" w:cs="Times New Roman"/>
      <w:b/>
      <w:bCs/>
      <w:sz w:val="20"/>
      <w:szCs w:val="20"/>
      <w:lang w:eastAsia="es-PE"/>
    </w:rPr>
  </w:style>
  <w:style w:type="table" w:styleId="Tablaconcuadrcula">
    <w:name w:val="Table Grid"/>
    <w:basedOn w:val="Tablanormal"/>
    <w:uiPriority w:val="39"/>
    <w:rsid w:val="0094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wt-stl-prrafodelista">
    <w:name w:val="qowt-stl-prrafodelista"/>
    <w:basedOn w:val="Normal"/>
    <w:rsid w:val="0008736F"/>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Textoindependiente21">
    <w:name w:val="Texto independiente 21"/>
    <w:basedOn w:val="Normal"/>
    <w:rsid w:val="00C249BD"/>
    <w:pPr>
      <w:widowControl/>
      <w:suppressAutoHyphens/>
      <w:overflowPunct w:val="0"/>
      <w:autoSpaceDE w:val="0"/>
      <w:autoSpaceDN w:val="0"/>
      <w:spacing w:line="240" w:lineRule="auto"/>
    </w:pPr>
    <w:rPr>
      <w:rFonts w:ascii="Book Antiqua" w:hAnsi="Book Antiqua"/>
      <w:spacing w:val="-3"/>
      <w:lang w:val="es-ES_tradnl" w:eastAsia="es-ES"/>
    </w:rPr>
  </w:style>
  <w:style w:type="character" w:customStyle="1" w:styleId="Ttulo2Car">
    <w:name w:val="Título 2 Car"/>
    <w:basedOn w:val="Fuentedeprrafopredeter"/>
    <w:link w:val="Ttulo2"/>
    <w:uiPriority w:val="9"/>
    <w:semiHidden/>
    <w:rsid w:val="00B544B2"/>
    <w:rPr>
      <w:rFonts w:asciiTheme="majorHAnsi" w:eastAsiaTheme="majorEastAsia" w:hAnsiTheme="majorHAnsi" w:cstheme="majorBidi"/>
      <w:color w:val="2E74B5" w:themeColor="accent1" w:themeShade="BF"/>
      <w:sz w:val="26"/>
      <w:szCs w:val="26"/>
      <w:lang w:eastAsia="es-PE"/>
    </w:rPr>
  </w:style>
</w:styles>
</file>

<file path=word/webSettings.xml><?xml version="1.0" encoding="utf-8"?>
<w:webSettings xmlns:r="http://schemas.openxmlformats.org/officeDocument/2006/relationships" xmlns:w="http://schemas.openxmlformats.org/wordprocessingml/2006/main">
  <w:divs>
    <w:div w:id="62725711">
      <w:bodyDiv w:val="1"/>
      <w:marLeft w:val="0"/>
      <w:marRight w:val="0"/>
      <w:marTop w:val="0"/>
      <w:marBottom w:val="0"/>
      <w:divBdr>
        <w:top w:val="none" w:sz="0" w:space="0" w:color="auto"/>
        <w:left w:val="none" w:sz="0" w:space="0" w:color="auto"/>
        <w:bottom w:val="none" w:sz="0" w:space="0" w:color="auto"/>
        <w:right w:val="none" w:sz="0" w:space="0" w:color="auto"/>
      </w:divBdr>
    </w:div>
    <w:div w:id="658073635">
      <w:bodyDiv w:val="1"/>
      <w:marLeft w:val="0"/>
      <w:marRight w:val="0"/>
      <w:marTop w:val="0"/>
      <w:marBottom w:val="0"/>
      <w:divBdr>
        <w:top w:val="none" w:sz="0" w:space="0" w:color="auto"/>
        <w:left w:val="none" w:sz="0" w:space="0" w:color="auto"/>
        <w:bottom w:val="none" w:sz="0" w:space="0" w:color="auto"/>
        <w:right w:val="none" w:sz="0" w:space="0" w:color="auto"/>
      </w:divBdr>
    </w:div>
    <w:div w:id="695815373">
      <w:bodyDiv w:val="1"/>
      <w:marLeft w:val="0"/>
      <w:marRight w:val="0"/>
      <w:marTop w:val="0"/>
      <w:marBottom w:val="0"/>
      <w:divBdr>
        <w:top w:val="none" w:sz="0" w:space="0" w:color="auto"/>
        <w:left w:val="none" w:sz="0" w:space="0" w:color="auto"/>
        <w:bottom w:val="none" w:sz="0" w:space="0" w:color="auto"/>
        <w:right w:val="none" w:sz="0" w:space="0" w:color="auto"/>
      </w:divBdr>
    </w:div>
    <w:div w:id="914316283">
      <w:bodyDiv w:val="1"/>
      <w:marLeft w:val="0"/>
      <w:marRight w:val="0"/>
      <w:marTop w:val="0"/>
      <w:marBottom w:val="0"/>
      <w:divBdr>
        <w:top w:val="none" w:sz="0" w:space="0" w:color="auto"/>
        <w:left w:val="none" w:sz="0" w:space="0" w:color="auto"/>
        <w:bottom w:val="none" w:sz="0" w:space="0" w:color="auto"/>
        <w:right w:val="none" w:sz="0" w:space="0" w:color="auto"/>
      </w:divBdr>
    </w:div>
    <w:div w:id="977875733">
      <w:bodyDiv w:val="1"/>
      <w:marLeft w:val="0"/>
      <w:marRight w:val="0"/>
      <w:marTop w:val="0"/>
      <w:marBottom w:val="0"/>
      <w:divBdr>
        <w:top w:val="none" w:sz="0" w:space="0" w:color="auto"/>
        <w:left w:val="none" w:sz="0" w:space="0" w:color="auto"/>
        <w:bottom w:val="none" w:sz="0" w:space="0" w:color="auto"/>
        <w:right w:val="none" w:sz="0" w:space="0" w:color="auto"/>
      </w:divBdr>
    </w:div>
    <w:div w:id="1153109482">
      <w:bodyDiv w:val="1"/>
      <w:marLeft w:val="0"/>
      <w:marRight w:val="0"/>
      <w:marTop w:val="0"/>
      <w:marBottom w:val="0"/>
      <w:divBdr>
        <w:top w:val="none" w:sz="0" w:space="0" w:color="auto"/>
        <w:left w:val="none" w:sz="0" w:space="0" w:color="auto"/>
        <w:bottom w:val="none" w:sz="0" w:space="0" w:color="auto"/>
        <w:right w:val="none" w:sz="0" w:space="0" w:color="auto"/>
      </w:divBdr>
      <w:divsChild>
        <w:div w:id="314846206">
          <w:marLeft w:val="0"/>
          <w:marRight w:val="0"/>
          <w:marTop w:val="0"/>
          <w:marBottom w:val="0"/>
          <w:divBdr>
            <w:top w:val="none" w:sz="0" w:space="0" w:color="auto"/>
            <w:left w:val="none" w:sz="0" w:space="0" w:color="auto"/>
            <w:bottom w:val="none" w:sz="0" w:space="0" w:color="auto"/>
            <w:right w:val="none" w:sz="0" w:space="0" w:color="auto"/>
          </w:divBdr>
          <w:divsChild>
            <w:div w:id="2002387245">
              <w:marLeft w:val="0"/>
              <w:marRight w:val="0"/>
              <w:marTop w:val="0"/>
              <w:marBottom w:val="0"/>
              <w:divBdr>
                <w:top w:val="none" w:sz="0" w:space="0" w:color="auto"/>
                <w:left w:val="none" w:sz="0" w:space="0" w:color="auto"/>
                <w:bottom w:val="none" w:sz="0" w:space="0" w:color="auto"/>
                <w:right w:val="none" w:sz="0" w:space="0" w:color="auto"/>
              </w:divBdr>
            </w:div>
          </w:divsChild>
        </w:div>
        <w:div w:id="356929679">
          <w:marLeft w:val="0"/>
          <w:marRight w:val="0"/>
          <w:marTop w:val="0"/>
          <w:marBottom w:val="0"/>
          <w:divBdr>
            <w:top w:val="none" w:sz="0" w:space="0" w:color="auto"/>
            <w:left w:val="none" w:sz="0" w:space="0" w:color="auto"/>
            <w:bottom w:val="none" w:sz="0" w:space="0" w:color="auto"/>
            <w:right w:val="none" w:sz="0" w:space="0" w:color="auto"/>
          </w:divBdr>
          <w:divsChild>
            <w:div w:id="845443421">
              <w:marLeft w:val="0"/>
              <w:marRight w:val="0"/>
              <w:marTop w:val="0"/>
              <w:marBottom w:val="0"/>
              <w:divBdr>
                <w:top w:val="none" w:sz="0" w:space="0" w:color="auto"/>
                <w:left w:val="none" w:sz="0" w:space="0" w:color="auto"/>
                <w:bottom w:val="none" w:sz="0" w:space="0" w:color="auto"/>
                <w:right w:val="none" w:sz="0" w:space="0" w:color="auto"/>
              </w:divBdr>
            </w:div>
          </w:divsChild>
        </w:div>
        <w:div w:id="710962193">
          <w:marLeft w:val="0"/>
          <w:marRight w:val="0"/>
          <w:marTop w:val="0"/>
          <w:marBottom w:val="0"/>
          <w:divBdr>
            <w:top w:val="none" w:sz="0" w:space="0" w:color="auto"/>
            <w:left w:val="none" w:sz="0" w:space="0" w:color="auto"/>
            <w:bottom w:val="none" w:sz="0" w:space="0" w:color="auto"/>
            <w:right w:val="none" w:sz="0" w:space="0" w:color="auto"/>
          </w:divBdr>
        </w:div>
      </w:divsChild>
    </w:div>
    <w:div w:id="1177966592">
      <w:bodyDiv w:val="1"/>
      <w:marLeft w:val="0"/>
      <w:marRight w:val="0"/>
      <w:marTop w:val="0"/>
      <w:marBottom w:val="0"/>
      <w:divBdr>
        <w:top w:val="none" w:sz="0" w:space="0" w:color="auto"/>
        <w:left w:val="none" w:sz="0" w:space="0" w:color="auto"/>
        <w:bottom w:val="none" w:sz="0" w:space="0" w:color="auto"/>
        <w:right w:val="none" w:sz="0" w:space="0" w:color="auto"/>
      </w:divBdr>
    </w:div>
    <w:div w:id="1362122631">
      <w:bodyDiv w:val="1"/>
      <w:marLeft w:val="0"/>
      <w:marRight w:val="0"/>
      <w:marTop w:val="0"/>
      <w:marBottom w:val="0"/>
      <w:divBdr>
        <w:top w:val="none" w:sz="0" w:space="0" w:color="auto"/>
        <w:left w:val="none" w:sz="0" w:space="0" w:color="auto"/>
        <w:bottom w:val="none" w:sz="0" w:space="0" w:color="auto"/>
        <w:right w:val="none" w:sz="0" w:space="0" w:color="auto"/>
      </w:divBdr>
    </w:div>
    <w:div w:id="1367682542">
      <w:bodyDiv w:val="1"/>
      <w:marLeft w:val="0"/>
      <w:marRight w:val="0"/>
      <w:marTop w:val="0"/>
      <w:marBottom w:val="0"/>
      <w:divBdr>
        <w:top w:val="none" w:sz="0" w:space="0" w:color="auto"/>
        <w:left w:val="none" w:sz="0" w:space="0" w:color="auto"/>
        <w:bottom w:val="none" w:sz="0" w:space="0" w:color="auto"/>
        <w:right w:val="none" w:sz="0" w:space="0" w:color="auto"/>
      </w:divBdr>
      <w:divsChild>
        <w:div w:id="955795917">
          <w:marLeft w:val="0"/>
          <w:marRight w:val="0"/>
          <w:marTop w:val="0"/>
          <w:marBottom w:val="0"/>
          <w:divBdr>
            <w:top w:val="none" w:sz="0" w:space="0" w:color="auto"/>
            <w:left w:val="none" w:sz="0" w:space="0" w:color="auto"/>
            <w:bottom w:val="none" w:sz="0" w:space="0" w:color="auto"/>
            <w:right w:val="none" w:sz="0" w:space="0" w:color="auto"/>
          </w:divBdr>
        </w:div>
        <w:div w:id="1308051112">
          <w:marLeft w:val="0"/>
          <w:marRight w:val="0"/>
          <w:marTop w:val="0"/>
          <w:marBottom w:val="0"/>
          <w:divBdr>
            <w:top w:val="none" w:sz="0" w:space="0" w:color="auto"/>
            <w:left w:val="none" w:sz="0" w:space="0" w:color="auto"/>
            <w:bottom w:val="none" w:sz="0" w:space="0" w:color="auto"/>
            <w:right w:val="none" w:sz="0" w:space="0" w:color="auto"/>
          </w:divBdr>
          <w:divsChild>
            <w:div w:id="1997881324">
              <w:marLeft w:val="0"/>
              <w:marRight w:val="0"/>
              <w:marTop w:val="0"/>
              <w:marBottom w:val="0"/>
              <w:divBdr>
                <w:top w:val="none" w:sz="0" w:space="0" w:color="auto"/>
                <w:left w:val="none" w:sz="0" w:space="0" w:color="auto"/>
                <w:bottom w:val="none" w:sz="0" w:space="0" w:color="auto"/>
                <w:right w:val="none" w:sz="0" w:space="0" w:color="auto"/>
              </w:divBdr>
            </w:div>
          </w:divsChild>
        </w:div>
        <w:div w:id="1539471744">
          <w:marLeft w:val="0"/>
          <w:marRight w:val="0"/>
          <w:marTop w:val="0"/>
          <w:marBottom w:val="0"/>
          <w:divBdr>
            <w:top w:val="none" w:sz="0" w:space="0" w:color="auto"/>
            <w:left w:val="none" w:sz="0" w:space="0" w:color="auto"/>
            <w:bottom w:val="none" w:sz="0" w:space="0" w:color="auto"/>
            <w:right w:val="none" w:sz="0" w:space="0" w:color="auto"/>
          </w:divBdr>
          <w:divsChild>
            <w:div w:id="1384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4595">
      <w:bodyDiv w:val="1"/>
      <w:marLeft w:val="0"/>
      <w:marRight w:val="0"/>
      <w:marTop w:val="0"/>
      <w:marBottom w:val="0"/>
      <w:divBdr>
        <w:top w:val="none" w:sz="0" w:space="0" w:color="auto"/>
        <w:left w:val="none" w:sz="0" w:space="0" w:color="auto"/>
        <w:bottom w:val="none" w:sz="0" w:space="0" w:color="auto"/>
        <w:right w:val="none" w:sz="0" w:space="0" w:color="auto"/>
      </w:divBdr>
    </w:div>
    <w:div w:id="1484809567">
      <w:bodyDiv w:val="1"/>
      <w:marLeft w:val="0"/>
      <w:marRight w:val="0"/>
      <w:marTop w:val="0"/>
      <w:marBottom w:val="0"/>
      <w:divBdr>
        <w:top w:val="none" w:sz="0" w:space="0" w:color="auto"/>
        <w:left w:val="none" w:sz="0" w:space="0" w:color="auto"/>
        <w:bottom w:val="none" w:sz="0" w:space="0" w:color="auto"/>
        <w:right w:val="none" w:sz="0" w:space="0" w:color="auto"/>
      </w:divBdr>
    </w:div>
    <w:div w:id="17166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1AFD2-5EBD-4939-933C-1E17A78F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11449</Words>
  <Characters>62974</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Jurídico</dc:creator>
  <cp:lastModifiedBy>jalcantara</cp:lastModifiedBy>
  <cp:revision>51</cp:revision>
  <cp:lastPrinted>2018-08-03T17:02:00Z</cp:lastPrinted>
  <dcterms:created xsi:type="dcterms:W3CDTF">2018-12-20T13:29:00Z</dcterms:created>
  <dcterms:modified xsi:type="dcterms:W3CDTF">2018-12-20T22:57:00Z</dcterms:modified>
</cp:coreProperties>
</file>