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5C6" w:rsidRDefault="003014CC" w:rsidP="001E05C6">
      <w:pPr>
        <w:widowControl/>
        <w:spacing w:line="240" w:lineRule="auto"/>
        <w:jc w:val="center"/>
        <w:rPr>
          <w:rFonts w:cs="Arial"/>
          <w:sz w:val="22"/>
          <w:szCs w:val="22"/>
        </w:rPr>
      </w:pPr>
      <w:r w:rsidRPr="003014CC">
        <w:rPr>
          <w:rFonts w:cs="Arial"/>
          <w:sz w:val="22"/>
          <w:szCs w:val="22"/>
        </w:rPr>
        <w:drawing>
          <wp:anchor distT="0" distB="0" distL="114300" distR="114300" simplePos="0" relativeHeight="251659264" behindDoc="1" locked="0" layoutInCell="1" allowOverlap="1">
            <wp:simplePos x="0" y="0"/>
            <wp:positionH relativeFrom="column">
              <wp:posOffset>24765</wp:posOffset>
            </wp:positionH>
            <wp:positionV relativeFrom="paragraph">
              <wp:posOffset>-5080</wp:posOffset>
            </wp:positionV>
            <wp:extent cx="1903730" cy="485775"/>
            <wp:effectExtent l="19050" t="0" r="1270" b="0"/>
            <wp:wrapTight wrapText="bothSides">
              <wp:wrapPolygon edited="0">
                <wp:start x="-216" y="0"/>
                <wp:lineTo x="-216" y="21176"/>
                <wp:lineTo x="21614" y="21176"/>
                <wp:lineTo x="21614" y="0"/>
                <wp:lineTo x="-216" y="0"/>
              </wp:wrapPolygon>
            </wp:wrapTight>
            <wp:docPr id="1" name="Imagen 1" descr="LOGO_SGC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SGCAN (1)"/>
                    <pic:cNvPicPr>
                      <a:picLocks noChangeAspect="1" noChangeArrowheads="1"/>
                    </pic:cNvPicPr>
                  </pic:nvPicPr>
                  <pic:blipFill>
                    <a:blip r:embed="rId8" cstate="print"/>
                    <a:srcRect/>
                    <a:stretch>
                      <a:fillRect/>
                    </a:stretch>
                  </pic:blipFill>
                  <pic:spPr bwMode="auto">
                    <a:xfrm>
                      <a:off x="0" y="0"/>
                      <a:ext cx="1903730" cy="485775"/>
                    </a:xfrm>
                    <a:prstGeom prst="rect">
                      <a:avLst/>
                    </a:prstGeom>
                    <a:noFill/>
                  </pic:spPr>
                </pic:pic>
              </a:graphicData>
            </a:graphic>
          </wp:anchor>
        </w:drawing>
      </w:r>
    </w:p>
    <w:p w:rsidR="001E05C6" w:rsidRDefault="001E05C6" w:rsidP="001E05C6">
      <w:pPr>
        <w:widowControl/>
        <w:spacing w:line="240" w:lineRule="auto"/>
        <w:jc w:val="center"/>
        <w:rPr>
          <w:rFonts w:cs="Arial"/>
          <w:sz w:val="22"/>
          <w:szCs w:val="22"/>
        </w:rPr>
      </w:pPr>
    </w:p>
    <w:p w:rsidR="001E05C6" w:rsidRDefault="001E05C6" w:rsidP="001E05C6">
      <w:pPr>
        <w:widowControl/>
        <w:spacing w:line="240" w:lineRule="auto"/>
        <w:jc w:val="center"/>
        <w:rPr>
          <w:rFonts w:cs="Arial"/>
          <w:sz w:val="22"/>
          <w:szCs w:val="22"/>
        </w:rPr>
      </w:pPr>
    </w:p>
    <w:p w:rsidR="001E05C6" w:rsidRDefault="001E05C6" w:rsidP="001E05C6">
      <w:pPr>
        <w:widowControl/>
        <w:spacing w:line="240" w:lineRule="auto"/>
        <w:jc w:val="center"/>
        <w:rPr>
          <w:rFonts w:cs="Arial"/>
          <w:sz w:val="22"/>
          <w:szCs w:val="22"/>
        </w:rPr>
      </w:pPr>
    </w:p>
    <w:p w:rsidR="001E05C6" w:rsidRDefault="001E05C6" w:rsidP="001E05C6">
      <w:pPr>
        <w:widowControl/>
        <w:spacing w:line="240" w:lineRule="auto"/>
        <w:jc w:val="center"/>
        <w:rPr>
          <w:rFonts w:cs="Arial"/>
          <w:sz w:val="22"/>
          <w:szCs w:val="22"/>
        </w:rPr>
      </w:pPr>
    </w:p>
    <w:p w:rsidR="001E05C6" w:rsidRPr="001E05C6" w:rsidRDefault="001E05C6" w:rsidP="001E05C6">
      <w:pPr>
        <w:widowControl/>
        <w:spacing w:line="240" w:lineRule="auto"/>
        <w:jc w:val="center"/>
        <w:rPr>
          <w:rFonts w:cs="Arial"/>
          <w:sz w:val="22"/>
          <w:szCs w:val="22"/>
        </w:rPr>
      </w:pPr>
    </w:p>
    <w:p w:rsidR="00971FEA" w:rsidRPr="001E05C6" w:rsidRDefault="00026C1B" w:rsidP="001E05C6">
      <w:pPr>
        <w:widowControl/>
        <w:spacing w:line="240" w:lineRule="auto"/>
        <w:jc w:val="center"/>
        <w:rPr>
          <w:rFonts w:cs="Arial"/>
          <w:b/>
          <w:sz w:val="22"/>
          <w:szCs w:val="22"/>
          <w:u w:val="single"/>
        </w:rPr>
      </w:pPr>
      <w:r w:rsidRPr="001E05C6">
        <w:rPr>
          <w:rFonts w:cs="Arial"/>
          <w:b/>
          <w:sz w:val="22"/>
          <w:szCs w:val="22"/>
          <w:u w:val="single"/>
        </w:rPr>
        <w:t>DICTAMEN N</w:t>
      </w:r>
      <w:r w:rsidR="001E05C6">
        <w:rPr>
          <w:rFonts w:cs="Arial"/>
          <w:b/>
          <w:sz w:val="22"/>
          <w:szCs w:val="22"/>
          <w:u w:val="single"/>
        </w:rPr>
        <w:t>° 001-2018</w:t>
      </w:r>
    </w:p>
    <w:p w:rsidR="00BF5F71" w:rsidRPr="001E05C6" w:rsidRDefault="00BF5F71" w:rsidP="001E05C6">
      <w:pPr>
        <w:widowControl/>
        <w:spacing w:line="240" w:lineRule="auto"/>
        <w:rPr>
          <w:rFonts w:cs="Arial"/>
          <w:b/>
          <w:sz w:val="22"/>
          <w:szCs w:val="22"/>
        </w:rPr>
      </w:pPr>
    </w:p>
    <w:p w:rsidR="00971FEA" w:rsidRPr="001E05C6" w:rsidRDefault="001E05C6" w:rsidP="001E05C6">
      <w:pPr>
        <w:widowControl/>
        <w:spacing w:line="240" w:lineRule="auto"/>
        <w:jc w:val="center"/>
        <w:rPr>
          <w:rFonts w:cs="Arial"/>
          <w:b/>
          <w:sz w:val="22"/>
          <w:szCs w:val="22"/>
        </w:rPr>
      </w:pPr>
      <w:r>
        <w:rPr>
          <w:rFonts w:cs="Arial"/>
          <w:b/>
          <w:sz w:val="22"/>
          <w:szCs w:val="22"/>
        </w:rPr>
        <w:t>DE LA SECRETARÍ</w:t>
      </w:r>
      <w:r w:rsidR="00971FEA" w:rsidRPr="001E05C6">
        <w:rPr>
          <w:rFonts w:cs="Arial"/>
          <w:b/>
          <w:sz w:val="22"/>
          <w:szCs w:val="22"/>
        </w:rPr>
        <w:t>A GENERAL DE LA COMUNIDAD ANDINA</w:t>
      </w:r>
    </w:p>
    <w:p w:rsidR="00971FEA" w:rsidRPr="001E05C6" w:rsidRDefault="00971FEA" w:rsidP="001E05C6">
      <w:pPr>
        <w:spacing w:line="240" w:lineRule="auto"/>
        <w:jc w:val="center"/>
        <w:rPr>
          <w:rFonts w:cs="Arial"/>
          <w:sz w:val="22"/>
          <w:szCs w:val="22"/>
        </w:rPr>
      </w:pPr>
    </w:p>
    <w:p w:rsidR="00734F88" w:rsidRPr="001E05C6" w:rsidRDefault="00734F88" w:rsidP="001E05C6">
      <w:pPr>
        <w:spacing w:line="240" w:lineRule="auto"/>
        <w:rPr>
          <w:rFonts w:cs="Arial"/>
          <w:sz w:val="22"/>
          <w:szCs w:val="22"/>
        </w:rPr>
      </w:pPr>
      <w:r w:rsidRPr="001E05C6">
        <w:rPr>
          <w:rFonts w:cs="Arial"/>
          <w:sz w:val="22"/>
          <w:szCs w:val="22"/>
        </w:rPr>
        <w:t xml:space="preserve">Reclamo interpuesto por TELEFÓNICA DEL PERÚ S.A.A contra la República de Perú – Tercera Sala de Derecho Constitucional y Social Transitoria de la Corte Suprema de Justicia de la República, por presunto incumplimiento de los artículos 4, 33, 35 y 36 del Tratado de Creación del Tribunal de Justicia de la Comunidad Andina; y los artículos 123, 127 y 128 de la Decisión 500, con motivo de la expedición de la </w:t>
      </w:r>
      <w:r w:rsidR="00AA3089" w:rsidRPr="001E05C6">
        <w:rPr>
          <w:rFonts w:cs="Arial"/>
          <w:sz w:val="22"/>
          <w:szCs w:val="22"/>
        </w:rPr>
        <w:t>S</w:t>
      </w:r>
      <w:r w:rsidRPr="001E05C6">
        <w:rPr>
          <w:rFonts w:cs="Arial"/>
          <w:sz w:val="22"/>
          <w:szCs w:val="22"/>
        </w:rPr>
        <w:t xml:space="preserve">entencia de </w:t>
      </w:r>
      <w:r w:rsidR="00AA3089" w:rsidRPr="001E05C6">
        <w:rPr>
          <w:rFonts w:cs="Arial"/>
          <w:sz w:val="22"/>
          <w:szCs w:val="22"/>
        </w:rPr>
        <w:t>C</w:t>
      </w:r>
      <w:r w:rsidRPr="001E05C6">
        <w:rPr>
          <w:rFonts w:cs="Arial"/>
          <w:sz w:val="22"/>
          <w:szCs w:val="22"/>
        </w:rPr>
        <w:t>asación No. 474-2016</w:t>
      </w:r>
      <w:r w:rsidR="003608C9" w:rsidRPr="001E05C6">
        <w:rPr>
          <w:rFonts w:cs="Arial"/>
          <w:sz w:val="22"/>
          <w:szCs w:val="22"/>
        </w:rPr>
        <w:t>.</w:t>
      </w:r>
    </w:p>
    <w:p w:rsidR="00865C09" w:rsidRPr="001E05C6" w:rsidRDefault="00865C09" w:rsidP="001E05C6">
      <w:pPr>
        <w:widowControl/>
        <w:spacing w:line="240" w:lineRule="auto"/>
        <w:jc w:val="right"/>
        <w:rPr>
          <w:rFonts w:cs="Arial"/>
          <w:sz w:val="22"/>
          <w:szCs w:val="22"/>
        </w:rPr>
      </w:pPr>
    </w:p>
    <w:p w:rsidR="00971FEA" w:rsidRPr="001E05C6" w:rsidRDefault="00971FEA" w:rsidP="001E05C6">
      <w:pPr>
        <w:widowControl/>
        <w:spacing w:line="240" w:lineRule="auto"/>
        <w:jc w:val="right"/>
        <w:rPr>
          <w:rFonts w:cs="Arial"/>
          <w:sz w:val="22"/>
          <w:szCs w:val="22"/>
        </w:rPr>
      </w:pPr>
      <w:r w:rsidRPr="001E05C6">
        <w:rPr>
          <w:rFonts w:cs="Arial"/>
          <w:sz w:val="22"/>
          <w:szCs w:val="22"/>
        </w:rPr>
        <w:t>Lima,</w:t>
      </w:r>
      <w:r w:rsidR="001E05C6">
        <w:rPr>
          <w:rFonts w:cs="Arial"/>
          <w:sz w:val="22"/>
          <w:szCs w:val="22"/>
        </w:rPr>
        <w:t xml:space="preserve"> 09 </w:t>
      </w:r>
      <w:r w:rsidRPr="001E05C6">
        <w:rPr>
          <w:rFonts w:cs="Arial"/>
          <w:sz w:val="22"/>
          <w:szCs w:val="22"/>
        </w:rPr>
        <w:t>de agosto de 2018</w:t>
      </w:r>
    </w:p>
    <w:p w:rsidR="001E05C6" w:rsidRPr="001E05C6" w:rsidRDefault="001E05C6" w:rsidP="001E05C6">
      <w:pPr>
        <w:pStyle w:val="Prrafodelista"/>
        <w:widowControl/>
        <w:adjustRightInd/>
        <w:spacing w:line="240" w:lineRule="auto"/>
        <w:ind w:left="0"/>
        <w:contextualSpacing w:val="0"/>
        <w:textAlignment w:val="auto"/>
        <w:rPr>
          <w:rFonts w:cs="Arial"/>
          <w:sz w:val="22"/>
          <w:szCs w:val="22"/>
        </w:rPr>
      </w:pPr>
    </w:p>
    <w:p w:rsidR="00971FEA" w:rsidRPr="001E05C6" w:rsidRDefault="003A4773" w:rsidP="001E05C6">
      <w:pPr>
        <w:pStyle w:val="Prrafodelista"/>
        <w:widowControl/>
        <w:adjustRightInd/>
        <w:spacing w:line="240" w:lineRule="auto"/>
        <w:ind w:left="0" w:hanging="426"/>
        <w:contextualSpacing w:val="0"/>
        <w:textAlignment w:val="auto"/>
        <w:rPr>
          <w:rFonts w:cs="Arial"/>
          <w:b/>
          <w:sz w:val="22"/>
          <w:szCs w:val="22"/>
        </w:rPr>
      </w:pPr>
      <w:r w:rsidRPr="001E05C6">
        <w:rPr>
          <w:rFonts w:cs="Arial"/>
          <w:b/>
          <w:sz w:val="22"/>
          <w:szCs w:val="22"/>
        </w:rPr>
        <w:t xml:space="preserve">I. </w:t>
      </w:r>
      <w:r w:rsidRPr="001E05C6">
        <w:rPr>
          <w:rFonts w:cs="Arial"/>
          <w:b/>
          <w:sz w:val="22"/>
          <w:szCs w:val="22"/>
        </w:rPr>
        <w:tab/>
      </w:r>
      <w:r w:rsidR="00971FEA" w:rsidRPr="001E05C6">
        <w:rPr>
          <w:rFonts w:cs="Arial"/>
          <w:b/>
          <w:sz w:val="22"/>
          <w:szCs w:val="22"/>
        </w:rPr>
        <w:t>SUMILLA.-</w:t>
      </w:r>
    </w:p>
    <w:p w:rsidR="00971FEA" w:rsidRPr="001E05C6" w:rsidRDefault="00971FEA" w:rsidP="001E05C6">
      <w:pPr>
        <w:pStyle w:val="Prrafodelista"/>
        <w:spacing w:line="240" w:lineRule="auto"/>
        <w:ind w:left="1080"/>
        <w:contextualSpacing w:val="0"/>
        <w:rPr>
          <w:rFonts w:cs="Arial"/>
          <w:b/>
          <w:sz w:val="22"/>
          <w:szCs w:val="22"/>
        </w:rPr>
      </w:pPr>
    </w:p>
    <w:p w:rsidR="00AA3089" w:rsidRPr="001E05C6" w:rsidRDefault="00056A52"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La empresa</w:t>
      </w:r>
      <w:r w:rsidR="00971FEA" w:rsidRPr="001E05C6">
        <w:rPr>
          <w:rFonts w:cs="Arial"/>
          <w:sz w:val="22"/>
          <w:szCs w:val="22"/>
        </w:rPr>
        <w:t xml:space="preserve"> TELEFÓNICA DEL PERÚ S.A.A </w:t>
      </w:r>
      <w:r w:rsidRPr="001E05C6">
        <w:rPr>
          <w:rFonts w:cs="Arial"/>
          <w:sz w:val="22"/>
          <w:szCs w:val="22"/>
        </w:rPr>
        <w:t xml:space="preserve">(en adelante, “la reclamante”) presenta ante la Secretaría General de la Comunidad Andina (en adelante, “SGCAN”) reclamo </w:t>
      </w:r>
      <w:r w:rsidR="00971FEA" w:rsidRPr="001E05C6">
        <w:rPr>
          <w:rFonts w:cs="Arial"/>
          <w:sz w:val="22"/>
          <w:szCs w:val="22"/>
        </w:rPr>
        <w:t>contra la República de Perú</w:t>
      </w:r>
      <w:r w:rsidRPr="001E05C6">
        <w:rPr>
          <w:rFonts w:cs="Arial"/>
          <w:sz w:val="22"/>
          <w:szCs w:val="22"/>
        </w:rPr>
        <w:t xml:space="preserve"> (en adelante, “la reclamada”)</w:t>
      </w:r>
      <w:r w:rsidR="00971FEA" w:rsidRPr="001E05C6">
        <w:rPr>
          <w:rFonts w:cs="Arial"/>
          <w:sz w:val="22"/>
          <w:szCs w:val="22"/>
        </w:rPr>
        <w:t xml:space="preserve"> por presunto incumplimiento de los artículos 4, 33, 35 y 36 del Tratado de Creación del Tribunal de Justicia de la Comunidad Andina</w:t>
      </w:r>
      <w:r w:rsidR="00065CD7" w:rsidRPr="001E05C6">
        <w:rPr>
          <w:rFonts w:cs="Arial"/>
          <w:sz w:val="22"/>
          <w:szCs w:val="22"/>
        </w:rPr>
        <w:t xml:space="preserve"> (en adelante, “TCTJCA”)</w:t>
      </w:r>
      <w:r w:rsidR="00971FEA" w:rsidRPr="001E05C6">
        <w:rPr>
          <w:rFonts w:cs="Arial"/>
          <w:sz w:val="22"/>
          <w:szCs w:val="22"/>
        </w:rPr>
        <w:t xml:space="preserve"> y los artículos 123, 127 y 128 de la Decisión 500,</w:t>
      </w:r>
      <w:r w:rsidRPr="001E05C6">
        <w:rPr>
          <w:rFonts w:cs="Arial"/>
          <w:sz w:val="22"/>
          <w:szCs w:val="22"/>
        </w:rPr>
        <w:t xml:space="preserve"> </w:t>
      </w:r>
      <w:r w:rsidR="00971FEA" w:rsidRPr="001E05C6">
        <w:rPr>
          <w:rFonts w:cs="Arial"/>
          <w:sz w:val="22"/>
          <w:szCs w:val="22"/>
        </w:rPr>
        <w:t xml:space="preserve">con motivo de la </w:t>
      </w:r>
      <w:r w:rsidR="00640ECD" w:rsidRPr="001E05C6">
        <w:rPr>
          <w:rFonts w:cs="Arial"/>
          <w:sz w:val="22"/>
          <w:szCs w:val="22"/>
        </w:rPr>
        <w:t xml:space="preserve">expedición de la </w:t>
      </w:r>
      <w:r w:rsidR="00AA3089" w:rsidRPr="001E05C6">
        <w:rPr>
          <w:rFonts w:cs="Arial"/>
          <w:sz w:val="22"/>
          <w:szCs w:val="22"/>
        </w:rPr>
        <w:t>Sentencia de C</w:t>
      </w:r>
      <w:r w:rsidR="00971FEA" w:rsidRPr="001E05C6">
        <w:rPr>
          <w:rFonts w:cs="Arial"/>
          <w:sz w:val="22"/>
          <w:szCs w:val="22"/>
        </w:rPr>
        <w:t>asación No. 474-2016 de la Tercera Sala de Derecho Constitucional y Social Transitoria de la Corte Suprema</w:t>
      </w:r>
      <w:r w:rsidR="001B24B4" w:rsidRPr="001E05C6">
        <w:rPr>
          <w:rFonts w:cs="Arial"/>
          <w:sz w:val="22"/>
          <w:szCs w:val="22"/>
        </w:rPr>
        <w:t>.</w:t>
      </w:r>
    </w:p>
    <w:p w:rsidR="00AA3089" w:rsidRPr="001E05C6" w:rsidRDefault="00AA3089" w:rsidP="001E05C6">
      <w:pPr>
        <w:widowControl/>
        <w:adjustRightInd/>
        <w:spacing w:line="240" w:lineRule="auto"/>
        <w:textAlignment w:val="auto"/>
        <w:rPr>
          <w:rFonts w:cs="Arial"/>
          <w:sz w:val="22"/>
          <w:szCs w:val="22"/>
        </w:rPr>
      </w:pPr>
    </w:p>
    <w:p w:rsidR="0013550A" w:rsidRPr="001E05C6" w:rsidRDefault="00971FE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shd w:val="clear" w:color="auto" w:fill="FFFFFF"/>
        </w:rPr>
        <w:t xml:space="preserve">El presente Dictamen se emite en el marco de lo dispuesto en el artículo 25 del Tratado de Creación del Tribunal de Justicia de la Comunidad Andina y conforme a la estructura señalada en el artículo 21 de </w:t>
      </w:r>
      <w:r w:rsidRPr="001E05C6">
        <w:rPr>
          <w:rFonts w:cs="Arial"/>
          <w:sz w:val="22"/>
          <w:szCs w:val="22"/>
        </w:rPr>
        <w:t>la Decisión 623.</w:t>
      </w:r>
    </w:p>
    <w:p w:rsidR="005D5557" w:rsidRDefault="005D5557" w:rsidP="001E05C6">
      <w:pPr>
        <w:pStyle w:val="Prrafodelista"/>
        <w:spacing w:line="240" w:lineRule="auto"/>
        <w:contextualSpacing w:val="0"/>
        <w:rPr>
          <w:rFonts w:cs="Arial"/>
          <w:b/>
          <w:sz w:val="22"/>
          <w:szCs w:val="22"/>
        </w:rPr>
      </w:pPr>
    </w:p>
    <w:p w:rsidR="000725EA" w:rsidRPr="001E05C6" w:rsidRDefault="000725EA" w:rsidP="001E05C6">
      <w:pPr>
        <w:pStyle w:val="Prrafodelista"/>
        <w:spacing w:line="240" w:lineRule="auto"/>
        <w:contextualSpacing w:val="0"/>
        <w:rPr>
          <w:rFonts w:cs="Arial"/>
          <w:b/>
          <w:sz w:val="22"/>
          <w:szCs w:val="22"/>
        </w:rPr>
      </w:pPr>
    </w:p>
    <w:p w:rsidR="00971FEA" w:rsidRPr="001E05C6" w:rsidRDefault="0013550A" w:rsidP="001E05C6">
      <w:pPr>
        <w:pStyle w:val="Prrafodelista"/>
        <w:widowControl/>
        <w:adjustRightInd/>
        <w:spacing w:line="240" w:lineRule="auto"/>
        <w:ind w:left="-12" w:hanging="414"/>
        <w:contextualSpacing w:val="0"/>
        <w:textAlignment w:val="auto"/>
        <w:rPr>
          <w:rFonts w:cs="Arial"/>
          <w:sz w:val="22"/>
          <w:szCs w:val="22"/>
        </w:rPr>
      </w:pPr>
      <w:r w:rsidRPr="001E05C6">
        <w:rPr>
          <w:rFonts w:cs="Arial"/>
          <w:b/>
          <w:sz w:val="22"/>
          <w:szCs w:val="22"/>
        </w:rPr>
        <w:t xml:space="preserve">II. </w:t>
      </w:r>
      <w:r w:rsidRPr="001E05C6">
        <w:rPr>
          <w:rFonts w:cs="Arial"/>
          <w:b/>
          <w:sz w:val="22"/>
          <w:szCs w:val="22"/>
        </w:rPr>
        <w:tab/>
      </w:r>
      <w:r w:rsidR="00971FEA" w:rsidRPr="001E05C6">
        <w:rPr>
          <w:rFonts w:cs="Arial"/>
          <w:b/>
          <w:sz w:val="22"/>
          <w:szCs w:val="22"/>
        </w:rPr>
        <w:t>RELACIÓN DE LAS ACTUACIONES DEL PROCEDIMIENTO (ANTECEDENTES).-</w:t>
      </w:r>
    </w:p>
    <w:p w:rsidR="00971FEA" w:rsidRPr="001E05C6" w:rsidRDefault="00971FEA" w:rsidP="001E05C6">
      <w:pPr>
        <w:widowControl/>
        <w:spacing w:line="240" w:lineRule="auto"/>
        <w:rPr>
          <w:rFonts w:cs="Arial"/>
          <w:b/>
          <w:sz w:val="22"/>
          <w:szCs w:val="22"/>
        </w:rPr>
      </w:pPr>
    </w:p>
    <w:p w:rsidR="00A874F6" w:rsidRPr="001E05C6" w:rsidRDefault="00971FE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Con fecha </w:t>
      </w:r>
      <w:r w:rsidR="001A06BA" w:rsidRPr="001E05C6">
        <w:rPr>
          <w:rFonts w:cs="Arial"/>
          <w:sz w:val="22"/>
          <w:szCs w:val="22"/>
        </w:rPr>
        <w:t>4 de mayo</w:t>
      </w:r>
      <w:r w:rsidRPr="001E05C6">
        <w:rPr>
          <w:rFonts w:cs="Arial"/>
          <w:sz w:val="22"/>
          <w:szCs w:val="22"/>
        </w:rPr>
        <w:t xml:space="preserve"> de 201</w:t>
      </w:r>
      <w:r w:rsidR="00C06BD1" w:rsidRPr="001E05C6">
        <w:rPr>
          <w:rFonts w:cs="Arial"/>
          <w:sz w:val="22"/>
          <w:szCs w:val="22"/>
        </w:rPr>
        <w:t>8</w:t>
      </w:r>
      <w:r w:rsidRPr="001E05C6">
        <w:rPr>
          <w:rFonts w:cs="Arial"/>
          <w:sz w:val="22"/>
          <w:szCs w:val="22"/>
        </w:rPr>
        <w:t xml:space="preserve"> se recibió</w:t>
      </w:r>
      <w:r w:rsidR="00370EE1" w:rsidRPr="001E05C6">
        <w:rPr>
          <w:rFonts w:cs="Arial"/>
          <w:sz w:val="22"/>
          <w:szCs w:val="22"/>
        </w:rPr>
        <w:t>,</w:t>
      </w:r>
      <w:r w:rsidRPr="001E05C6">
        <w:rPr>
          <w:rFonts w:cs="Arial"/>
          <w:sz w:val="22"/>
          <w:szCs w:val="22"/>
        </w:rPr>
        <w:t xml:space="preserve"> vía electrónica</w:t>
      </w:r>
      <w:r w:rsidR="00370EE1" w:rsidRPr="001E05C6">
        <w:rPr>
          <w:rFonts w:cs="Arial"/>
          <w:sz w:val="22"/>
          <w:szCs w:val="22"/>
        </w:rPr>
        <w:t>,</w:t>
      </w:r>
      <w:r w:rsidRPr="001E05C6">
        <w:rPr>
          <w:rFonts w:cs="Arial"/>
          <w:sz w:val="22"/>
          <w:szCs w:val="22"/>
        </w:rPr>
        <w:t xml:space="preserve"> por parte de la empresa </w:t>
      </w:r>
      <w:r w:rsidR="001A06BA" w:rsidRPr="001E05C6">
        <w:rPr>
          <w:rFonts w:cs="Arial"/>
          <w:bCs/>
          <w:sz w:val="22"/>
          <w:szCs w:val="22"/>
        </w:rPr>
        <w:t>Telefónica del Perú S.A.A.</w:t>
      </w:r>
      <w:r w:rsidRPr="001E05C6">
        <w:rPr>
          <w:rFonts w:cs="Arial"/>
          <w:sz w:val="22"/>
          <w:szCs w:val="22"/>
        </w:rPr>
        <w:t>, el reclamo por incumplimiento señalado en el pá</w:t>
      </w:r>
      <w:r w:rsidR="001A06BA" w:rsidRPr="001E05C6">
        <w:rPr>
          <w:rFonts w:cs="Arial"/>
          <w:sz w:val="22"/>
          <w:szCs w:val="22"/>
        </w:rPr>
        <w:t xml:space="preserve">rrafo [1] del presente Dictamen, </w:t>
      </w:r>
      <w:r w:rsidR="00C06BD1" w:rsidRPr="001E05C6">
        <w:rPr>
          <w:rFonts w:cs="Arial"/>
          <w:sz w:val="22"/>
          <w:szCs w:val="22"/>
        </w:rPr>
        <w:t xml:space="preserve">así </w:t>
      </w:r>
      <w:r w:rsidR="001A06BA" w:rsidRPr="001E05C6">
        <w:rPr>
          <w:rFonts w:cs="Arial"/>
          <w:sz w:val="22"/>
          <w:szCs w:val="22"/>
        </w:rPr>
        <w:t>como sus anexos.</w:t>
      </w:r>
      <w:r w:rsidR="00C06BD1" w:rsidRPr="001E05C6">
        <w:rPr>
          <w:rStyle w:val="Refdenotaalpie"/>
          <w:rFonts w:cs="Arial"/>
          <w:sz w:val="22"/>
          <w:szCs w:val="22"/>
        </w:rPr>
        <w:footnoteReference w:id="1"/>
      </w:r>
    </w:p>
    <w:p w:rsidR="00A874F6" w:rsidRPr="001E05C6" w:rsidRDefault="00A874F6" w:rsidP="001E05C6">
      <w:pPr>
        <w:pStyle w:val="Prrafodelista"/>
        <w:widowControl/>
        <w:adjustRightInd/>
        <w:spacing w:line="240" w:lineRule="auto"/>
        <w:ind w:left="-12" w:hanging="414"/>
        <w:contextualSpacing w:val="0"/>
        <w:textAlignment w:val="auto"/>
        <w:rPr>
          <w:rFonts w:cs="Arial"/>
          <w:sz w:val="22"/>
          <w:szCs w:val="22"/>
        </w:rPr>
      </w:pPr>
    </w:p>
    <w:p w:rsidR="004C18DA" w:rsidRPr="001E05C6" w:rsidRDefault="00A874F6"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Mediante </w:t>
      </w:r>
      <w:r w:rsidR="00E1592A" w:rsidRPr="001E05C6">
        <w:rPr>
          <w:rFonts w:cs="Arial"/>
          <w:sz w:val="22"/>
          <w:szCs w:val="22"/>
        </w:rPr>
        <w:t>Comunicación</w:t>
      </w:r>
      <w:r w:rsidRPr="001E05C6">
        <w:rPr>
          <w:rFonts w:cs="Arial"/>
          <w:sz w:val="22"/>
          <w:szCs w:val="22"/>
        </w:rPr>
        <w:t xml:space="preserve"> SG/E/SJ/839/2018</w:t>
      </w:r>
      <w:r w:rsidR="00067C43" w:rsidRPr="001E05C6">
        <w:rPr>
          <w:rFonts w:cs="Arial"/>
          <w:sz w:val="22"/>
          <w:szCs w:val="22"/>
        </w:rPr>
        <w:t>,</w:t>
      </w:r>
      <w:r w:rsidR="004C18DA" w:rsidRPr="001E05C6">
        <w:rPr>
          <w:rFonts w:cs="Arial"/>
          <w:sz w:val="22"/>
          <w:szCs w:val="22"/>
        </w:rPr>
        <w:t xml:space="preserve"> de fecha 10 de </w:t>
      </w:r>
      <w:r w:rsidR="00E1592A" w:rsidRPr="001E05C6">
        <w:rPr>
          <w:rFonts w:cs="Arial"/>
          <w:sz w:val="22"/>
          <w:szCs w:val="22"/>
        </w:rPr>
        <w:t xml:space="preserve">mayo de </w:t>
      </w:r>
      <w:r w:rsidR="004C18DA" w:rsidRPr="001E05C6">
        <w:rPr>
          <w:rFonts w:cs="Arial"/>
          <w:sz w:val="22"/>
          <w:szCs w:val="22"/>
        </w:rPr>
        <w:t xml:space="preserve">2018, se requirió a la reclamante que subsanara los requisitos de admisibilidad referidos a: i) la identificación completa del reclamante; ii) representación y mandato legal; y, iii) la declaración de no haber acudido simultáneamente y por la misma causa ante un Tribunal </w:t>
      </w:r>
      <w:r w:rsidR="00F5746E" w:rsidRPr="001E05C6">
        <w:rPr>
          <w:rFonts w:cs="Arial"/>
          <w:sz w:val="22"/>
          <w:szCs w:val="22"/>
        </w:rPr>
        <w:t xml:space="preserve">Nacional. Para dichos efectos, la SGCAN </w:t>
      </w:r>
      <w:r w:rsidR="006D3880" w:rsidRPr="001E05C6">
        <w:rPr>
          <w:rFonts w:cs="Arial"/>
          <w:sz w:val="22"/>
          <w:szCs w:val="22"/>
        </w:rPr>
        <w:t>concedió</w:t>
      </w:r>
      <w:r w:rsidR="004C18DA" w:rsidRPr="001E05C6">
        <w:rPr>
          <w:rFonts w:cs="Arial"/>
          <w:sz w:val="22"/>
          <w:szCs w:val="22"/>
        </w:rPr>
        <w:t xml:space="preserve"> a la reclamante un plazo de </w:t>
      </w:r>
      <w:r w:rsidR="004C18DA" w:rsidRPr="001E05C6">
        <w:rPr>
          <w:rFonts w:cs="Arial"/>
          <w:color w:val="000000" w:themeColor="text1"/>
          <w:sz w:val="22"/>
          <w:szCs w:val="22"/>
        </w:rPr>
        <w:t>quince (15) días hábiles.</w:t>
      </w:r>
    </w:p>
    <w:p w:rsidR="00370EE1" w:rsidRPr="001E05C6" w:rsidRDefault="00370EE1" w:rsidP="001E05C6">
      <w:pPr>
        <w:widowControl/>
        <w:adjustRightInd/>
        <w:spacing w:line="240" w:lineRule="auto"/>
        <w:textAlignment w:val="auto"/>
        <w:rPr>
          <w:rFonts w:cs="Arial"/>
          <w:sz w:val="22"/>
          <w:szCs w:val="22"/>
        </w:rPr>
      </w:pPr>
    </w:p>
    <w:p w:rsidR="00710D9A" w:rsidRPr="001E05C6"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Mediante escritos remitidos los días </w:t>
      </w:r>
      <w:r w:rsidR="007D02CE" w:rsidRPr="001E05C6">
        <w:rPr>
          <w:rFonts w:cs="Arial"/>
          <w:sz w:val="22"/>
          <w:szCs w:val="22"/>
        </w:rPr>
        <w:t>11</w:t>
      </w:r>
      <w:r w:rsidRPr="001E05C6">
        <w:rPr>
          <w:rFonts w:cs="Arial"/>
          <w:sz w:val="22"/>
          <w:szCs w:val="22"/>
        </w:rPr>
        <w:t xml:space="preserve"> y 17</w:t>
      </w:r>
      <w:r w:rsidR="007D02CE" w:rsidRPr="001E05C6">
        <w:rPr>
          <w:rFonts w:cs="Arial"/>
          <w:sz w:val="22"/>
          <w:szCs w:val="22"/>
        </w:rPr>
        <w:t xml:space="preserve"> de mayo de 2018, la reclamante dio respuesta a la comunicación </w:t>
      </w:r>
      <w:r w:rsidR="007D02CE" w:rsidRPr="001E05C6">
        <w:rPr>
          <w:rFonts w:cs="Arial"/>
          <w:color w:val="000000" w:themeColor="text1"/>
          <w:sz w:val="22"/>
          <w:szCs w:val="22"/>
        </w:rPr>
        <w:t xml:space="preserve">SG/E/SJ/839/2018 de fecha 10 de mayo de 2018, emitida por la </w:t>
      </w:r>
      <w:r w:rsidR="007E324C" w:rsidRPr="001E05C6">
        <w:rPr>
          <w:rFonts w:cs="Arial"/>
          <w:sz w:val="22"/>
          <w:szCs w:val="22"/>
        </w:rPr>
        <w:t>SGCAN.</w:t>
      </w:r>
    </w:p>
    <w:p w:rsidR="00710D9A" w:rsidRPr="001E05C6" w:rsidRDefault="00710D9A" w:rsidP="001E05C6">
      <w:pPr>
        <w:pStyle w:val="Prrafodelista"/>
        <w:spacing w:line="240" w:lineRule="auto"/>
        <w:contextualSpacing w:val="0"/>
        <w:rPr>
          <w:rFonts w:cs="Arial"/>
          <w:sz w:val="22"/>
          <w:szCs w:val="22"/>
        </w:rPr>
      </w:pPr>
    </w:p>
    <w:p w:rsidR="00710D9A" w:rsidRPr="001E05C6" w:rsidRDefault="001E36E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color w:val="000000"/>
          <w:sz w:val="22"/>
          <w:szCs w:val="22"/>
          <w:shd w:val="clear" w:color="auto" w:fill="FFFFFF"/>
        </w:rPr>
        <w:t xml:space="preserve">Mediante Comunicación SG/E/SJ/913/2018 </w:t>
      </w:r>
      <w:r w:rsidR="00710D9A" w:rsidRPr="001E05C6">
        <w:rPr>
          <w:rFonts w:cs="Arial"/>
          <w:color w:val="000000"/>
          <w:sz w:val="22"/>
          <w:szCs w:val="22"/>
          <w:shd w:val="clear" w:color="auto" w:fill="FFFFFF"/>
        </w:rPr>
        <w:t xml:space="preserve">de fecha </w:t>
      </w:r>
      <w:r w:rsidRPr="001E05C6">
        <w:rPr>
          <w:rFonts w:cs="Arial"/>
          <w:color w:val="000000"/>
          <w:sz w:val="22"/>
          <w:szCs w:val="22"/>
          <w:shd w:val="clear" w:color="auto" w:fill="FFFFFF"/>
        </w:rPr>
        <w:t>23</w:t>
      </w:r>
      <w:r w:rsidR="00710D9A" w:rsidRPr="001E05C6">
        <w:rPr>
          <w:rFonts w:cs="Arial"/>
          <w:color w:val="000000"/>
          <w:sz w:val="22"/>
          <w:szCs w:val="22"/>
          <w:shd w:val="clear" w:color="auto" w:fill="FFFFFF"/>
        </w:rPr>
        <w:t xml:space="preserve"> de</w:t>
      </w:r>
      <w:r w:rsidRPr="001E05C6">
        <w:rPr>
          <w:rFonts w:cs="Arial"/>
          <w:color w:val="000000"/>
          <w:sz w:val="22"/>
          <w:szCs w:val="22"/>
          <w:shd w:val="clear" w:color="auto" w:fill="FFFFFF"/>
        </w:rPr>
        <w:t xml:space="preserve"> mayo de</w:t>
      </w:r>
      <w:r w:rsidR="00710D9A" w:rsidRPr="001E05C6">
        <w:rPr>
          <w:rFonts w:cs="Arial"/>
          <w:color w:val="000000"/>
          <w:sz w:val="22"/>
          <w:szCs w:val="22"/>
          <w:shd w:val="clear" w:color="auto" w:fill="FFFFFF"/>
        </w:rPr>
        <w:t xml:space="preserve"> 2018, la Secretaría General </w:t>
      </w:r>
      <w:r w:rsidR="00380131" w:rsidRPr="001E05C6">
        <w:rPr>
          <w:rFonts w:cs="Arial"/>
          <w:color w:val="000000"/>
          <w:sz w:val="22"/>
          <w:szCs w:val="22"/>
          <w:shd w:val="clear" w:color="auto" w:fill="FFFFFF"/>
        </w:rPr>
        <w:t xml:space="preserve">determinó, luego de la evaluación correspondiente, que la documentación </w:t>
      </w:r>
      <w:r w:rsidR="00380131" w:rsidRPr="001E05C6">
        <w:rPr>
          <w:rFonts w:cs="Arial"/>
          <w:color w:val="000000"/>
          <w:sz w:val="22"/>
          <w:szCs w:val="22"/>
          <w:shd w:val="clear" w:color="auto" w:fill="FFFFFF"/>
        </w:rPr>
        <w:lastRenderedPageBreak/>
        <w:t>presentada por la reclamante se encontraba completa y conforme a lo dispuesto en los artículo</w:t>
      </w:r>
      <w:r w:rsidR="007D37FA" w:rsidRPr="001E05C6">
        <w:rPr>
          <w:rFonts w:cs="Arial"/>
          <w:color w:val="000000"/>
          <w:sz w:val="22"/>
          <w:szCs w:val="22"/>
          <w:shd w:val="clear" w:color="auto" w:fill="FFFFFF"/>
        </w:rPr>
        <w:t>s</w:t>
      </w:r>
      <w:r w:rsidR="00380131" w:rsidRPr="001E05C6">
        <w:rPr>
          <w:rFonts w:cs="Arial"/>
          <w:color w:val="000000"/>
          <w:sz w:val="22"/>
          <w:szCs w:val="22"/>
          <w:shd w:val="clear" w:color="auto" w:fill="FFFFFF"/>
        </w:rPr>
        <w:t xml:space="preserve"> 15 y 16 de la Decisión 623, </w:t>
      </w:r>
      <w:r w:rsidR="00710D9A" w:rsidRPr="001E05C6">
        <w:rPr>
          <w:rFonts w:cs="Arial"/>
          <w:color w:val="000000"/>
          <w:sz w:val="22"/>
          <w:szCs w:val="22"/>
          <w:shd w:val="clear" w:color="auto" w:fill="FFFFFF"/>
        </w:rPr>
        <w:t xml:space="preserve">admitió a trámite </w:t>
      </w:r>
      <w:r w:rsidR="003912B2" w:rsidRPr="001E05C6">
        <w:rPr>
          <w:rFonts w:cs="Arial"/>
          <w:color w:val="000000"/>
          <w:sz w:val="22"/>
          <w:szCs w:val="22"/>
          <w:shd w:val="clear" w:color="auto" w:fill="FFFFFF"/>
        </w:rPr>
        <w:t>el reclamo</w:t>
      </w:r>
      <w:r w:rsidR="00710D9A" w:rsidRPr="001E05C6">
        <w:rPr>
          <w:rFonts w:cs="Arial"/>
          <w:color w:val="000000"/>
          <w:sz w:val="22"/>
          <w:szCs w:val="22"/>
          <w:shd w:val="clear" w:color="auto" w:fill="FFFFFF"/>
        </w:rPr>
        <w:t>.</w:t>
      </w:r>
      <w:r w:rsidRPr="001E05C6">
        <w:rPr>
          <w:rFonts w:cs="Arial"/>
          <w:color w:val="000000"/>
          <w:sz w:val="22"/>
          <w:szCs w:val="22"/>
          <w:shd w:val="clear" w:color="auto" w:fill="FFFFFF"/>
        </w:rPr>
        <w:t xml:space="preserve"> </w:t>
      </w:r>
    </w:p>
    <w:p w:rsidR="00710D9A" w:rsidRPr="001E05C6" w:rsidRDefault="00710D9A" w:rsidP="001E05C6">
      <w:pPr>
        <w:pStyle w:val="Prrafodelista"/>
        <w:spacing w:line="240" w:lineRule="auto"/>
        <w:ind w:hanging="414"/>
        <w:contextualSpacing w:val="0"/>
        <w:rPr>
          <w:rFonts w:cs="Arial"/>
          <w:sz w:val="22"/>
          <w:szCs w:val="22"/>
        </w:rPr>
      </w:pPr>
    </w:p>
    <w:p w:rsidR="00710D9A" w:rsidRPr="001E05C6" w:rsidRDefault="00710D9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Mediante Comunicación </w:t>
      </w:r>
      <w:r w:rsidR="001E36E0" w:rsidRPr="001E05C6">
        <w:rPr>
          <w:rFonts w:cs="Arial"/>
          <w:color w:val="000000"/>
          <w:sz w:val="22"/>
          <w:szCs w:val="22"/>
          <w:shd w:val="clear" w:color="auto" w:fill="FFFFFF"/>
        </w:rPr>
        <w:t xml:space="preserve">SG/E/SJ/914/2018 de fecha 23 de mayo de 2018, la SGCAN </w:t>
      </w:r>
      <w:r w:rsidRPr="001E05C6">
        <w:rPr>
          <w:rFonts w:cs="Arial"/>
          <w:sz w:val="22"/>
          <w:szCs w:val="22"/>
        </w:rPr>
        <w:t>corrió tr</w:t>
      </w:r>
      <w:r w:rsidR="001E36E0" w:rsidRPr="001E05C6">
        <w:rPr>
          <w:rFonts w:cs="Arial"/>
          <w:sz w:val="22"/>
          <w:szCs w:val="22"/>
        </w:rPr>
        <w:t xml:space="preserve">aslado a la República del Perú </w:t>
      </w:r>
      <w:r w:rsidRPr="001E05C6">
        <w:rPr>
          <w:rFonts w:cs="Arial"/>
          <w:sz w:val="22"/>
          <w:szCs w:val="22"/>
        </w:rPr>
        <w:t>del reclamo</w:t>
      </w:r>
      <w:r w:rsidR="003912B2" w:rsidRPr="001E05C6">
        <w:rPr>
          <w:rFonts w:cs="Arial"/>
          <w:sz w:val="22"/>
          <w:szCs w:val="22"/>
        </w:rPr>
        <w:t xml:space="preserve"> presentado por la reclamante</w:t>
      </w:r>
      <w:r w:rsidRPr="001E05C6">
        <w:rPr>
          <w:rFonts w:cs="Arial"/>
          <w:sz w:val="22"/>
          <w:szCs w:val="22"/>
        </w:rPr>
        <w:t xml:space="preserve">, otorgándole un plazo de </w:t>
      </w:r>
      <w:r w:rsidR="003912B2" w:rsidRPr="001E05C6">
        <w:rPr>
          <w:rFonts w:cs="Arial"/>
          <w:sz w:val="22"/>
          <w:szCs w:val="22"/>
        </w:rPr>
        <w:t>veinte (20)</w:t>
      </w:r>
      <w:r w:rsidR="001E36E0" w:rsidRPr="001E05C6">
        <w:rPr>
          <w:rFonts w:cs="Arial"/>
          <w:sz w:val="22"/>
          <w:szCs w:val="22"/>
        </w:rPr>
        <w:t xml:space="preserve"> días</w:t>
      </w:r>
      <w:r w:rsidR="003912B2" w:rsidRPr="001E05C6">
        <w:rPr>
          <w:rFonts w:cs="Arial"/>
          <w:sz w:val="22"/>
          <w:szCs w:val="22"/>
        </w:rPr>
        <w:t xml:space="preserve"> hábiles</w:t>
      </w:r>
      <w:r w:rsidR="001E36E0" w:rsidRPr="001E05C6">
        <w:rPr>
          <w:rFonts w:cs="Arial"/>
          <w:sz w:val="22"/>
          <w:szCs w:val="22"/>
        </w:rPr>
        <w:t xml:space="preserve"> para su contestación. </w:t>
      </w:r>
      <w:r w:rsidR="003912B2" w:rsidRPr="001E05C6">
        <w:rPr>
          <w:rFonts w:cs="Arial"/>
          <w:sz w:val="22"/>
          <w:szCs w:val="22"/>
        </w:rPr>
        <w:t>A</w:t>
      </w:r>
      <w:r w:rsidRPr="001E05C6">
        <w:rPr>
          <w:rFonts w:cs="Arial"/>
          <w:sz w:val="22"/>
          <w:szCs w:val="22"/>
        </w:rPr>
        <w:t xml:space="preserve">simismo, mediante Comunicación </w:t>
      </w:r>
      <w:r w:rsidR="003912B2" w:rsidRPr="001E05C6">
        <w:rPr>
          <w:rFonts w:cs="Arial"/>
          <w:color w:val="000000"/>
          <w:sz w:val="22"/>
          <w:szCs w:val="22"/>
          <w:shd w:val="clear" w:color="auto" w:fill="FFFFFF"/>
        </w:rPr>
        <w:t xml:space="preserve">SG/E/SJ/915/2018 de </w:t>
      </w:r>
      <w:r w:rsidR="00E34496" w:rsidRPr="001E05C6">
        <w:rPr>
          <w:rFonts w:cs="Arial"/>
          <w:color w:val="000000"/>
          <w:sz w:val="22"/>
          <w:szCs w:val="22"/>
          <w:shd w:val="clear" w:color="auto" w:fill="FFFFFF"/>
        </w:rPr>
        <w:t>la misma fecha</w:t>
      </w:r>
      <w:r w:rsidR="003912B2" w:rsidRPr="001E05C6">
        <w:rPr>
          <w:rFonts w:cs="Arial"/>
          <w:color w:val="000000"/>
          <w:sz w:val="22"/>
          <w:szCs w:val="22"/>
          <w:shd w:val="clear" w:color="auto" w:fill="FFFFFF"/>
        </w:rPr>
        <w:t xml:space="preserve">, </w:t>
      </w:r>
      <w:r w:rsidR="007E324C" w:rsidRPr="001E05C6">
        <w:rPr>
          <w:rFonts w:cs="Arial"/>
          <w:sz w:val="22"/>
          <w:szCs w:val="22"/>
        </w:rPr>
        <w:t>la SGCAN</w:t>
      </w:r>
      <w:r w:rsidRPr="001E05C6">
        <w:rPr>
          <w:rFonts w:cs="Arial"/>
          <w:sz w:val="22"/>
          <w:szCs w:val="22"/>
        </w:rPr>
        <w:t xml:space="preserve"> </w:t>
      </w:r>
      <w:r w:rsidR="003912B2" w:rsidRPr="001E05C6">
        <w:rPr>
          <w:rFonts w:cs="Arial"/>
          <w:sz w:val="22"/>
          <w:szCs w:val="22"/>
        </w:rPr>
        <w:t>remitió el referido reclamo a los demás Países Miembros</w:t>
      </w:r>
      <w:r w:rsidRPr="001E05C6">
        <w:rPr>
          <w:rFonts w:cs="Arial"/>
          <w:sz w:val="22"/>
          <w:szCs w:val="22"/>
        </w:rPr>
        <w:t xml:space="preserve">, a fin de que presenten los elementos de información que estimaran pertinentes. </w:t>
      </w:r>
    </w:p>
    <w:p w:rsidR="00710D9A" w:rsidRPr="001E05C6" w:rsidRDefault="00710D9A" w:rsidP="001E05C6">
      <w:pPr>
        <w:pStyle w:val="Prrafodelista"/>
        <w:spacing w:line="240" w:lineRule="auto"/>
        <w:ind w:hanging="414"/>
        <w:contextualSpacing w:val="0"/>
        <w:rPr>
          <w:rFonts w:cs="Arial"/>
          <w:color w:val="000000"/>
          <w:sz w:val="22"/>
          <w:szCs w:val="22"/>
        </w:rPr>
      </w:pPr>
    </w:p>
    <w:p w:rsidR="00BE3446" w:rsidRPr="001E05C6" w:rsidRDefault="00BE3446"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color w:val="000000"/>
          <w:sz w:val="22"/>
          <w:szCs w:val="22"/>
        </w:rPr>
        <w:t xml:space="preserve">Mediante </w:t>
      </w:r>
      <w:r w:rsidR="00710D9A" w:rsidRPr="001E05C6">
        <w:rPr>
          <w:rFonts w:cs="Arial"/>
          <w:color w:val="000000"/>
          <w:sz w:val="22"/>
          <w:szCs w:val="22"/>
        </w:rPr>
        <w:t>Oficio</w:t>
      </w:r>
      <w:r w:rsidRPr="001E05C6">
        <w:rPr>
          <w:rFonts w:cs="Arial"/>
          <w:color w:val="000000"/>
          <w:sz w:val="22"/>
          <w:szCs w:val="22"/>
        </w:rPr>
        <w:t>s</w:t>
      </w:r>
      <w:r w:rsidR="00710D9A" w:rsidRPr="001E05C6">
        <w:rPr>
          <w:rFonts w:cs="Arial"/>
          <w:color w:val="000000"/>
          <w:sz w:val="22"/>
          <w:szCs w:val="22"/>
        </w:rPr>
        <w:t xml:space="preserve"> N</w:t>
      </w:r>
      <w:r w:rsidR="003912B2" w:rsidRPr="001E05C6">
        <w:rPr>
          <w:rFonts w:cs="Arial"/>
          <w:color w:val="000000"/>
          <w:sz w:val="22"/>
          <w:szCs w:val="22"/>
        </w:rPr>
        <w:t>o</w:t>
      </w:r>
      <w:r w:rsidRPr="001E05C6">
        <w:rPr>
          <w:rFonts w:cs="Arial"/>
          <w:color w:val="000000"/>
          <w:sz w:val="22"/>
          <w:szCs w:val="22"/>
        </w:rPr>
        <w:t>s</w:t>
      </w:r>
      <w:r w:rsidR="003912B2" w:rsidRPr="001E05C6">
        <w:rPr>
          <w:rFonts w:cs="Arial"/>
          <w:color w:val="000000"/>
          <w:sz w:val="22"/>
          <w:szCs w:val="22"/>
        </w:rPr>
        <w:t>.</w:t>
      </w:r>
      <w:r w:rsidR="00710D9A" w:rsidRPr="001E05C6">
        <w:rPr>
          <w:rFonts w:cs="Arial"/>
          <w:color w:val="000000"/>
          <w:sz w:val="22"/>
          <w:szCs w:val="22"/>
        </w:rPr>
        <w:t xml:space="preserve"> </w:t>
      </w:r>
      <w:r w:rsidR="003912B2" w:rsidRPr="001E05C6">
        <w:rPr>
          <w:rFonts w:cs="Arial"/>
          <w:color w:val="000000"/>
          <w:sz w:val="22"/>
          <w:szCs w:val="22"/>
        </w:rPr>
        <w:t>020-2018-MINCETUR/VMCE/DGGJCI</w:t>
      </w:r>
      <w:r w:rsidRPr="001E05C6">
        <w:rPr>
          <w:rFonts w:cs="Arial"/>
          <w:color w:val="000000"/>
          <w:sz w:val="22"/>
          <w:szCs w:val="22"/>
        </w:rPr>
        <w:t xml:space="preserve"> y 025-2018-MINCETUR/VMCE/DGGJCI</w:t>
      </w:r>
      <w:r w:rsidR="00710D9A" w:rsidRPr="001E05C6">
        <w:rPr>
          <w:rFonts w:cs="Arial"/>
          <w:color w:val="000000"/>
          <w:sz w:val="22"/>
          <w:szCs w:val="22"/>
        </w:rPr>
        <w:t xml:space="preserve">, </w:t>
      </w:r>
      <w:r w:rsidR="00971708" w:rsidRPr="001E05C6">
        <w:rPr>
          <w:rFonts w:cs="Arial"/>
          <w:color w:val="000000"/>
          <w:sz w:val="22"/>
          <w:szCs w:val="22"/>
        </w:rPr>
        <w:t xml:space="preserve">recibidos el 29 de mayo y el 4 de junio de 2018, respectivamente, </w:t>
      </w:r>
      <w:r w:rsidR="00710D9A" w:rsidRPr="001E05C6">
        <w:rPr>
          <w:rFonts w:cs="Arial"/>
          <w:color w:val="000000"/>
          <w:sz w:val="22"/>
          <w:szCs w:val="22"/>
        </w:rPr>
        <w:t xml:space="preserve">la República del Perú solicitó </w:t>
      </w:r>
      <w:r w:rsidR="003912B2" w:rsidRPr="001E05C6">
        <w:rPr>
          <w:rFonts w:cs="Arial"/>
          <w:color w:val="000000"/>
          <w:sz w:val="22"/>
          <w:szCs w:val="22"/>
        </w:rPr>
        <w:t>una</w:t>
      </w:r>
      <w:r w:rsidR="00710D9A" w:rsidRPr="001E05C6">
        <w:rPr>
          <w:rFonts w:cs="Arial"/>
          <w:color w:val="000000"/>
          <w:sz w:val="22"/>
          <w:szCs w:val="22"/>
        </w:rPr>
        <w:t xml:space="preserve"> prórroga </w:t>
      </w:r>
      <w:r w:rsidR="003912B2" w:rsidRPr="001E05C6">
        <w:rPr>
          <w:rFonts w:cs="Arial"/>
          <w:color w:val="000000"/>
          <w:sz w:val="22"/>
          <w:szCs w:val="22"/>
        </w:rPr>
        <w:t>de treinta (30) días calendario</w:t>
      </w:r>
      <w:r w:rsidR="005D3DE4" w:rsidRPr="001E05C6">
        <w:rPr>
          <w:rFonts w:cs="Arial"/>
          <w:color w:val="000000"/>
          <w:sz w:val="22"/>
          <w:szCs w:val="22"/>
        </w:rPr>
        <w:t>,</w:t>
      </w:r>
      <w:r w:rsidR="003912B2" w:rsidRPr="001E05C6">
        <w:rPr>
          <w:rFonts w:cs="Arial"/>
          <w:color w:val="000000"/>
          <w:sz w:val="22"/>
          <w:szCs w:val="22"/>
        </w:rPr>
        <w:t xml:space="preserve"> adicionales al</w:t>
      </w:r>
      <w:r w:rsidR="00710D9A" w:rsidRPr="001E05C6">
        <w:rPr>
          <w:rFonts w:cs="Arial"/>
          <w:color w:val="000000"/>
          <w:sz w:val="22"/>
          <w:szCs w:val="22"/>
        </w:rPr>
        <w:t xml:space="preserve"> plazo </w:t>
      </w:r>
      <w:r w:rsidR="003912B2" w:rsidRPr="001E05C6">
        <w:rPr>
          <w:rFonts w:cs="Arial"/>
          <w:color w:val="000000"/>
          <w:sz w:val="22"/>
          <w:szCs w:val="22"/>
        </w:rPr>
        <w:t>concedido por la SGCAN</w:t>
      </w:r>
      <w:r w:rsidR="005D3DE4" w:rsidRPr="001E05C6">
        <w:rPr>
          <w:rFonts w:cs="Arial"/>
          <w:color w:val="000000"/>
          <w:sz w:val="22"/>
          <w:szCs w:val="22"/>
        </w:rPr>
        <w:t>,</w:t>
      </w:r>
      <w:r w:rsidR="003912B2" w:rsidRPr="001E05C6">
        <w:rPr>
          <w:rFonts w:cs="Arial"/>
          <w:color w:val="000000"/>
          <w:sz w:val="22"/>
          <w:szCs w:val="22"/>
        </w:rPr>
        <w:t xml:space="preserve"> para presentar contestaci</w:t>
      </w:r>
      <w:r w:rsidR="00F93AD6" w:rsidRPr="001E05C6">
        <w:rPr>
          <w:rFonts w:cs="Arial"/>
          <w:color w:val="000000"/>
          <w:sz w:val="22"/>
          <w:szCs w:val="22"/>
        </w:rPr>
        <w:t>ón al reclamo.</w:t>
      </w:r>
    </w:p>
    <w:p w:rsidR="00051EBC" w:rsidRPr="001E05C6" w:rsidRDefault="00051EBC" w:rsidP="001E05C6">
      <w:pPr>
        <w:widowControl/>
        <w:adjustRightInd/>
        <w:spacing w:line="240" w:lineRule="auto"/>
        <w:textAlignment w:val="auto"/>
        <w:rPr>
          <w:rFonts w:cs="Arial"/>
          <w:sz w:val="22"/>
          <w:szCs w:val="22"/>
        </w:rPr>
      </w:pPr>
    </w:p>
    <w:p w:rsidR="00F93AD6" w:rsidRPr="001E05C6" w:rsidRDefault="00F93AD6"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Con fecha 1 de junio de 2018, la reclamante</w:t>
      </w:r>
      <w:r w:rsidR="004148D4" w:rsidRPr="001E05C6">
        <w:rPr>
          <w:rFonts w:cs="Arial"/>
          <w:sz w:val="22"/>
          <w:szCs w:val="22"/>
        </w:rPr>
        <w:t xml:space="preserve"> </w:t>
      </w:r>
      <w:r w:rsidR="001763A0" w:rsidRPr="001E05C6">
        <w:rPr>
          <w:rFonts w:cs="Arial"/>
          <w:sz w:val="22"/>
          <w:szCs w:val="22"/>
        </w:rPr>
        <w:t xml:space="preserve">solicita </w:t>
      </w:r>
      <w:r w:rsidR="004148D4" w:rsidRPr="001E05C6">
        <w:rPr>
          <w:rFonts w:cs="Arial"/>
          <w:sz w:val="22"/>
          <w:szCs w:val="22"/>
        </w:rPr>
        <w:t xml:space="preserve">a la SGCAN </w:t>
      </w:r>
      <w:r w:rsidR="001763A0" w:rsidRPr="001E05C6">
        <w:rPr>
          <w:rFonts w:cs="Arial"/>
          <w:sz w:val="22"/>
          <w:szCs w:val="22"/>
        </w:rPr>
        <w:t>que</w:t>
      </w:r>
      <w:r w:rsidR="004148D4" w:rsidRPr="001E05C6">
        <w:rPr>
          <w:rFonts w:cs="Arial"/>
          <w:sz w:val="22"/>
          <w:szCs w:val="22"/>
        </w:rPr>
        <w:t>, con base en el artículo 18 de la Decisión 623,</w:t>
      </w:r>
      <w:r w:rsidR="001763A0" w:rsidRPr="001E05C6">
        <w:rPr>
          <w:rFonts w:cs="Arial"/>
          <w:sz w:val="22"/>
          <w:szCs w:val="22"/>
        </w:rPr>
        <w:t xml:space="preserve"> se </w:t>
      </w:r>
      <w:r w:rsidR="004148D4" w:rsidRPr="001E05C6">
        <w:rPr>
          <w:rFonts w:cs="Arial"/>
          <w:sz w:val="22"/>
          <w:szCs w:val="22"/>
        </w:rPr>
        <w:t>decrete la celebración de</w:t>
      </w:r>
      <w:r w:rsidR="001763A0" w:rsidRPr="001E05C6">
        <w:rPr>
          <w:rFonts w:cs="Arial"/>
          <w:sz w:val="22"/>
          <w:szCs w:val="22"/>
        </w:rPr>
        <w:t xml:space="preserve"> una </w:t>
      </w:r>
      <w:r w:rsidRPr="001E05C6">
        <w:rPr>
          <w:rFonts w:cs="Arial"/>
          <w:sz w:val="22"/>
          <w:szCs w:val="22"/>
        </w:rPr>
        <w:t>reunión de información complementaria o facilitadora, con la presencia de las Partes del presente procedimiento.</w:t>
      </w:r>
    </w:p>
    <w:p w:rsidR="00BE3446" w:rsidRPr="001E05C6" w:rsidRDefault="00BE3446" w:rsidP="001E05C6">
      <w:pPr>
        <w:widowControl/>
        <w:adjustRightInd/>
        <w:spacing w:line="240" w:lineRule="auto"/>
        <w:textAlignment w:val="auto"/>
        <w:rPr>
          <w:rFonts w:cs="Arial"/>
          <w:sz w:val="22"/>
          <w:szCs w:val="22"/>
        </w:rPr>
      </w:pPr>
    </w:p>
    <w:p w:rsidR="006D3880" w:rsidRPr="001E05C6"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color w:val="000000"/>
          <w:sz w:val="22"/>
          <w:szCs w:val="22"/>
          <w:shd w:val="clear" w:color="auto" w:fill="FFFFFF"/>
        </w:rPr>
        <w:t xml:space="preserve">Mediante Comunicación </w:t>
      </w:r>
      <w:r w:rsidR="00BE3446" w:rsidRPr="001E05C6">
        <w:rPr>
          <w:rFonts w:cs="Arial"/>
          <w:color w:val="000000"/>
          <w:sz w:val="22"/>
          <w:szCs w:val="22"/>
          <w:shd w:val="clear" w:color="auto" w:fill="FFFFFF"/>
        </w:rPr>
        <w:t>SG/E/SJ/1051/2018 de fecha 6 de junio de 2018</w:t>
      </w:r>
      <w:r w:rsidRPr="001E05C6">
        <w:rPr>
          <w:rFonts w:cs="Arial"/>
          <w:color w:val="000000"/>
          <w:sz w:val="22"/>
          <w:szCs w:val="22"/>
          <w:shd w:val="clear" w:color="auto" w:fill="FFFFFF"/>
        </w:rPr>
        <w:t>, la Secretaría General comunicó a la República del Perú la concesión de la prórroga solicitada</w:t>
      </w:r>
      <w:r w:rsidR="00944A49" w:rsidRPr="001E05C6">
        <w:rPr>
          <w:rFonts w:cs="Arial"/>
          <w:color w:val="000000"/>
          <w:sz w:val="22"/>
          <w:szCs w:val="22"/>
          <w:shd w:val="clear" w:color="auto" w:fill="FFFFFF"/>
        </w:rPr>
        <w:t xml:space="preserve"> y deja la calificación de la flagrancia para el momento del dictamen a fin de no incurrir en adelanto de opinión, ya que del análisis de los elementos que obran en el expediente se advierte que se requiere un análisis pormenorizado de fondo</w:t>
      </w:r>
      <w:r w:rsidR="00906C20" w:rsidRPr="001E05C6">
        <w:rPr>
          <w:rFonts w:cs="Arial"/>
          <w:color w:val="000000"/>
          <w:sz w:val="22"/>
          <w:szCs w:val="22"/>
          <w:shd w:val="clear" w:color="auto" w:fill="FFFFFF"/>
        </w:rPr>
        <w:t xml:space="preserve">. </w:t>
      </w:r>
      <w:r w:rsidRPr="001E05C6">
        <w:rPr>
          <w:rFonts w:cs="Arial"/>
          <w:color w:val="000000"/>
          <w:sz w:val="22"/>
          <w:szCs w:val="22"/>
          <w:shd w:val="clear" w:color="auto" w:fill="FFFFFF"/>
        </w:rPr>
        <w:t xml:space="preserve">Asimismo, mediante </w:t>
      </w:r>
      <w:r w:rsidR="00E5632C" w:rsidRPr="001E05C6">
        <w:rPr>
          <w:rFonts w:cs="Arial"/>
          <w:color w:val="000000"/>
          <w:sz w:val="22"/>
          <w:szCs w:val="22"/>
          <w:shd w:val="clear" w:color="auto" w:fill="FFFFFF"/>
        </w:rPr>
        <w:t>Comunicaciones</w:t>
      </w:r>
      <w:r w:rsidR="00BE3446" w:rsidRPr="001E05C6">
        <w:rPr>
          <w:rFonts w:cs="Arial"/>
          <w:color w:val="000000"/>
          <w:sz w:val="22"/>
          <w:szCs w:val="22"/>
          <w:shd w:val="clear" w:color="auto" w:fill="FFFFFF"/>
        </w:rPr>
        <w:t xml:space="preserve"> SG/E/SJ/1053/2018 y SG/E/SJ/1054/2018</w:t>
      </w:r>
      <w:r w:rsidR="00A9182A" w:rsidRPr="001E05C6">
        <w:rPr>
          <w:rFonts w:cs="Arial"/>
          <w:color w:val="000000"/>
          <w:sz w:val="22"/>
          <w:szCs w:val="22"/>
          <w:shd w:val="clear" w:color="auto" w:fill="FFFFFF"/>
        </w:rPr>
        <w:t>, ambas de 6 de junio de 2018,</w:t>
      </w:r>
      <w:r w:rsidR="00BE3446" w:rsidRPr="001E05C6">
        <w:rPr>
          <w:rFonts w:cs="Arial"/>
          <w:color w:val="000000"/>
          <w:sz w:val="22"/>
          <w:szCs w:val="22"/>
          <w:shd w:val="clear" w:color="auto" w:fill="FFFFFF"/>
        </w:rPr>
        <w:t xml:space="preserve"> </w:t>
      </w:r>
      <w:r w:rsidR="00E536BF" w:rsidRPr="001E05C6">
        <w:rPr>
          <w:rFonts w:cs="Arial"/>
          <w:color w:val="000000"/>
          <w:sz w:val="22"/>
          <w:szCs w:val="22"/>
          <w:shd w:val="clear" w:color="auto" w:fill="FFFFFF"/>
        </w:rPr>
        <w:t>la SGCAN</w:t>
      </w:r>
      <w:r w:rsidRPr="001E05C6">
        <w:rPr>
          <w:rFonts w:cs="Arial"/>
          <w:color w:val="000000"/>
          <w:sz w:val="22"/>
          <w:szCs w:val="22"/>
          <w:shd w:val="clear" w:color="auto" w:fill="FFFFFF"/>
        </w:rPr>
        <w:t xml:space="preserve"> </w:t>
      </w:r>
      <w:r w:rsidR="00E5632C" w:rsidRPr="001E05C6">
        <w:rPr>
          <w:rFonts w:cs="Arial"/>
          <w:color w:val="000000"/>
          <w:sz w:val="22"/>
          <w:szCs w:val="22"/>
          <w:shd w:val="clear" w:color="auto" w:fill="FFFFFF"/>
        </w:rPr>
        <w:t>informó</w:t>
      </w:r>
      <w:r w:rsidRPr="001E05C6">
        <w:rPr>
          <w:rFonts w:cs="Arial"/>
          <w:color w:val="000000"/>
          <w:sz w:val="22"/>
          <w:szCs w:val="22"/>
          <w:shd w:val="clear" w:color="auto" w:fill="FFFFFF"/>
        </w:rPr>
        <w:t xml:space="preserve"> a la reclama</w:t>
      </w:r>
      <w:r w:rsidR="00C41E9A" w:rsidRPr="001E05C6">
        <w:rPr>
          <w:rFonts w:cs="Arial"/>
          <w:color w:val="000000"/>
          <w:sz w:val="22"/>
          <w:szCs w:val="22"/>
          <w:shd w:val="clear" w:color="auto" w:fill="FFFFFF"/>
        </w:rPr>
        <w:t xml:space="preserve">da </w:t>
      </w:r>
      <w:r w:rsidRPr="001E05C6">
        <w:rPr>
          <w:rFonts w:cs="Arial"/>
          <w:color w:val="000000"/>
          <w:sz w:val="22"/>
          <w:szCs w:val="22"/>
          <w:shd w:val="clear" w:color="auto" w:fill="FFFFFF"/>
        </w:rPr>
        <w:t>y a los demás Países Miembro</w:t>
      </w:r>
      <w:r w:rsidR="00710D9A" w:rsidRPr="001E05C6">
        <w:rPr>
          <w:rFonts w:cs="Arial"/>
          <w:color w:val="000000"/>
          <w:sz w:val="22"/>
          <w:szCs w:val="22"/>
          <w:shd w:val="clear" w:color="auto" w:fill="FFFFFF"/>
        </w:rPr>
        <w:t>s</w:t>
      </w:r>
      <w:r w:rsidR="00A9182A" w:rsidRPr="001E05C6">
        <w:rPr>
          <w:rFonts w:cs="Arial"/>
          <w:color w:val="000000"/>
          <w:sz w:val="22"/>
          <w:szCs w:val="22"/>
          <w:shd w:val="clear" w:color="auto" w:fill="FFFFFF"/>
        </w:rPr>
        <w:t>, respectivamente,</w:t>
      </w:r>
      <w:r w:rsidRPr="001E05C6">
        <w:rPr>
          <w:rFonts w:cs="Arial"/>
          <w:color w:val="000000"/>
          <w:sz w:val="22"/>
          <w:szCs w:val="22"/>
          <w:shd w:val="clear" w:color="auto" w:fill="FFFFFF"/>
        </w:rPr>
        <w:t xml:space="preserve"> </w:t>
      </w:r>
      <w:r w:rsidR="00E536BF" w:rsidRPr="001E05C6">
        <w:rPr>
          <w:rFonts w:cs="Arial"/>
          <w:color w:val="000000"/>
          <w:sz w:val="22"/>
          <w:szCs w:val="22"/>
          <w:shd w:val="clear" w:color="auto" w:fill="FFFFFF"/>
        </w:rPr>
        <w:t>sobre</w:t>
      </w:r>
      <w:r w:rsidRPr="001E05C6">
        <w:rPr>
          <w:rFonts w:cs="Arial"/>
          <w:color w:val="000000"/>
          <w:sz w:val="22"/>
          <w:szCs w:val="22"/>
          <w:shd w:val="clear" w:color="auto" w:fill="FFFFFF"/>
        </w:rPr>
        <w:t xml:space="preserve"> la concesión de la prórroga.</w:t>
      </w:r>
    </w:p>
    <w:p w:rsidR="00710D9A" w:rsidRPr="001E05C6" w:rsidRDefault="00710D9A" w:rsidP="001E05C6">
      <w:pPr>
        <w:widowControl/>
        <w:adjustRightInd/>
        <w:spacing w:line="240" w:lineRule="auto"/>
        <w:textAlignment w:val="auto"/>
        <w:rPr>
          <w:rFonts w:cs="Arial"/>
          <w:sz w:val="22"/>
          <w:szCs w:val="22"/>
        </w:rPr>
      </w:pPr>
    </w:p>
    <w:p w:rsidR="00E5632C" w:rsidRPr="001E05C6" w:rsidRDefault="00E5632C"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Mediante Comunicación </w:t>
      </w:r>
      <w:r w:rsidRPr="001E05C6">
        <w:rPr>
          <w:rFonts w:cs="Arial"/>
          <w:color w:val="000000"/>
          <w:sz w:val="22"/>
          <w:szCs w:val="22"/>
          <w:shd w:val="clear" w:color="auto" w:fill="FFFFFF"/>
        </w:rPr>
        <w:t>SG/E/SJ/1055/2018</w:t>
      </w:r>
      <w:r w:rsidR="00906C20" w:rsidRPr="001E05C6">
        <w:rPr>
          <w:rFonts w:cs="Arial"/>
          <w:color w:val="000000"/>
          <w:sz w:val="22"/>
          <w:szCs w:val="22"/>
          <w:shd w:val="clear" w:color="auto" w:fill="FFFFFF"/>
        </w:rPr>
        <w:t>,</w:t>
      </w:r>
      <w:r w:rsidR="006F3E0B" w:rsidRPr="001E05C6">
        <w:rPr>
          <w:rFonts w:cs="Arial"/>
          <w:color w:val="000000"/>
          <w:sz w:val="22"/>
          <w:szCs w:val="22"/>
          <w:shd w:val="clear" w:color="auto" w:fill="FFFFFF"/>
        </w:rPr>
        <w:t xml:space="preserve"> de fecha 6 de junio de 2018, la SGCAN dispuso, en atención a la solicitud </w:t>
      </w:r>
      <w:r w:rsidR="00906C20" w:rsidRPr="001E05C6">
        <w:rPr>
          <w:rFonts w:cs="Arial"/>
          <w:color w:val="000000"/>
          <w:sz w:val="22"/>
          <w:szCs w:val="22"/>
          <w:shd w:val="clear" w:color="auto" w:fill="FFFFFF"/>
        </w:rPr>
        <w:t>de la</w:t>
      </w:r>
      <w:r w:rsidR="006F3E0B" w:rsidRPr="001E05C6">
        <w:rPr>
          <w:rFonts w:cs="Arial"/>
          <w:color w:val="000000"/>
          <w:sz w:val="22"/>
          <w:szCs w:val="22"/>
          <w:shd w:val="clear" w:color="auto" w:fill="FFFFFF"/>
        </w:rPr>
        <w:t xml:space="preserve"> reclamante, sostener una reunión informativa el día 12 de julio de 2018. Asimismo, mediante Comunicaciones SG/E/SJ/1056/2018 y SG/E/SJ/1057/2018</w:t>
      </w:r>
      <w:r w:rsidR="0051588A" w:rsidRPr="001E05C6">
        <w:rPr>
          <w:rFonts w:cs="Arial"/>
          <w:color w:val="000000"/>
          <w:sz w:val="22"/>
          <w:szCs w:val="22"/>
          <w:shd w:val="clear" w:color="auto" w:fill="FFFFFF"/>
        </w:rPr>
        <w:t>, ambas de 6 de junio de 2018,</w:t>
      </w:r>
      <w:r w:rsidR="006F3E0B" w:rsidRPr="001E05C6">
        <w:rPr>
          <w:rFonts w:cs="Arial"/>
          <w:color w:val="000000"/>
          <w:sz w:val="22"/>
          <w:szCs w:val="22"/>
          <w:shd w:val="clear" w:color="auto" w:fill="FFFFFF"/>
        </w:rPr>
        <w:t xml:space="preserve"> se informó a la reclama</w:t>
      </w:r>
      <w:r w:rsidR="00C41E9A" w:rsidRPr="001E05C6">
        <w:rPr>
          <w:rFonts w:cs="Arial"/>
          <w:color w:val="000000"/>
          <w:sz w:val="22"/>
          <w:szCs w:val="22"/>
          <w:shd w:val="clear" w:color="auto" w:fill="FFFFFF"/>
        </w:rPr>
        <w:t>da</w:t>
      </w:r>
      <w:r w:rsidR="006F3E0B" w:rsidRPr="001E05C6">
        <w:rPr>
          <w:rFonts w:cs="Arial"/>
          <w:color w:val="000000"/>
          <w:sz w:val="22"/>
          <w:szCs w:val="22"/>
          <w:shd w:val="clear" w:color="auto" w:fill="FFFFFF"/>
        </w:rPr>
        <w:t xml:space="preserve"> y a los demás Países Miembros sobre la referida reunión.</w:t>
      </w:r>
    </w:p>
    <w:p w:rsidR="00E5632C" w:rsidRPr="001E05C6" w:rsidRDefault="00E5632C" w:rsidP="001E05C6">
      <w:pPr>
        <w:pStyle w:val="Prrafodelista"/>
        <w:spacing w:line="240" w:lineRule="auto"/>
        <w:rPr>
          <w:rFonts w:cs="Arial"/>
          <w:sz w:val="22"/>
          <w:szCs w:val="22"/>
        </w:rPr>
      </w:pPr>
    </w:p>
    <w:p w:rsidR="003F3FDD" w:rsidRPr="001E05C6" w:rsidRDefault="003F3FDD"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Con fecha 7 de junio de 2018, la SGCA</w:t>
      </w:r>
      <w:r w:rsidR="00E536BF" w:rsidRPr="001E05C6">
        <w:rPr>
          <w:rFonts w:cs="Arial"/>
          <w:sz w:val="22"/>
          <w:szCs w:val="22"/>
        </w:rPr>
        <w:t>N</w:t>
      </w:r>
      <w:r w:rsidRPr="001E05C6">
        <w:rPr>
          <w:rFonts w:cs="Arial"/>
          <w:sz w:val="22"/>
          <w:szCs w:val="22"/>
        </w:rPr>
        <w:t xml:space="preserve"> recibió la solicitud de aplazamiento de la reunión de información complementaria o facilitadora, presentada por el reclamante. En </w:t>
      </w:r>
      <w:r w:rsidR="00C41E9A" w:rsidRPr="001E05C6">
        <w:rPr>
          <w:rFonts w:cs="Arial"/>
          <w:sz w:val="22"/>
          <w:szCs w:val="22"/>
        </w:rPr>
        <w:t>virtud</w:t>
      </w:r>
      <w:r w:rsidRPr="001E05C6">
        <w:rPr>
          <w:rFonts w:cs="Arial"/>
          <w:sz w:val="22"/>
          <w:szCs w:val="22"/>
        </w:rPr>
        <w:t xml:space="preserve"> a ello, mediante Comunicación </w:t>
      </w:r>
      <w:r w:rsidR="0019444D" w:rsidRPr="001E05C6">
        <w:rPr>
          <w:rFonts w:cs="Arial"/>
          <w:color w:val="000000"/>
          <w:sz w:val="22"/>
          <w:szCs w:val="22"/>
          <w:shd w:val="clear" w:color="auto" w:fill="FFFFFF"/>
        </w:rPr>
        <w:t>SG/E/SJ/1158</w:t>
      </w:r>
      <w:r w:rsidRPr="001E05C6">
        <w:rPr>
          <w:rFonts w:cs="Arial"/>
          <w:color w:val="000000"/>
          <w:sz w:val="22"/>
          <w:szCs w:val="22"/>
          <w:shd w:val="clear" w:color="auto" w:fill="FFFFFF"/>
        </w:rPr>
        <w:t>/2018</w:t>
      </w:r>
      <w:r w:rsidR="00C41E9A" w:rsidRPr="001E05C6">
        <w:rPr>
          <w:rFonts w:cs="Arial"/>
          <w:color w:val="000000"/>
          <w:sz w:val="22"/>
          <w:szCs w:val="22"/>
          <w:shd w:val="clear" w:color="auto" w:fill="FFFFFF"/>
        </w:rPr>
        <w:t>,</w:t>
      </w:r>
      <w:r w:rsidRPr="001E05C6">
        <w:rPr>
          <w:rFonts w:cs="Arial"/>
          <w:color w:val="000000"/>
          <w:sz w:val="22"/>
          <w:szCs w:val="22"/>
          <w:shd w:val="clear" w:color="auto" w:fill="FFFFFF"/>
        </w:rPr>
        <w:t xml:space="preserve"> de fecha </w:t>
      </w:r>
      <w:r w:rsidR="0019444D" w:rsidRPr="001E05C6">
        <w:rPr>
          <w:rFonts w:cs="Arial"/>
          <w:color w:val="000000"/>
          <w:sz w:val="22"/>
          <w:szCs w:val="22"/>
          <w:shd w:val="clear" w:color="auto" w:fill="FFFFFF"/>
        </w:rPr>
        <w:t>20</w:t>
      </w:r>
      <w:r w:rsidRPr="001E05C6">
        <w:rPr>
          <w:rFonts w:cs="Arial"/>
          <w:color w:val="000000"/>
          <w:sz w:val="22"/>
          <w:szCs w:val="22"/>
          <w:shd w:val="clear" w:color="auto" w:fill="FFFFFF"/>
        </w:rPr>
        <w:t xml:space="preserve"> de junio de 2018, la SGCAN reprogramó la reunión informativa para el d</w:t>
      </w:r>
      <w:r w:rsidR="00853ACB" w:rsidRPr="001E05C6">
        <w:rPr>
          <w:rFonts w:cs="Arial"/>
          <w:color w:val="000000"/>
          <w:sz w:val="22"/>
          <w:szCs w:val="22"/>
          <w:shd w:val="clear" w:color="auto" w:fill="FFFFFF"/>
        </w:rPr>
        <w:t>ía 19 de julio de 2018, y mediante Comunicaciones SG/E/SJ/1159/2018 y SG/E/SJ/1160</w:t>
      </w:r>
      <w:r w:rsidR="00C41E9A" w:rsidRPr="001E05C6">
        <w:rPr>
          <w:rFonts w:cs="Arial"/>
          <w:color w:val="000000"/>
          <w:sz w:val="22"/>
          <w:szCs w:val="22"/>
          <w:shd w:val="clear" w:color="auto" w:fill="FFFFFF"/>
        </w:rPr>
        <w:t>/2018 se informó a la reclamada</w:t>
      </w:r>
      <w:r w:rsidR="00853ACB" w:rsidRPr="001E05C6">
        <w:rPr>
          <w:rFonts w:cs="Arial"/>
          <w:color w:val="000000"/>
          <w:sz w:val="22"/>
          <w:szCs w:val="22"/>
          <w:shd w:val="clear" w:color="auto" w:fill="FFFFFF"/>
        </w:rPr>
        <w:t xml:space="preserve"> y a los demás Países Miembros sobre la reprogramación de la reunión.</w:t>
      </w:r>
    </w:p>
    <w:p w:rsidR="0098393A" w:rsidRPr="001E05C6" w:rsidRDefault="0098393A" w:rsidP="001E05C6">
      <w:pPr>
        <w:pStyle w:val="Prrafodelista"/>
        <w:widowControl/>
        <w:adjustRightInd/>
        <w:spacing w:line="240" w:lineRule="auto"/>
        <w:ind w:left="-12"/>
        <w:contextualSpacing w:val="0"/>
        <w:textAlignment w:val="auto"/>
        <w:rPr>
          <w:rFonts w:cs="Arial"/>
          <w:sz w:val="22"/>
          <w:szCs w:val="22"/>
        </w:rPr>
      </w:pPr>
    </w:p>
    <w:p w:rsidR="003F3FDD" w:rsidRPr="001E05C6" w:rsidRDefault="0098393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Con fecha 14 de junio de 2018, la SGCA</w:t>
      </w:r>
      <w:r w:rsidR="004574A8" w:rsidRPr="001E05C6">
        <w:rPr>
          <w:rFonts w:cs="Arial"/>
          <w:sz w:val="22"/>
          <w:szCs w:val="22"/>
        </w:rPr>
        <w:t>N</w:t>
      </w:r>
      <w:r w:rsidRPr="001E05C6">
        <w:rPr>
          <w:rFonts w:cs="Arial"/>
          <w:sz w:val="22"/>
          <w:szCs w:val="22"/>
        </w:rPr>
        <w:t xml:space="preserve"> recibió el escrito “Comentarios de Telefónica del Perú a la Comunicación SG/E/1051/2018</w:t>
      </w:r>
      <w:r w:rsidR="0058397E" w:rsidRPr="001E05C6">
        <w:rPr>
          <w:rFonts w:cs="Arial"/>
          <w:sz w:val="22"/>
          <w:szCs w:val="22"/>
        </w:rPr>
        <w:t xml:space="preserve">, </w:t>
      </w:r>
      <w:r w:rsidRPr="001E05C6">
        <w:rPr>
          <w:rFonts w:cs="Arial"/>
          <w:sz w:val="22"/>
          <w:szCs w:val="22"/>
        </w:rPr>
        <w:t>mediante el cual la reclamante solicita que la SGCAN mantenga la calificación de flagrancia.</w:t>
      </w:r>
    </w:p>
    <w:p w:rsidR="0098393A" w:rsidRPr="001E05C6" w:rsidRDefault="0098393A" w:rsidP="001E05C6">
      <w:pPr>
        <w:pStyle w:val="Prrafodelista"/>
        <w:spacing w:line="240" w:lineRule="auto"/>
        <w:rPr>
          <w:rFonts w:cs="Arial"/>
          <w:sz w:val="22"/>
          <w:szCs w:val="22"/>
        </w:rPr>
      </w:pPr>
    </w:p>
    <w:p w:rsidR="0019444D" w:rsidRDefault="0019444D"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Mediante Comunicación SG/E/SJ/1146/2018</w:t>
      </w:r>
      <w:r w:rsidR="004574A8" w:rsidRPr="001E05C6">
        <w:rPr>
          <w:rFonts w:cs="Arial"/>
          <w:sz w:val="22"/>
          <w:szCs w:val="22"/>
        </w:rPr>
        <w:t>,</w:t>
      </w:r>
      <w:r w:rsidRPr="001E05C6">
        <w:rPr>
          <w:rFonts w:cs="Arial"/>
          <w:sz w:val="22"/>
          <w:szCs w:val="22"/>
        </w:rPr>
        <w:t xml:space="preserve"> de fecha 19 de junio de 2018, la SGCAN </w:t>
      </w:r>
      <w:r w:rsidR="00B82CD1" w:rsidRPr="001E05C6">
        <w:rPr>
          <w:rFonts w:cs="Arial"/>
          <w:sz w:val="22"/>
          <w:szCs w:val="22"/>
        </w:rPr>
        <w:t>atiende el escrito señalado en el párrafo anterior señalando que “[…] el supuesto incumplimiento alegado por el reclamante no resulta evidente conforme a lo señalado en el artículo 24 de la Decisión 623 y, por tanto, no podría ser considerado –</w:t>
      </w:r>
      <w:r w:rsidR="00B82CD1" w:rsidRPr="001E05C6">
        <w:rPr>
          <w:rFonts w:cs="Arial"/>
          <w:i/>
          <w:sz w:val="22"/>
          <w:szCs w:val="22"/>
        </w:rPr>
        <w:t xml:space="preserve">prima </w:t>
      </w:r>
      <w:r w:rsidR="00B82CD1" w:rsidRPr="001E05C6">
        <w:rPr>
          <w:rFonts w:cs="Arial"/>
          <w:sz w:val="22"/>
          <w:szCs w:val="22"/>
        </w:rPr>
        <w:t>facie- como flagrante.”</w:t>
      </w:r>
      <w:r w:rsidR="00B74D19" w:rsidRPr="001E05C6">
        <w:rPr>
          <w:rFonts w:cs="Arial"/>
          <w:sz w:val="22"/>
          <w:szCs w:val="22"/>
        </w:rPr>
        <w:t xml:space="preserve"> En ese sentido, se indicó que se requiere de un análisis pormenorizado del fondo, lo cual no corresponde a ese momento procedimental, ya que se podría incurrir en algún eventual adelanto de opinión; por lo que,</w:t>
      </w:r>
      <w:r w:rsidR="00B82CD1" w:rsidRPr="001E05C6">
        <w:rPr>
          <w:rFonts w:cs="Arial"/>
          <w:sz w:val="22"/>
          <w:szCs w:val="22"/>
        </w:rPr>
        <w:t xml:space="preserve"> </w:t>
      </w:r>
      <w:r w:rsidRPr="001E05C6">
        <w:rPr>
          <w:rFonts w:cs="Arial"/>
          <w:sz w:val="22"/>
          <w:szCs w:val="22"/>
        </w:rPr>
        <w:t>se reservó el derecho de pronunciarse</w:t>
      </w:r>
      <w:r w:rsidR="00B44459" w:rsidRPr="001E05C6">
        <w:rPr>
          <w:rFonts w:cs="Arial"/>
          <w:sz w:val="22"/>
          <w:szCs w:val="22"/>
        </w:rPr>
        <w:t>, mediante el presente Dictamen,</w:t>
      </w:r>
      <w:r w:rsidRPr="001E05C6">
        <w:rPr>
          <w:rFonts w:cs="Arial"/>
          <w:sz w:val="22"/>
          <w:szCs w:val="22"/>
        </w:rPr>
        <w:t xml:space="preserve"> respecto al carácter flagrante del incumplimiento </w:t>
      </w:r>
      <w:r w:rsidR="00B44459" w:rsidRPr="001E05C6">
        <w:rPr>
          <w:rFonts w:cs="Arial"/>
          <w:sz w:val="22"/>
          <w:szCs w:val="22"/>
        </w:rPr>
        <w:t>alegado por la reclamante.</w:t>
      </w:r>
    </w:p>
    <w:p w:rsidR="001E05C6" w:rsidRPr="001E05C6" w:rsidRDefault="001E05C6" w:rsidP="001E05C6">
      <w:pPr>
        <w:widowControl/>
        <w:adjustRightInd/>
        <w:spacing w:line="240" w:lineRule="auto"/>
        <w:textAlignment w:val="auto"/>
        <w:rPr>
          <w:rFonts w:cs="Arial"/>
          <w:sz w:val="22"/>
          <w:szCs w:val="22"/>
        </w:rPr>
      </w:pPr>
    </w:p>
    <w:p w:rsidR="0019444D" w:rsidRPr="001E05C6" w:rsidRDefault="0019444D" w:rsidP="001E05C6">
      <w:pPr>
        <w:spacing w:line="240" w:lineRule="auto"/>
        <w:rPr>
          <w:rFonts w:cs="Arial"/>
          <w:sz w:val="22"/>
          <w:szCs w:val="22"/>
        </w:rPr>
      </w:pPr>
    </w:p>
    <w:p w:rsidR="00164F64" w:rsidRPr="001E05C6" w:rsidRDefault="00164F64"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Con fecha 21 de junio de 2018, se recibió el correo electrónico del Ministerio de Telecomunicaciones y de la Sociedad de la Información de la República del Ecuador, mediante el cual, en referencia a la reunión informativa dispuesta por la SGCAN, consulta si es necesario contar con la participación de una delegación de dicho País Miembro en la reunión convocada. </w:t>
      </w:r>
    </w:p>
    <w:p w:rsidR="00164F64" w:rsidRPr="001E05C6" w:rsidRDefault="00164F64" w:rsidP="001E05C6">
      <w:pPr>
        <w:pStyle w:val="Prrafodelista"/>
        <w:spacing w:line="240" w:lineRule="auto"/>
        <w:rPr>
          <w:rFonts w:cs="Arial"/>
          <w:sz w:val="22"/>
          <w:szCs w:val="22"/>
        </w:rPr>
      </w:pPr>
    </w:p>
    <w:p w:rsidR="006B16F0" w:rsidRPr="001E05C6" w:rsidRDefault="00164F64"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Al respecto, mediante Comunicación SG/E/SJ/1203/2018 de 26 de junio de 2018, la SGCAN informó que de conformidad con el artículo 18 de la Decisión 623, este Órgano comunitario tiene la obligación de informar a los Países Miembros sobre las reuniones de información complementaria que convoque, las cuales tiene como finalidad recabar mayor información de las partes en la controversia. Sin perjuicio de lo anterior, se informó que de acuerdo a lo señalado en la Comunicación SG/E/SJ/1160/2018, la reunión ha sido reprogramada para el 19 de julio del año en curso.</w:t>
      </w:r>
    </w:p>
    <w:p w:rsidR="006B16F0" w:rsidRPr="001E05C6" w:rsidRDefault="006B16F0" w:rsidP="001E05C6">
      <w:pPr>
        <w:pStyle w:val="Prrafodelista"/>
        <w:spacing w:line="240" w:lineRule="auto"/>
        <w:rPr>
          <w:rFonts w:cs="Arial"/>
          <w:sz w:val="22"/>
          <w:szCs w:val="22"/>
        </w:rPr>
      </w:pPr>
    </w:p>
    <w:p w:rsidR="006D3880" w:rsidRPr="001E05C6"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Con fecha 19 de julio de 2018 se llevó a cabo la reunión informativa en la sede de la Secretaría General de la Comunidad Andina, con la participación de</w:t>
      </w:r>
      <w:r w:rsidR="0098393A" w:rsidRPr="001E05C6">
        <w:rPr>
          <w:rFonts w:cs="Arial"/>
          <w:sz w:val="22"/>
          <w:szCs w:val="22"/>
        </w:rPr>
        <w:t xml:space="preserve"> los representantes de las P</w:t>
      </w:r>
      <w:r w:rsidRPr="001E05C6">
        <w:rPr>
          <w:rFonts w:cs="Arial"/>
          <w:sz w:val="22"/>
          <w:szCs w:val="22"/>
        </w:rPr>
        <w:t xml:space="preserve">artes en el </w:t>
      </w:r>
      <w:r w:rsidR="004574A8" w:rsidRPr="001E05C6">
        <w:rPr>
          <w:rFonts w:cs="Arial"/>
          <w:sz w:val="22"/>
          <w:szCs w:val="22"/>
        </w:rPr>
        <w:t xml:space="preserve">presente </w:t>
      </w:r>
      <w:r w:rsidRPr="001E05C6">
        <w:rPr>
          <w:rFonts w:cs="Arial"/>
          <w:sz w:val="22"/>
          <w:szCs w:val="22"/>
        </w:rPr>
        <w:t>procedimiento.</w:t>
      </w:r>
    </w:p>
    <w:p w:rsidR="006D3880" w:rsidRPr="001E05C6" w:rsidRDefault="006D3880" w:rsidP="001E05C6">
      <w:pPr>
        <w:pStyle w:val="Prrafodelista"/>
        <w:spacing w:line="240" w:lineRule="auto"/>
        <w:contextualSpacing w:val="0"/>
        <w:rPr>
          <w:rFonts w:cs="Arial"/>
          <w:sz w:val="22"/>
          <w:szCs w:val="22"/>
        </w:rPr>
      </w:pPr>
    </w:p>
    <w:p w:rsidR="006D3880" w:rsidRPr="001E05C6"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Mediante Oficio No. 033-2018-MINCETUR/VMCE/DGGJCI</w:t>
      </w:r>
      <w:r w:rsidR="00370E96" w:rsidRPr="001E05C6">
        <w:rPr>
          <w:rFonts w:cs="Arial"/>
          <w:sz w:val="22"/>
          <w:szCs w:val="22"/>
        </w:rPr>
        <w:t xml:space="preserve"> de 20 julio de 2018</w:t>
      </w:r>
      <w:r w:rsidRPr="001E05C6">
        <w:rPr>
          <w:rFonts w:cs="Arial"/>
          <w:sz w:val="22"/>
          <w:szCs w:val="22"/>
        </w:rPr>
        <w:t xml:space="preserve">, recibido </w:t>
      </w:r>
      <w:r w:rsidR="00370E96" w:rsidRPr="001E05C6">
        <w:rPr>
          <w:rFonts w:cs="Arial"/>
          <w:sz w:val="22"/>
          <w:szCs w:val="22"/>
        </w:rPr>
        <w:t>en</w:t>
      </w:r>
      <w:r w:rsidRPr="001E05C6">
        <w:rPr>
          <w:rFonts w:cs="Arial"/>
          <w:sz w:val="22"/>
          <w:szCs w:val="22"/>
        </w:rPr>
        <w:t xml:space="preserve"> esta Secretaría General </w:t>
      </w:r>
      <w:r w:rsidR="00370E96" w:rsidRPr="001E05C6">
        <w:rPr>
          <w:rFonts w:cs="Arial"/>
          <w:sz w:val="22"/>
          <w:szCs w:val="22"/>
        </w:rPr>
        <w:t>en la misma fecha</w:t>
      </w:r>
      <w:r w:rsidRPr="001E05C6">
        <w:rPr>
          <w:rFonts w:cs="Arial"/>
          <w:sz w:val="22"/>
          <w:szCs w:val="22"/>
        </w:rPr>
        <w:t>, la República del Perú presentó su contestación al Reclamo</w:t>
      </w:r>
      <w:r w:rsidR="00370E96" w:rsidRPr="001E05C6">
        <w:rPr>
          <w:rFonts w:cs="Arial"/>
          <w:sz w:val="22"/>
          <w:szCs w:val="22"/>
        </w:rPr>
        <w:t xml:space="preserve">; la </w:t>
      </w:r>
      <w:r w:rsidR="003A041A" w:rsidRPr="001E05C6">
        <w:rPr>
          <w:rFonts w:cs="Arial"/>
          <w:sz w:val="22"/>
          <w:szCs w:val="22"/>
        </w:rPr>
        <w:t>que</w:t>
      </w:r>
      <w:r w:rsidR="00370E96" w:rsidRPr="001E05C6">
        <w:rPr>
          <w:rFonts w:cs="Arial"/>
          <w:sz w:val="22"/>
          <w:szCs w:val="22"/>
        </w:rPr>
        <w:t xml:space="preserve"> fue puesta en conocimiento de la reclamante </w:t>
      </w:r>
      <w:r w:rsidR="005C5D3D" w:rsidRPr="001E05C6">
        <w:rPr>
          <w:rFonts w:cs="Arial"/>
          <w:sz w:val="22"/>
          <w:szCs w:val="22"/>
        </w:rPr>
        <w:t xml:space="preserve">mediante Comunicación SG/E/1371/2018 </w:t>
      </w:r>
      <w:r w:rsidR="00370E96" w:rsidRPr="001E05C6">
        <w:rPr>
          <w:rFonts w:cs="Arial"/>
          <w:sz w:val="22"/>
          <w:szCs w:val="22"/>
        </w:rPr>
        <w:t>de 23 de julio de 2018</w:t>
      </w:r>
      <w:r w:rsidR="005C5D3D" w:rsidRPr="001E05C6">
        <w:rPr>
          <w:rFonts w:cs="Arial"/>
          <w:sz w:val="22"/>
          <w:szCs w:val="22"/>
        </w:rPr>
        <w:t>.</w:t>
      </w:r>
    </w:p>
    <w:p w:rsidR="006D3880" w:rsidRPr="001E05C6" w:rsidRDefault="006D3880" w:rsidP="001E05C6">
      <w:pPr>
        <w:spacing w:line="240" w:lineRule="auto"/>
        <w:rPr>
          <w:rFonts w:cs="Arial"/>
          <w:sz w:val="22"/>
          <w:szCs w:val="22"/>
        </w:rPr>
      </w:pPr>
    </w:p>
    <w:p w:rsidR="006D3880" w:rsidRPr="001E05C6" w:rsidRDefault="006D388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Con fecha 20 de julio de 2018 se recibió de parte de la reclamante el escrito “Conclusiones de la reunión de información complementaria o facilitadora celebrada el 19 de julio de 2018</w:t>
      </w:r>
      <w:r w:rsidR="000812DF" w:rsidRPr="001E05C6">
        <w:rPr>
          <w:rFonts w:cs="Arial"/>
          <w:sz w:val="22"/>
          <w:szCs w:val="22"/>
        </w:rPr>
        <w:t>”</w:t>
      </w:r>
      <w:r w:rsidR="003A041A" w:rsidRPr="001E05C6">
        <w:rPr>
          <w:rFonts w:cs="Arial"/>
          <w:sz w:val="22"/>
          <w:szCs w:val="22"/>
        </w:rPr>
        <w:t xml:space="preserve">; el que fue puesto en conocimiento de la reclamada </w:t>
      </w:r>
      <w:r w:rsidR="005C5D3D" w:rsidRPr="001E05C6">
        <w:rPr>
          <w:rFonts w:cs="Arial"/>
          <w:sz w:val="22"/>
          <w:szCs w:val="22"/>
        </w:rPr>
        <w:t xml:space="preserve">mediante Comunicación SG/E/1370/2018 </w:t>
      </w:r>
      <w:r w:rsidR="003A041A" w:rsidRPr="001E05C6">
        <w:rPr>
          <w:rFonts w:cs="Arial"/>
          <w:sz w:val="22"/>
          <w:szCs w:val="22"/>
        </w:rPr>
        <w:t>de 23 julio de 2018</w:t>
      </w:r>
      <w:r w:rsidR="005C5D3D" w:rsidRPr="001E05C6">
        <w:rPr>
          <w:rFonts w:cs="Arial"/>
          <w:sz w:val="22"/>
          <w:szCs w:val="22"/>
        </w:rPr>
        <w:t>.</w:t>
      </w:r>
    </w:p>
    <w:p w:rsidR="005D5557" w:rsidRDefault="005D5557" w:rsidP="001E05C6">
      <w:pPr>
        <w:spacing w:line="240" w:lineRule="auto"/>
        <w:rPr>
          <w:rFonts w:cs="Arial"/>
          <w:sz w:val="22"/>
          <w:szCs w:val="22"/>
        </w:rPr>
      </w:pPr>
    </w:p>
    <w:p w:rsidR="001E05C6" w:rsidRPr="001E05C6" w:rsidRDefault="001E05C6" w:rsidP="001E05C6">
      <w:pPr>
        <w:spacing w:line="240" w:lineRule="auto"/>
        <w:rPr>
          <w:rFonts w:cs="Arial"/>
          <w:sz w:val="22"/>
          <w:szCs w:val="22"/>
        </w:rPr>
      </w:pPr>
    </w:p>
    <w:p w:rsidR="00971FEA" w:rsidRPr="001E05C6" w:rsidRDefault="003A4773" w:rsidP="001E05C6">
      <w:pPr>
        <w:pStyle w:val="Prrafodelista"/>
        <w:widowControl/>
        <w:adjustRightInd/>
        <w:spacing w:line="240" w:lineRule="auto"/>
        <w:ind w:left="0" w:hanging="426"/>
        <w:contextualSpacing w:val="0"/>
        <w:textAlignment w:val="auto"/>
        <w:rPr>
          <w:rFonts w:cs="Arial"/>
          <w:b/>
          <w:sz w:val="22"/>
          <w:szCs w:val="22"/>
        </w:rPr>
      </w:pPr>
      <w:r w:rsidRPr="001E05C6">
        <w:rPr>
          <w:rFonts w:cs="Arial"/>
          <w:b/>
          <w:sz w:val="22"/>
          <w:szCs w:val="22"/>
        </w:rPr>
        <w:t xml:space="preserve">III. </w:t>
      </w:r>
      <w:r w:rsidRPr="001E05C6">
        <w:rPr>
          <w:rFonts w:cs="Arial"/>
          <w:b/>
          <w:sz w:val="22"/>
          <w:szCs w:val="22"/>
        </w:rPr>
        <w:tab/>
      </w:r>
      <w:r w:rsidR="00971FEA" w:rsidRPr="001E05C6">
        <w:rPr>
          <w:rFonts w:cs="Arial"/>
          <w:b/>
          <w:sz w:val="22"/>
          <w:szCs w:val="22"/>
        </w:rPr>
        <w:t xml:space="preserve">IDENTIFICACIÓN </w:t>
      </w:r>
      <w:r w:rsidR="00132FAD" w:rsidRPr="001E05C6">
        <w:rPr>
          <w:rFonts w:cs="Arial"/>
          <w:b/>
          <w:sz w:val="22"/>
          <w:szCs w:val="22"/>
        </w:rPr>
        <w:t xml:space="preserve">Y DESCRIPCIÓN </w:t>
      </w:r>
      <w:r w:rsidR="00971FEA" w:rsidRPr="001E05C6">
        <w:rPr>
          <w:rFonts w:cs="Arial"/>
          <w:b/>
          <w:sz w:val="22"/>
          <w:szCs w:val="22"/>
        </w:rPr>
        <w:t xml:space="preserve">DE LAS MEDIDAS </w:t>
      </w:r>
      <w:r w:rsidR="00132FAD" w:rsidRPr="001E05C6">
        <w:rPr>
          <w:rFonts w:cs="Arial"/>
          <w:b/>
          <w:sz w:val="22"/>
          <w:szCs w:val="22"/>
        </w:rPr>
        <w:t>O CONDUCTAS MATERIA DEL RECLAMO.-</w:t>
      </w:r>
    </w:p>
    <w:p w:rsidR="00971FEA" w:rsidRPr="001E05C6" w:rsidRDefault="00971FEA" w:rsidP="001E05C6">
      <w:pPr>
        <w:widowControl/>
        <w:adjustRightInd/>
        <w:spacing w:line="240" w:lineRule="auto"/>
        <w:textAlignment w:val="auto"/>
        <w:rPr>
          <w:rFonts w:cs="Arial"/>
          <w:sz w:val="22"/>
          <w:szCs w:val="22"/>
        </w:rPr>
      </w:pPr>
    </w:p>
    <w:p w:rsidR="00971FEA" w:rsidRPr="001E05C6" w:rsidRDefault="00EB2789"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La reclamante </w:t>
      </w:r>
      <w:r w:rsidR="00971FEA" w:rsidRPr="001E05C6">
        <w:rPr>
          <w:rFonts w:cs="Arial"/>
          <w:sz w:val="22"/>
          <w:szCs w:val="22"/>
        </w:rPr>
        <w:t xml:space="preserve">señala </w:t>
      </w:r>
      <w:r w:rsidR="00971FEA" w:rsidRPr="001E05C6">
        <w:rPr>
          <w:rFonts w:cs="Arial"/>
          <w:bCs/>
          <w:snapToGrid w:val="0"/>
          <w:sz w:val="22"/>
          <w:szCs w:val="22"/>
        </w:rPr>
        <w:t>que</w:t>
      </w:r>
      <w:r w:rsidR="004B1907" w:rsidRPr="001E05C6">
        <w:rPr>
          <w:rFonts w:cs="Arial"/>
          <w:bCs/>
          <w:snapToGrid w:val="0"/>
          <w:sz w:val="22"/>
          <w:szCs w:val="22"/>
        </w:rPr>
        <w:t xml:space="preserve"> la República del Perú, específicamente, la</w:t>
      </w:r>
      <w:r w:rsidR="004B1907" w:rsidRPr="001E05C6">
        <w:rPr>
          <w:rFonts w:cs="Arial"/>
          <w:sz w:val="22"/>
          <w:szCs w:val="22"/>
        </w:rPr>
        <w:t xml:space="preserve"> Tercera Sala de Derecho Constitucional y Social Transitoria de la Corte Suprema de Justicia</w:t>
      </w:r>
      <w:r w:rsidR="00416BD1" w:rsidRPr="001E05C6">
        <w:rPr>
          <w:rFonts w:cs="Arial"/>
          <w:sz w:val="22"/>
          <w:szCs w:val="22"/>
        </w:rPr>
        <w:t>,</w:t>
      </w:r>
      <w:r w:rsidR="00967214" w:rsidRPr="001E05C6">
        <w:rPr>
          <w:rFonts w:cs="Arial"/>
          <w:sz w:val="22"/>
          <w:szCs w:val="22"/>
        </w:rPr>
        <w:t xml:space="preserve"> </w:t>
      </w:r>
      <w:r w:rsidR="00971FEA" w:rsidRPr="001E05C6">
        <w:rPr>
          <w:rFonts w:cs="Arial"/>
          <w:bCs/>
          <w:snapToGrid w:val="0"/>
          <w:sz w:val="22"/>
          <w:szCs w:val="22"/>
        </w:rPr>
        <w:t xml:space="preserve">incumplió con solicitar interpretación </w:t>
      </w:r>
      <w:r w:rsidR="004B1907" w:rsidRPr="001E05C6">
        <w:rPr>
          <w:rFonts w:cs="Arial"/>
          <w:bCs/>
          <w:snapToGrid w:val="0"/>
          <w:sz w:val="22"/>
          <w:szCs w:val="22"/>
        </w:rPr>
        <w:t>prejudicial obligatoria al Tribunal de Justicia de la Comunidad Andina (en adelante,</w:t>
      </w:r>
      <w:r w:rsidR="00056A52" w:rsidRPr="001E05C6">
        <w:rPr>
          <w:rFonts w:cs="Arial"/>
          <w:bCs/>
          <w:snapToGrid w:val="0"/>
          <w:sz w:val="22"/>
          <w:szCs w:val="22"/>
        </w:rPr>
        <w:t xml:space="preserve"> “TJCA”)</w:t>
      </w:r>
      <w:r w:rsidR="00967214" w:rsidRPr="001E05C6">
        <w:rPr>
          <w:rFonts w:cs="Arial"/>
          <w:sz w:val="22"/>
          <w:szCs w:val="22"/>
        </w:rPr>
        <w:t xml:space="preserve">, respecto </w:t>
      </w:r>
      <w:r w:rsidR="004B1907" w:rsidRPr="001E05C6">
        <w:rPr>
          <w:rFonts w:cs="Arial"/>
          <w:bCs/>
          <w:snapToGrid w:val="0"/>
          <w:sz w:val="22"/>
          <w:szCs w:val="22"/>
        </w:rPr>
        <w:t xml:space="preserve">de las </w:t>
      </w:r>
      <w:r w:rsidR="00971FEA" w:rsidRPr="001E05C6">
        <w:rPr>
          <w:rFonts w:cs="Arial"/>
          <w:bCs/>
          <w:snapToGrid w:val="0"/>
          <w:sz w:val="22"/>
          <w:szCs w:val="22"/>
        </w:rPr>
        <w:t>siguientes normas del ordenamiento jurídico andino:</w:t>
      </w:r>
    </w:p>
    <w:p w:rsidR="00971FEA" w:rsidRPr="001E05C6" w:rsidRDefault="00971FEA" w:rsidP="001E05C6">
      <w:pPr>
        <w:tabs>
          <w:tab w:val="left" w:pos="567"/>
        </w:tabs>
        <w:spacing w:line="240" w:lineRule="auto"/>
        <w:rPr>
          <w:rFonts w:cs="Arial"/>
          <w:bCs/>
          <w:snapToGrid w:val="0"/>
          <w:sz w:val="22"/>
          <w:szCs w:val="22"/>
        </w:rPr>
      </w:pPr>
    </w:p>
    <w:p w:rsidR="00971FEA" w:rsidRPr="001E05C6" w:rsidRDefault="00416BD1" w:rsidP="001E05C6">
      <w:pPr>
        <w:pStyle w:val="Prrafodelista"/>
        <w:widowControl/>
        <w:numPr>
          <w:ilvl w:val="0"/>
          <w:numId w:val="3"/>
        </w:numPr>
        <w:tabs>
          <w:tab w:val="left" w:pos="567"/>
        </w:tabs>
        <w:adjustRightInd/>
        <w:spacing w:line="240" w:lineRule="auto"/>
        <w:ind w:left="426" w:hanging="426"/>
        <w:contextualSpacing w:val="0"/>
        <w:textAlignment w:val="auto"/>
        <w:rPr>
          <w:rFonts w:cs="Arial"/>
          <w:bCs/>
          <w:snapToGrid w:val="0"/>
          <w:sz w:val="22"/>
          <w:szCs w:val="22"/>
        </w:rPr>
      </w:pPr>
      <w:r w:rsidRPr="001E05C6">
        <w:rPr>
          <w:rFonts w:cs="Arial"/>
          <w:bCs/>
          <w:snapToGrid w:val="0"/>
          <w:sz w:val="22"/>
          <w:szCs w:val="22"/>
        </w:rPr>
        <w:t>los a</w:t>
      </w:r>
      <w:r w:rsidR="00971FEA" w:rsidRPr="001E05C6">
        <w:rPr>
          <w:rFonts w:cs="Arial"/>
          <w:bCs/>
          <w:snapToGrid w:val="0"/>
          <w:sz w:val="22"/>
          <w:szCs w:val="22"/>
        </w:rPr>
        <w:t>rtículos 1, 2 y 3 de la Decisión 462</w:t>
      </w:r>
      <w:r w:rsidR="004B1907" w:rsidRPr="001E05C6">
        <w:rPr>
          <w:rFonts w:cs="Arial"/>
          <w:bCs/>
          <w:snapToGrid w:val="0"/>
          <w:sz w:val="22"/>
          <w:szCs w:val="22"/>
        </w:rPr>
        <w:t>, “</w:t>
      </w:r>
      <w:r w:rsidR="00971FEA" w:rsidRPr="001E05C6">
        <w:rPr>
          <w:rFonts w:cs="Arial"/>
          <w:bCs/>
          <w:snapToGrid w:val="0"/>
          <w:sz w:val="22"/>
          <w:szCs w:val="22"/>
        </w:rPr>
        <w:t>Normas que regulan el Proceso de Integración y Liberación del Comercio de Servicios de Telecomunicaciones en la Comunidad Andina</w:t>
      </w:r>
      <w:r w:rsidRPr="001E05C6">
        <w:rPr>
          <w:rFonts w:cs="Arial"/>
          <w:bCs/>
          <w:snapToGrid w:val="0"/>
          <w:sz w:val="22"/>
          <w:szCs w:val="22"/>
        </w:rPr>
        <w:t>”</w:t>
      </w:r>
      <w:r w:rsidR="009931CC" w:rsidRPr="001E05C6">
        <w:rPr>
          <w:rStyle w:val="Refdenotaalpie"/>
          <w:rFonts w:cs="Arial"/>
          <w:bCs/>
          <w:snapToGrid w:val="0"/>
          <w:sz w:val="22"/>
          <w:szCs w:val="22"/>
        </w:rPr>
        <w:footnoteReference w:id="2"/>
      </w:r>
      <w:r w:rsidRPr="001E05C6">
        <w:rPr>
          <w:rFonts w:cs="Arial"/>
          <w:bCs/>
          <w:snapToGrid w:val="0"/>
          <w:sz w:val="22"/>
          <w:szCs w:val="22"/>
        </w:rPr>
        <w:t>; y,</w:t>
      </w:r>
    </w:p>
    <w:p w:rsidR="00971FEA" w:rsidRPr="001E05C6" w:rsidRDefault="00971FEA" w:rsidP="001E05C6">
      <w:pPr>
        <w:tabs>
          <w:tab w:val="left" w:pos="567"/>
        </w:tabs>
        <w:spacing w:line="240" w:lineRule="auto"/>
        <w:rPr>
          <w:rFonts w:cs="Arial"/>
          <w:bCs/>
          <w:snapToGrid w:val="0"/>
          <w:sz w:val="22"/>
          <w:szCs w:val="22"/>
        </w:rPr>
      </w:pPr>
    </w:p>
    <w:p w:rsidR="00971FEA" w:rsidRPr="001E05C6" w:rsidRDefault="00416BD1" w:rsidP="001E05C6">
      <w:pPr>
        <w:pStyle w:val="Prrafodelista"/>
        <w:widowControl/>
        <w:numPr>
          <w:ilvl w:val="0"/>
          <w:numId w:val="3"/>
        </w:numPr>
        <w:tabs>
          <w:tab w:val="left" w:pos="567"/>
        </w:tabs>
        <w:adjustRightInd/>
        <w:spacing w:line="240" w:lineRule="auto"/>
        <w:ind w:left="426" w:hanging="426"/>
        <w:contextualSpacing w:val="0"/>
        <w:textAlignment w:val="auto"/>
        <w:rPr>
          <w:rFonts w:cs="Arial"/>
          <w:bCs/>
          <w:snapToGrid w:val="0"/>
          <w:sz w:val="22"/>
          <w:szCs w:val="22"/>
        </w:rPr>
      </w:pPr>
      <w:r w:rsidRPr="001E05C6">
        <w:rPr>
          <w:rFonts w:cs="Arial"/>
          <w:bCs/>
          <w:snapToGrid w:val="0"/>
          <w:sz w:val="22"/>
          <w:szCs w:val="22"/>
        </w:rPr>
        <w:t>los a</w:t>
      </w:r>
      <w:r w:rsidR="00971FEA" w:rsidRPr="001E05C6">
        <w:rPr>
          <w:rFonts w:cs="Arial"/>
          <w:bCs/>
          <w:snapToGrid w:val="0"/>
          <w:sz w:val="22"/>
          <w:szCs w:val="22"/>
        </w:rPr>
        <w:t>rtí</w:t>
      </w:r>
      <w:r w:rsidR="004B1907" w:rsidRPr="001E05C6">
        <w:rPr>
          <w:rFonts w:cs="Arial"/>
          <w:bCs/>
          <w:snapToGrid w:val="0"/>
          <w:sz w:val="22"/>
          <w:szCs w:val="22"/>
        </w:rPr>
        <w:t>culos 1 y 5 de la Decisión 707, “</w:t>
      </w:r>
      <w:r w:rsidR="00971FEA" w:rsidRPr="001E05C6">
        <w:rPr>
          <w:rFonts w:cs="Arial"/>
          <w:bCs/>
          <w:snapToGrid w:val="0"/>
          <w:sz w:val="22"/>
          <w:szCs w:val="22"/>
        </w:rPr>
        <w:t>Registro Andino para la autorización de Satélites con Cobertura sobre Territorio de los Países Miembros de la Comunidad Andina</w:t>
      </w:r>
      <w:r w:rsidR="004B1907" w:rsidRPr="001E05C6">
        <w:rPr>
          <w:rFonts w:cs="Arial"/>
          <w:bCs/>
          <w:snapToGrid w:val="0"/>
          <w:sz w:val="22"/>
          <w:szCs w:val="22"/>
        </w:rPr>
        <w:t>”</w:t>
      </w:r>
      <w:r w:rsidR="009931CC" w:rsidRPr="001E05C6">
        <w:rPr>
          <w:rStyle w:val="Refdenotaalpie"/>
          <w:rFonts w:cs="Arial"/>
          <w:bCs/>
          <w:snapToGrid w:val="0"/>
          <w:sz w:val="22"/>
          <w:szCs w:val="22"/>
        </w:rPr>
        <w:t xml:space="preserve"> </w:t>
      </w:r>
      <w:r w:rsidR="009931CC" w:rsidRPr="001E05C6">
        <w:rPr>
          <w:rStyle w:val="Refdenotaalpie"/>
          <w:rFonts w:cs="Arial"/>
          <w:bCs/>
          <w:snapToGrid w:val="0"/>
          <w:sz w:val="22"/>
          <w:szCs w:val="22"/>
        </w:rPr>
        <w:footnoteReference w:id="3"/>
      </w:r>
      <w:r w:rsidR="00971FEA" w:rsidRPr="001E05C6">
        <w:rPr>
          <w:rFonts w:cs="Arial"/>
          <w:bCs/>
          <w:snapToGrid w:val="0"/>
          <w:sz w:val="22"/>
          <w:szCs w:val="22"/>
        </w:rPr>
        <w:t>.</w:t>
      </w:r>
    </w:p>
    <w:p w:rsidR="00971FEA" w:rsidRPr="001E05C6" w:rsidRDefault="00971FEA" w:rsidP="001E05C6">
      <w:pPr>
        <w:widowControl/>
        <w:adjustRightInd/>
        <w:spacing w:line="240" w:lineRule="auto"/>
        <w:textAlignment w:val="auto"/>
        <w:rPr>
          <w:rFonts w:cs="Arial"/>
          <w:sz w:val="22"/>
          <w:szCs w:val="22"/>
        </w:rPr>
      </w:pPr>
    </w:p>
    <w:p w:rsidR="00056A52" w:rsidRPr="001E05C6" w:rsidRDefault="00056A52"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Adicionalmente, </w:t>
      </w:r>
      <w:r w:rsidR="00EB2789" w:rsidRPr="001E05C6">
        <w:rPr>
          <w:rFonts w:cs="Arial"/>
          <w:sz w:val="22"/>
          <w:szCs w:val="22"/>
        </w:rPr>
        <w:t xml:space="preserve">la reclamante </w:t>
      </w:r>
      <w:r w:rsidRPr="001E05C6">
        <w:rPr>
          <w:rFonts w:cs="Arial"/>
          <w:sz w:val="22"/>
          <w:szCs w:val="22"/>
        </w:rPr>
        <w:t>indica que</w:t>
      </w:r>
      <w:r w:rsidRPr="001E05C6">
        <w:rPr>
          <w:rFonts w:cs="Arial"/>
          <w:bCs/>
          <w:snapToGrid w:val="0"/>
          <w:sz w:val="22"/>
          <w:szCs w:val="22"/>
        </w:rPr>
        <w:t xml:space="preserve"> la</w:t>
      </w:r>
      <w:r w:rsidRPr="001E05C6">
        <w:rPr>
          <w:rFonts w:cs="Arial"/>
          <w:sz w:val="22"/>
          <w:szCs w:val="22"/>
        </w:rPr>
        <w:t xml:space="preserve"> Corte Suprema debió tramitar, de oficio o a petición de parte, la interpretación prejudicial obligatoria del TJCA, antes de </w:t>
      </w:r>
      <w:r w:rsidR="00D34838" w:rsidRPr="001E05C6">
        <w:rPr>
          <w:rFonts w:cs="Arial"/>
          <w:sz w:val="22"/>
          <w:szCs w:val="22"/>
        </w:rPr>
        <w:t>expedir</w:t>
      </w:r>
      <w:r w:rsidRPr="001E05C6">
        <w:rPr>
          <w:rFonts w:cs="Arial"/>
          <w:sz w:val="22"/>
          <w:szCs w:val="22"/>
        </w:rPr>
        <w:t xml:space="preserve"> la Sentencia No. 474-2016 </w:t>
      </w:r>
      <w:r w:rsidR="00A25FAC" w:rsidRPr="001E05C6">
        <w:rPr>
          <w:rFonts w:cs="Arial"/>
          <w:sz w:val="22"/>
          <w:szCs w:val="22"/>
        </w:rPr>
        <w:t xml:space="preserve">de fecha 27 de septiembre de 2017; </w:t>
      </w:r>
      <w:r w:rsidRPr="001E05C6">
        <w:rPr>
          <w:rFonts w:cs="Arial"/>
          <w:sz w:val="22"/>
          <w:szCs w:val="22"/>
        </w:rPr>
        <w:t>y, para ello, suspender el proceso hasta recibir la Interpretación Prejudicial.</w:t>
      </w:r>
    </w:p>
    <w:p w:rsidR="005D5557" w:rsidRDefault="005D5557" w:rsidP="001E05C6">
      <w:pPr>
        <w:widowControl/>
        <w:adjustRightInd/>
        <w:spacing w:line="240" w:lineRule="auto"/>
        <w:textAlignment w:val="auto"/>
        <w:rPr>
          <w:rFonts w:cs="Arial"/>
          <w:b/>
          <w:bCs/>
          <w:sz w:val="22"/>
          <w:szCs w:val="22"/>
        </w:rPr>
      </w:pPr>
    </w:p>
    <w:p w:rsidR="000725EA" w:rsidRPr="001E05C6" w:rsidRDefault="000725EA" w:rsidP="001E05C6">
      <w:pPr>
        <w:widowControl/>
        <w:adjustRightInd/>
        <w:spacing w:line="240" w:lineRule="auto"/>
        <w:textAlignment w:val="auto"/>
        <w:rPr>
          <w:rFonts w:cs="Arial"/>
          <w:b/>
          <w:bCs/>
          <w:sz w:val="22"/>
          <w:szCs w:val="22"/>
        </w:rPr>
      </w:pPr>
    </w:p>
    <w:p w:rsidR="00971FEA" w:rsidRPr="001E05C6" w:rsidRDefault="00D07C60" w:rsidP="001E05C6">
      <w:pPr>
        <w:widowControl/>
        <w:adjustRightInd/>
        <w:spacing w:line="240" w:lineRule="auto"/>
        <w:ind w:hanging="426"/>
        <w:textAlignment w:val="auto"/>
        <w:rPr>
          <w:rFonts w:cs="Arial"/>
          <w:b/>
          <w:sz w:val="22"/>
          <w:szCs w:val="22"/>
        </w:rPr>
      </w:pPr>
      <w:r w:rsidRPr="001E05C6">
        <w:rPr>
          <w:rFonts w:cs="Arial"/>
          <w:b/>
          <w:bCs/>
          <w:sz w:val="22"/>
          <w:szCs w:val="22"/>
        </w:rPr>
        <w:lastRenderedPageBreak/>
        <w:t xml:space="preserve">IV. </w:t>
      </w:r>
      <w:r w:rsidRPr="001E05C6">
        <w:rPr>
          <w:rFonts w:cs="Arial"/>
          <w:b/>
          <w:bCs/>
          <w:sz w:val="22"/>
          <w:szCs w:val="22"/>
        </w:rPr>
        <w:tab/>
      </w:r>
      <w:r w:rsidR="00971FEA" w:rsidRPr="001E05C6">
        <w:rPr>
          <w:rFonts w:cs="Arial"/>
          <w:b/>
          <w:sz w:val="22"/>
          <w:szCs w:val="22"/>
        </w:rPr>
        <w:t>ARGUMENTOS DE LAS PARTES</w:t>
      </w:r>
      <w:r w:rsidR="00967214" w:rsidRPr="001E05C6">
        <w:rPr>
          <w:rFonts w:cs="Arial"/>
          <w:b/>
          <w:sz w:val="22"/>
          <w:szCs w:val="22"/>
        </w:rPr>
        <w:t>.-</w:t>
      </w:r>
    </w:p>
    <w:p w:rsidR="00971FEA" w:rsidRPr="001E05C6" w:rsidRDefault="00971FEA" w:rsidP="001E05C6">
      <w:pPr>
        <w:pStyle w:val="Prrafodelista"/>
        <w:spacing w:line="240" w:lineRule="auto"/>
        <w:ind w:left="1440"/>
        <w:contextualSpacing w:val="0"/>
        <w:rPr>
          <w:rFonts w:cs="Arial"/>
          <w:b/>
          <w:bCs/>
          <w:sz w:val="22"/>
          <w:szCs w:val="22"/>
        </w:rPr>
      </w:pPr>
    </w:p>
    <w:p w:rsidR="004D1B3C" w:rsidRPr="001E05C6" w:rsidRDefault="00971FEA" w:rsidP="001E05C6">
      <w:pPr>
        <w:pStyle w:val="NormalWeb"/>
        <w:numPr>
          <w:ilvl w:val="1"/>
          <w:numId w:val="13"/>
        </w:numPr>
        <w:spacing w:before="0" w:beforeAutospacing="0" w:after="0" w:afterAutospacing="0"/>
        <w:ind w:left="0" w:hanging="426"/>
        <w:jc w:val="both"/>
        <w:rPr>
          <w:rFonts w:ascii="Arial" w:hAnsi="Arial" w:cs="Arial"/>
          <w:b/>
          <w:bCs/>
          <w:color w:val="auto"/>
          <w:sz w:val="22"/>
          <w:szCs w:val="22"/>
        </w:rPr>
      </w:pPr>
      <w:r w:rsidRPr="001E05C6">
        <w:rPr>
          <w:rFonts w:ascii="Arial" w:hAnsi="Arial" w:cs="Arial"/>
          <w:b/>
          <w:bCs/>
          <w:color w:val="auto"/>
          <w:sz w:val="22"/>
          <w:szCs w:val="22"/>
        </w:rPr>
        <w:t>Argumentos de la Reclama</w:t>
      </w:r>
      <w:r w:rsidR="0040365A" w:rsidRPr="001E05C6">
        <w:rPr>
          <w:rFonts w:ascii="Arial" w:hAnsi="Arial" w:cs="Arial"/>
          <w:b/>
          <w:bCs/>
          <w:color w:val="auto"/>
          <w:sz w:val="22"/>
          <w:szCs w:val="22"/>
        </w:rPr>
        <w:t>nte</w:t>
      </w:r>
      <w:r w:rsidRPr="001E05C6">
        <w:rPr>
          <w:rFonts w:ascii="Arial" w:hAnsi="Arial" w:cs="Arial"/>
          <w:b/>
          <w:bCs/>
          <w:color w:val="auto"/>
          <w:sz w:val="22"/>
          <w:szCs w:val="22"/>
        </w:rPr>
        <w:t>:</w:t>
      </w:r>
    </w:p>
    <w:p w:rsidR="00B462B5" w:rsidRPr="001E05C6" w:rsidRDefault="00B462B5" w:rsidP="001E05C6">
      <w:pPr>
        <w:widowControl/>
        <w:adjustRightInd/>
        <w:spacing w:line="240" w:lineRule="auto"/>
        <w:textAlignment w:val="auto"/>
        <w:rPr>
          <w:rFonts w:cs="Arial"/>
          <w:b/>
          <w:i/>
          <w:sz w:val="22"/>
          <w:szCs w:val="22"/>
        </w:rPr>
      </w:pPr>
    </w:p>
    <w:p w:rsidR="004D1B3C" w:rsidRPr="001E05C6" w:rsidRDefault="009D38BB" w:rsidP="001E05C6">
      <w:pPr>
        <w:widowControl/>
        <w:tabs>
          <w:tab w:val="left" w:pos="567"/>
        </w:tabs>
        <w:adjustRightInd/>
        <w:spacing w:line="240" w:lineRule="auto"/>
        <w:textAlignment w:val="auto"/>
        <w:rPr>
          <w:rFonts w:cs="Arial"/>
          <w:i/>
          <w:sz w:val="22"/>
          <w:szCs w:val="22"/>
          <w:u w:val="single"/>
        </w:rPr>
      </w:pPr>
      <w:r w:rsidRPr="001E05C6">
        <w:rPr>
          <w:rFonts w:cs="Arial"/>
          <w:i/>
          <w:sz w:val="22"/>
          <w:szCs w:val="22"/>
          <w:u w:val="single"/>
        </w:rPr>
        <w:t>Escrito de reclamo</w:t>
      </w:r>
    </w:p>
    <w:p w:rsidR="00D34838" w:rsidRPr="001E05C6" w:rsidRDefault="00D34838" w:rsidP="001E05C6">
      <w:pPr>
        <w:widowControl/>
        <w:adjustRightInd/>
        <w:spacing w:line="240" w:lineRule="auto"/>
        <w:textAlignment w:val="auto"/>
        <w:rPr>
          <w:rFonts w:cs="Arial"/>
          <w:sz w:val="22"/>
          <w:szCs w:val="22"/>
        </w:rPr>
      </w:pPr>
    </w:p>
    <w:p w:rsidR="00D34838" w:rsidRPr="001E05C6" w:rsidRDefault="002A1668"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La</w:t>
      </w:r>
      <w:r w:rsidR="00EB2789" w:rsidRPr="001E05C6">
        <w:rPr>
          <w:rFonts w:cs="Arial"/>
          <w:sz w:val="22"/>
          <w:szCs w:val="22"/>
        </w:rPr>
        <w:t xml:space="preserve"> reclamante señala que la</w:t>
      </w:r>
      <w:r w:rsidRPr="001E05C6">
        <w:rPr>
          <w:rFonts w:cs="Arial"/>
          <w:sz w:val="22"/>
          <w:szCs w:val="22"/>
        </w:rPr>
        <w:t xml:space="preserve"> </w:t>
      </w:r>
      <w:r w:rsidR="00B462B5" w:rsidRPr="001E05C6">
        <w:rPr>
          <w:rFonts w:cs="Arial"/>
          <w:sz w:val="22"/>
          <w:szCs w:val="22"/>
        </w:rPr>
        <w:t>C</w:t>
      </w:r>
      <w:r w:rsidR="00D34838" w:rsidRPr="001E05C6">
        <w:rPr>
          <w:rFonts w:cs="Arial"/>
          <w:sz w:val="22"/>
          <w:szCs w:val="22"/>
        </w:rPr>
        <w:t xml:space="preserve">orte Suprema incumplió </w:t>
      </w:r>
      <w:r w:rsidR="00D0596C" w:rsidRPr="001E05C6">
        <w:rPr>
          <w:rFonts w:cs="Arial"/>
          <w:sz w:val="22"/>
          <w:szCs w:val="22"/>
        </w:rPr>
        <w:t xml:space="preserve">lo dispuesto en </w:t>
      </w:r>
      <w:r w:rsidR="00D34838" w:rsidRPr="001E05C6">
        <w:rPr>
          <w:rFonts w:cs="Arial"/>
          <w:sz w:val="22"/>
          <w:szCs w:val="22"/>
        </w:rPr>
        <w:t xml:space="preserve">el artículo 33 del Tratado de Creación del </w:t>
      </w:r>
      <w:r w:rsidR="00B462B5" w:rsidRPr="001E05C6">
        <w:rPr>
          <w:rFonts w:cs="Arial"/>
          <w:sz w:val="22"/>
          <w:szCs w:val="22"/>
        </w:rPr>
        <w:t>TJCA</w:t>
      </w:r>
      <w:r w:rsidR="000E16D1" w:rsidRPr="001E05C6">
        <w:rPr>
          <w:rFonts w:cs="Arial"/>
          <w:sz w:val="22"/>
          <w:szCs w:val="22"/>
        </w:rPr>
        <w:t xml:space="preserve"> y el artículo 123 de la Decisión 500</w:t>
      </w:r>
      <w:r w:rsidR="00D34838" w:rsidRPr="001E05C6">
        <w:rPr>
          <w:rFonts w:cs="Arial"/>
          <w:sz w:val="22"/>
          <w:szCs w:val="22"/>
        </w:rPr>
        <w:t xml:space="preserve"> al no haber tramitado la interpretación prejudicial </w:t>
      </w:r>
      <w:r w:rsidR="000E16D1" w:rsidRPr="001E05C6">
        <w:rPr>
          <w:rFonts w:cs="Arial"/>
          <w:sz w:val="22"/>
          <w:szCs w:val="22"/>
        </w:rPr>
        <w:t xml:space="preserve">obligatoria </w:t>
      </w:r>
      <w:r w:rsidR="00D34838" w:rsidRPr="001E05C6">
        <w:rPr>
          <w:rFonts w:cs="Arial"/>
          <w:sz w:val="22"/>
          <w:szCs w:val="22"/>
        </w:rPr>
        <w:t xml:space="preserve">antes de </w:t>
      </w:r>
      <w:r w:rsidRPr="001E05C6">
        <w:rPr>
          <w:rFonts w:cs="Arial"/>
          <w:sz w:val="22"/>
          <w:szCs w:val="22"/>
        </w:rPr>
        <w:t>expedir</w:t>
      </w:r>
      <w:r w:rsidR="00D34838" w:rsidRPr="001E05C6">
        <w:rPr>
          <w:rFonts w:cs="Arial"/>
          <w:sz w:val="22"/>
          <w:szCs w:val="22"/>
        </w:rPr>
        <w:t xml:space="preserve"> la </w:t>
      </w:r>
      <w:r w:rsidR="000E16D1" w:rsidRPr="001E05C6">
        <w:rPr>
          <w:rFonts w:cs="Arial"/>
          <w:sz w:val="22"/>
          <w:szCs w:val="22"/>
        </w:rPr>
        <w:t>s</w:t>
      </w:r>
      <w:r w:rsidR="00D34838" w:rsidRPr="001E05C6">
        <w:rPr>
          <w:rFonts w:cs="Arial"/>
          <w:sz w:val="22"/>
          <w:szCs w:val="22"/>
        </w:rPr>
        <w:t>entencia</w:t>
      </w:r>
      <w:r w:rsidR="000E16D1" w:rsidRPr="001E05C6">
        <w:rPr>
          <w:rFonts w:cs="Arial"/>
          <w:sz w:val="22"/>
          <w:szCs w:val="22"/>
        </w:rPr>
        <w:t xml:space="preserve"> del 27 de septiembre de 2017</w:t>
      </w:r>
      <w:r w:rsidR="00D34838" w:rsidRPr="001E05C6">
        <w:rPr>
          <w:rFonts w:cs="Arial"/>
          <w:sz w:val="22"/>
          <w:szCs w:val="22"/>
        </w:rPr>
        <w:t>, dentro del trámite del recurso extraordinario de casación</w:t>
      </w:r>
      <w:r w:rsidRPr="001E05C6">
        <w:rPr>
          <w:rFonts w:cs="Arial"/>
          <w:sz w:val="22"/>
          <w:szCs w:val="22"/>
        </w:rPr>
        <w:t>,</w:t>
      </w:r>
      <w:r w:rsidR="00D34838" w:rsidRPr="001E05C6">
        <w:rPr>
          <w:rFonts w:cs="Arial"/>
          <w:sz w:val="22"/>
          <w:szCs w:val="22"/>
        </w:rPr>
        <w:t xml:space="preserve"> en el que se debieron aplicar </w:t>
      </w:r>
      <w:r w:rsidR="000E16D1" w:rsidRPr="001E05C6">
        <w:rPr>
          <w:rFonts w:cs="Arial"/>
          <w:sz w:val="22"/>
          <w:szCs w:val="22"/>
        </w:rPr>
        <w:t xml:space="preserve">varias </w:t>
      </w:r>
      <w:r w:rsidR="00D34838" w:rsidRPr="001E05C6">
        <w:rPr>
          <w:rFonts w:cs="Arial"/>
          <w:sz w:val="22"/>
          <w:szCs w:val="22"/>
        </w:rPr>
        <w:t>normas del ordenamiento andino</w:t>
      </w:r>
      <w:r w:rsidR="000E16D1" w:rsidRPr="001E05C6">
        <w:rPr>
          <w:rFonts w:cs="Arial"/>
          <w:sz w:val="22"/>
          <w:szCs w:val="22"/>
        </w:rPr>
        <w:t>, especialmente los artículo 1, 2 y 3 de la Decisión 462 y de los artículos 1 y 5 de la Decisión 707</w:t>
      </w:r>
      <w:r w:rsidR="00A148D9" w:rsidRPr="001E05C6">
        <w:rPr>
          <w:rFonts w:cs="Arial"/>
          <w:sz w:val="22"/>
          <w:szCs w:val="22"/>
        </w:rPr>
        <w:t>.</w:t>
      </w:r>
      <w:r w:rsidR="000E16D1" w:rsidRPr="001E05C6">
        <w:rPr>
          <w:rStyle w:val="Refdenotaalpie"/>
          <w:rFonts w:cs="Arial"/>
          <w:sz w:val="22"/>
          <w:szCs w:val="22"/>
        </w:rPr>
        <w:footnoteReference w:id="4"/>
      </w:r>
    </w:p>
    <w:p w:rsidR="00D34838" w:rsidRPr="001E05C6" w:rsidRDefault="00D34838" w:rsidP="001E05C6">
      <w:pPr>
        <w:pStyle w:val="Prrafodelista"/>
        <w:spacing w:line="240" w:lineRule="auto"/>
        <w:contextualSpacing w:val="0"/>
        <w:rPr>
          <w:rFonts w:cs="Arial"/>
          <w:sz w:val="22"/>
          <w:szCs w:val="22"/>
        </w:rPr>
      </w:pPr>
    </w:p>
    <w:p w:rsidR="00CA6A51" w:rsidRPr="001E05C6" w:rsidRDefault="00D34838"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La reclamante manifiesta que la Corte Suprema </w:t>
      </w:r>
      <w:r w:rsidR="00ED7A13" w:rsidRPr="001E05C6">
        <w:rPr>
          <w:rFonts w:cs="Arial"/>
          <w:sz w:val="22"/>
          <w:szCs w:val="22"/>
        </w:rPr>
        <w:t>incumplió</w:t>
      </w:r>
      <w:r w:rsidRPr="001E05C6">
        <w:rPr>
          <w:rFonts w:cs="Arial"/>
          <w:sz w:val="22"/>
          <w:szCs w:val="22"/>
        </w:rPr>
        <w:t xml:space="preserve"> lo señalado en los artículo</w:t>
      </w:r>
      <w:r w:rsidR="004377FF" w:rsidRPr="001E05C6">
        <w:rPr>
          <w:rFonts w:cs="Arial"/>
          <w:sz w:val="22"/>
          <w:szCs w:val="22"/>
        </w:rPr>
        <w:t>s</w:t>
      </w:r>
      <w:r w:rsidRPr="001E05C6">
        <w:rPr>
          <w:rFonts w:cs="Arial"/>
          <w:sz w:val="22"/>
          <w:szCs w:val="22"/>
        </w:rPr>
        <w:t xml:space="preserve"> 35 y 36</w:t>
      </w:r>
      <w:r w:rsidR="004377FF" w:rsidRPr="001E05C6">
        <w:rPr>
          <w:rFonts w:cs="Arial"/>
          <w:sz w:val="22"/>
          <w:szCs w:val="22"/>
        </w:rPr>
        <w:t xml:space="preserve"> del Tratado de Creación del </w:t>
      </w:r>
      <w:r w:rsidR="00B462B5" w:rsidRPr="001E05C6">
        <w:rPr>
          <w:rFonts w:cs="Arial"/>
          <w:sz w:val="22"/>
          <w:szCs w:val="22"/>
        </w:rPr>
        <w:t>TJCA</w:t>
      </w:r>
      <w:r w:rsidR="004377FF" w:rsidRPr="001E05C6">
        <w:rPr>
          <w:rFonts w:cs="Arial"/>
          <w:sz w:val="22"/>
          <w:szCs w:val="22"/>
        </w:rPr>
        <w:t>, y los artículos 127 y 128 de la Decisión 500, pues</w:t>
      </w:r>
      <w:r w:rsidR="00ED7A13" w:rsidRPr="001E05C6">
        <w:rPr>
          <w:rFonts w:cs="Arial"/>
          <w:sz w:val="22"/>
          <w:szCs w:val="22"/>
        </w:rPr>
        <w:t>,</w:t>
      </w:r>
      <w:r w:rsidR="004377FF" w:rsidRPr="001E05C6">
        <w:rPr>
          <w:rFonts w:cs="Arial"/>
          <w:sz w:val="22"/>
          <w:szCs w:val="22"/>
        </w:rPr>
        <w:t xml:space="preserve"> al no haber tramitado la interpretación prejudicial</w:t>
      </w:r>
      <w:r w:rsidR="00ED7A13" w:rsidRPr="001E05C6">
        <w:rPr>
          <w:rFonts w:cs="Arial"/>
          <w:sz w:val="22"/>
          <w:szCs w:val="22"/>
        </w:rPr>
        <w:t>,</w:t>
      </w:r>
      <w:r w:rsidR="004377FF" w:rsidRPr="001E05C6">
        <w:rPr>
          <w:rFonts w:cs="Arial"/>
          <w:sz w:val="22"/>
          <w:szCs w:val="22"/>
        </w:rPr>
        <w:t xml:space="preserve"> no cumplió con la obligaci</w:t>
      </w:r>
      <w:r w:rsidR="00CA6A51" w:rsidRPr="001E05C6">
        <w:rPr>
          <w:rFonts w:cs="Arial"/>
          <w:sz w:val="22"/>
          <w:szCs w:val="22"/>
        </w:rPr>
        <w:t>ón de adoptarla en su sentencia</w:t>
      </w:r>
      <w:r w:rsidR="00B462B5" w:rsidRPr="001E05C6">
        <w:rPr>
          <w:rFonts w:cs="Arial"/>
          <w:sz w:val="22"/>
          <w:szCs w:val="22"/>
        </w:rPr>
        <w:t>.</w:t>
      </w:r>
      <w:r w:rsidR="000E16D1" w:rsidRPr="001E05C6">
        <w:rPr>
          <w:rFonts w:cs="Arial"/>
          <w:sz w:val="22"/>
          <w:szCs w:val="22"/>
        </w:rPr>
        <w:t xml:space="preserve"> Tampoco cumplió con su obligación de velar por el cumplimiento de las disposiciones de dicho Tratado, y no observó lo establecido en el mismo como juez o tribunal nacional; y menos aún cumplió con la obligación de enviar la sentencia que emitió al TJCA.</w:t>
      </w:r>
      <w:r w:rsidR="000E16D1" w:rsidRPr="001E05C6">
        <w:rPr>
          <w:rStyle w:val="Refdenotaalpie"/>
          <w:rFonts w:cs="Arial"/>
          <w:sz w:val="22"/>
          <w:szCs w:val="22"/>
        </w:rPr>
        <w:t xml:space="preserve"> </w:t>
      </w:r>
      <w:r w:rsidR="000E16D1" w:rsidRPr="001E05C6">
        <w:rPr>
          <w:rStyle w:val="Refdenotaalpie"/>
          <w:rFonts w:cs="Arial"/>
          <w:sz w:val="22"/>
          <w:szCs w:val="22"/>
        </w:rPr>
        <w:footnoteReference w:id="5"/>
      </w:r>
    </w:p>
    <w:p w:rsidR="00CA6A51" w:rsidRPr="001E05C6" w:rsidRDefault="00CA6A51" w:rsidP="001E05C6">
      <w:pPr>
        <w:pStyle w:val="Prrafodelista"/>
        <w:spacing w:line="240" w:lineRule="auto"/>
        <w:contextualSpacing w:val="0"/>
        <w:rPr>
          <w:rFonts w:cs="Arial"/>
          <w:sz w:val="22"/>
          <w:szCs w:val="22"/>
        </w:rPr>
      </w:pPr>
    </w:p>
    <w:p w:rsidR="00B462B5" w:rsidRPr="001E05C6" w:rsidRDefault="00CA6A51"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Adicionalmente, la reclamante precisa que la importancia de la interpretación prejudicial obligatoria radica en que la resolución de la controversia en sede nacional se centraría en determinar si la </w:t>
      </w:r>
      <w:r w:rsidR="00706693" w:rsidRPr="001E05C6">
        <w:rPr>
          <w:rFonts w:cs="Arial"/>
          <w:sz w:val="22"/>
          <w:szCs w:val="22"/>
        </w:rPr>
        <w:t xml:space="preserve">provisión de </w:t>
      </w:r>
      <w:r w:rsidRPr="001E05C6">
        <w:rPr>
          <w:rFonts w:cs="Arial"/>
          <w:sz w:val="22"/>
          <w:szCs w:val="22"/>
        </w:rPr>
        <w:t>capacidad satelital debe ser considerada un servicio prestado fuera del territorio peruano</w:t>
      </w:r>
      <w:r w:rsidR="00031932" w:rsidRPr="001E05C6">
        <w:rPr>
          <w:rFonts w:cs="Arial"/>
          <w:sz w:val="22"/>
          <w:szCs w:val="22"/>
        </w:rPr>
        <w:t xml:space="preserve"> (en atención a lo dispuesto en las Decisiones 462 y 707)</w:t>
      </w:r>
      <w:r w:rsidRPr="001E05C6">
        <w:rPr>
          <w:rFonts w:cs="Arial"/>
          <w:sz w:val="22"/>
          <w:szCs w:val="22"/>
        </w:rPr>
        <w:t xml:space="preserve"> y, por tanto, no afecto al Impuesto a la Renta</w:t>
      </w:r>
      <w:r w:rsidR="00ED7A13" w:rsidRPr="001E05C6">
        <w:rPr>
          <w:rFonts w:cs="Arial"/>
          <w:sz w:val="22"/>
          <w:szCs w:val="22"/>
        </w:rPr>
        <w:t xml:space="preserve"> </w:t>
      </w:r>
      <w:r w:rsidR="00D0596C" w:rsidRPr="001E05C6">
        <w:rPr>
          <w:rFonts w:cs="Arial"/>
          <w:sz w:val="22"/>
          <w:szCs w:val="22"/>
        </w:rPr>
        <w:t>(</w:t>
      </w:r>
      <w:r w:rsidR="00ED7A13" w:rsidRPr="001E05C6">
        <w:rPr>
          <w:rFonts w:cs="Arial"/>
          <w:sz w:val="22"/>
          <w:szCs w:val="22"/>
        </w:rPr>
        <w:t>según la legislación nacional peruana</w:t>
      </w:r>
      <w:r w:rsidR="00D0596C" w:rsidRPr="001E05C6">
        <w:rPr>
          <w:rFonts w:cs="Arial"/>
          <w:sz w:val="22"/>
          <w:szCs w:val="22"/>
        </w:rPr>
        <w:t>)</w:t>
      </w:r>
      <w:r w:rsidRPr="001E05C6">
        <w:rPr>
          <w:rFonts w:cs="Arial"/>
          <w:sz w:val="22"/>
          <w:szCs w:val="22"/>
        </w:rPr>
        <w:t xml:space="preserve">; o si, por el contrario, sería una cesión en uso de bienes intangibles utilizados en el país y, en consecuencia, afecto al impuesto a la renta </w:t>
      </w:r>
      <w:r w:rsidR="00D0596C" w:rsidRPr="001E05C6">
        <w:rPr>
          <w:rFonts w:cs="Arial"/>
          <w:sz w:val="22"/>
          <w:szCs w:val="22"/>
        </w:rPr>
        <w:t>(</w:t>
      </w:r>
      <w:r w:rsidRPr="001E05C6">
        <w:rPr>
          <w:rFonts w:cs="Arial"/>
          <w:sz w:val="22"/>
          <w:szCs w:val="22"/>
        </w:rPr>
        <w:t>conforme a la legislación nacional del Perú</w:t>
      </w:r>
      <w:r w:rsidR="00D0596C" w:rsidRPr="001E05C6">
        <w:rPr>
          <w:rFonts w:cs="Arial"/>
          <w:sz w:val="22"/>
          <w:szCs w:val="22"/>
        </w:rPr>
        <w:t>)</w:t>
      </w:r>
      <w:r w:rsidRPr="001E05C6">
        <w:rPr>
          <w:rFonts w:cs="Arial"/>
          <w:sz w:val="22"/>
          <w:szCs w:val="22"/>
        </w:rPr>
        <w:t>.</w:t>
      </w:r>
      <w:r w:rsidR="00274650" w:rsidRPr="001E05C6">
        <w:rPr>
          <w:rStyle w:val="Refdenotaalpie"/>
          <w:rFonts w:cs="Arial"/>
          <w:sz w:val="22"/>
          <w:szCs w:val="22"/>
        </w:rPr>
        <w:t xml:space="preserve"> </w:t>
      </w:r>
      <w:r w:rsidR="00274650" w:rsidRPr="001E05C6">
        <w:rPr>
          <w:rStyle w:val="Refdenotaalpie"/>
          <w:rFonts w:cs="Arial"/>
          <w:sz w:val="22"/>
          <w:szCs w:val="22"/>
        </w:rPr>
        <w:footnoteReference w:id="6"/>
      </w:r>
      <w:r w:rsidR="00B462B5" w:rsidRPr="001E05C6">
        <w:rPr>
          <w:rFonts w:cs="Arial"/>
          <w:sz w:val="22"/>
          <w:szCs w:val="22"/>
        </w:rPr>
        <w:t xml:space="preserve"> </w:t>
      </w:r>
    </w:p>
    <w:p w:rsidR="00CA6A51" w:rsidRPr="001E05C6" w:rsidRDefault="00CA6A51" w:rsidP="001E05C6">
      <w:pPr>
        <w:spacing w:line="240" w:lineRule="auto"/>
        <w:rPr>
          <w:rFonts w:cs="Arial"/>
          <w:sz w:val="22"/>
          <w:szCs w:val="22"/>
        </w:rPr>
      </w:pPr>
    </w:p>
    <w:p w:rsidR="00875E96" w:rsidRPr="001E05C6" w:rsidRDefault="00875E96"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La reclam</w:t>
      </w:r>
      <w:r w:rsidR="00B462B5" w:rsidRPr="001E05C6">
        <w:rPr>
          <w:rFonts w:cs="Arial"/>
          <w:sz w:val="22"/>
          <w:szCs w:val="22"/>
        </w:rPr>
        <w:t>ante indica</w:t>
      </w:r>
      <w:r w:rsidRPr="001E05C6">
        <w:rPr>
          <w:rFonts w:cs="Arial"/>
          <w:sz w:val="22"/>
          <w:szCs w:val="22"/>
        </w:rPr>
        <w:t xml:space="preserve"> que en ochenta y cinco (85) fallos</w:t>
      </w:r>
      <w:r w:rsidR="00084E1B" w:rsidRPr="001E05C6">
        <w:rPr>
          <w:rFonts w:cs="Arial"/>
          <w:sz w:val="22"/>
          <w:szCs w:val="22"/>
        </w:rPr>
        <w:t xml:space="preserve"> del TJCA </w:t>
      </w:r>
      <w:r w:rsidR="00ED7A13" w:rsidRPr="001E05C6">
        <w:rPr>
          <w:rFonts w:cs="Arial"/>
          <w:sz w:val="22"/>
          <w:szCs w:val="22"/>
        </w:rPr>
        <w:t xml:space="preserve">se </w:t>
      </w:r>
      <w:r w:rsidRPr="001E05C6">
        <w:rPr>
          <w:rFonts w:cs="Arial"/>
          <w:sz w:val="22"/>
          <w:szCs w:val="22"/>
        </w:rPr>
        <w:t xml:space="preserve">ha señalado que el juez nacional está obligado a suspender el proceso cuando </w:t>
      </w:r>
      <w:r w:rsidR="00084E1B" w:rsidRPr="001E05C6">
        <w:rPr>
          <w:rFonts w:cs="Arial"/>
          <w:sz w:val="22"/>
          <w:szCs w:val="22"/>
        </w:rPr>
        <w:t>se encuentra</w:t>
      </w:r>
      <w:r w:rsidRPr="001E05C6">
        <w:rPr>
          <w:rFonts w:cs="Arial"/>
          <w:sz w:val="22"/>
          <w:szCs w:val="22"/>
        </w:rPr>
        <w:t xml:space="preserve"> obligado a tramitar la interpretación prejudicial.</w:t>
      </w:r>
      <w:r w:rsidR="00B462B5" w:rsidRPr="001E05C6">
        <w:rPr>
          <w:rFonts w:cs="Arial"/>
          <w:sz w:val="22"/>
          <w:szCs w:val="22"/>
        </w:rPr>
        <w:t xml:space="preserve"> </w:t>
      </w:r>
      <w:r w:rsidR="00EB2789" w:rsidRPr="001E05C6">
        <w:rPr>
          <w:rFonts w:cs="Arial"/>
          <w:sz w:val="22"/>
          <w:szCs w:val="22"/>
        </w:rPr>
        <w:t>Adicionalmente</w:t>
      </w:r>
      <w:r w:rsidR="00B462B5" w:rsidRPr="001E05C6">
        <w:rPr>
          <w:rFonts w:cs="Arial"/>
          <w:sz w:val="22"/>
          <w:szCs w:val="22"/>
        </w:rPr>
        <w:t xml:space="preserve">, la reclamante cita </w:t>
      </w:r>
      <w:r w:rsidR="00DC51A3" w:rsidRPr="001E05C6">
        <w:rPr>
          <w:rFonts w:cs="Arial"/>
          <w:sz w:val="22"/>
          <w:szCs w:val="22"/>
        </w:rPr>
        <w:t>la Interpretación Prejudicial del Proceso</w:t>
      </w:r>
      <w:r w:rsidR="00B462B5" w:rsidRPr="001E05C6">
        <w:rPr>
          <w:rFonts w:cs="Arial"/>
          <w:sz w:val="22"/>
          <w:szCs w:val="22"/>
        </w:rPr>
        <w:t xml:space="preserve"> 89-IP-2013, para sustentar</w:t>
      </w:r>
      <w:r w:rsidR="00084E1B" w:rsidRPr="001E05C6">
        <w:rPr>
          <w:rFonts w:cs="Arial"/>
          <w:sz w:val="22"/>
          <w:szCs w:val="22"/>
        </w:rPr>
        <w:t xml:space="preserve"> que para resolver la controversia er</w:t>
      </w:r>
      <w:r w:rsidR="00DD2CE1" w:rsidRPr="001E05C6">
        <w:rPr>
          <w:rFonts w:cs="Arial"/>
          <w:sz w:val="22"/>
          <w:szCs w:val="22"/>
        </w:rPr>
        <w:t>a necesario que el TJCA emitiera</w:t>
      </w:r>
      <w:r w:rsidR="00084E1B" w:rsidRPr="001E05C6">
        <w:rPr>
          <w:rFonts w:cs="Arial"/>
          <w:sz w:val="22"/>
          <w:szCs w:val="22"/>
        </w:rPr>
        <w:t xml:space="preserve"> interpretación prejudicial acer</w:t>
      </w:r>
      <w:r w:rsidR="00ED7A13" w:rsidRPr="001E05C6">
        <w:rPr>
          <w:rFonts w:cs="Arial"/>
          <w:sz w:val="22"/>
          <w:szCs w:val="22"/>
        </w:rPr>
        <w:t>c</w:t>
      </w:r>
      <w:r w:rsidR="00084E1B" w:rsidRPr="001E05C6">
        <w:rPr>
          <w:rFonts w:cs="Arial"/>
          <w:sz w:val="22"/>
          <w:szCs w:val="22"/>
        </w:rPr>
        <w:t>a de</w:t>
      </w:r>
      <w:r w:rsidR="00B462B5" w:rsidRPr="001E05C6">
        <w:rPr>
          <w:rFonts w:cs="Arial"/>
          <w:sz w:val="22"/>
          <w:szCs w:val="22"/>
        </w:rPr>
        <w:t xml:space="preserve"> la aplicación</w:t>
      </w:r>
      <w:r w:rsidR="00DC51A3" w:rsidRPr="001E05C6">
        <w:rPr>
          <w:rFonts w:cs="Arial"/>
          <w:sz w:val="22"/>
          <w:szCs w:val="22"/>
        </w:rPr>
        <w:t xml:space="preserve"> uniforme de la Decisión 462</w:t>
      </w:r>
      <w:r w:rsidR="00B462B5" w:rsidRPr="001E05C6">
        <w:rPr>
          <w:rFonts w:cs="Arial"/>
          <w:sz w:val="22"/>
          <w:szCs w:val="22"/>
        </w:rPr>
        <w:t>.</w:t>
      </w:r>
      <w:r w:rsidR="005B6A77" w:rsidRPr="001E05C6">
        <w:rPr>
          <w:rStyle w:val="Refdenotaalpie"/>
          <w:rFonts w:cs="Arial"/>
          <w:sz w:val="22"/>
          <w:szCs w:val="22"/>
        </w:rPr>
        <w:t xml:space="preserve"> </w:t>
      </w:r>
      <w:r w:rsidR="005B6A77" w:rsidRPr="001E05C6">
        <w:rPr>
          <w:rStyle w:val="Refdenotaalpie"/>
          <w:rFonts w:cs="Arial"/>
          <w:sz w:val="22"/>
          <w:szCs w:val="22"/>
        </w:rPr>
        <w:footnoteReference w:id="7"/>
      </w:r>
    </w:p>
    <w:p w:rsidR="002A1668" w:rsidRPr="001E05C6" w:rsidRDefault="002A1668" w:rsidP="001E05C6">
      <w:pPr>
        <w:widowControl/>
        <w:adjustRightInd/>
        <w:spacing w:line="240" w:lineRule="auto"/>
        <w:textAlignment w:val="auto"/>
        <w:rPr>
          <w:rFonts w:cs="Arial"/>
          <w:sz w:val="22"/>
          <w:szCs w:val="22"/>
        </w:rPr>
      </w:pPr>
    </w:p>
    <w:p w:rsidR="002A1668" w:rsidRPr="001E05C6" w:rsidRDefault="002A1668"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Por otro lado, indica que la Corte Suprema al no haber dispuesto y tramitado la interpretación prejudicial obligatoria incumplió sus obligaciones de hacer, vulnerando lo dispuesto en el artículo 4 del Tratado de Creación del Tribunal de Justicia de la Comunidad Andina.</w:t>
      </w:r>
      <w:r w:rsidR="003D603D" w:rsidRPr="001E05C6">
        <w:rPr>
          <w:rStyle w:val="Refdenotaalpie"/>
          <w:rFonts w:cs="Arial"/>
          <w:sz w:val="22"/>
          <w:szCs w:val="22"/>
        </w:rPr>
        <w:t xml:space="preserve"> </w:t>
      </w:r>
      <w:r w:rsidR="003D603D" w:rsidRPr="001E05C6">
        <w:rPr>
          <w:rStyle w:val="Refdenotaalpie"/>
          <w:rFonts w:cs="Arial"/>
          <w:sz w:val="22"/>
          <w:szCs w:val="22"/>
        </w:rPr>
        <w:footnoteReference w:id="8"/>
      </w:r>
    </w:p>
    <w:p w:rsidR="00CA6A51" w:rsidRPr="001E05C6" w:rsidRDefault="00CA6A51" w:rsidP="001E05C6">
      <w:pPr>
        <w:widowControl/>
        <w:adjustRightInd/>
        <w:spacing w:line="240" w:lineRule="auto"/>
        <w:textAlignment w:val="auto"/>
        <w:rPr>
          <w:rFonts w:cs="Arial"/>
          <w:b/>
          <w:i/>
          <w:sz w:val="22"/>
          <w:szCs w:val="22"/>
        </w:rPr>
      </w:pPr>
    </w:p>
    <w:p w:rsidR="004D1B3C" w:rsidRPr="001E05C6" w:rsidRDefault="004D1B3C" w:rsidP="001E05C6">
      <w:pPr>
        <w:widowControl/>
        <w:adjustRightInd/>
        <w:spacing w:line="240" w:lineRule="auto"/>
        <w:textAlignment w:val="auto"/>
        <w:rPr>
          <w:rFonts w:cs="Arial"/>
          <w:i/>
          <w:sz w:val="22"/>
          <w:szCs w:val="22"/>
          <w:u w:val="single"/>
        </w:rPr>
      </w:pPr>
      <w:r w:rsidRPr="001E05C6">
        <w:rPr>
          <w:rFonts w:cs="Arial"/>
          <w:i/>
          <w:sz w:val="22"/>
          <w:szCs w:val="22"/>
          <w:u w:val="single"/>
        </w:rPr>
        <w:t>Escrito “</w:t>
      </w:r>
      <w:r w:rsidR="005D6E8C" w:rsidRPr="001E05C6">
        <w:rPr>
          <w:rFonts w:cs="Arial"/>
          <w:i/>
          <w:sz w:val="22"/>
          <w:szCs w:val="22"/>
          <w:u w:val="single"/>
        </w:rPr>
        <w:t>C</w:t>
      </w:r>
      <w:r w:rsidRPr="001E05C6">
        <w:rPr>
          <w:rFonts w:cs="Arial"/>
          <w:i/>
          <w:sz w:val="22"/>
          <w:szCs w:val="22"/>
          <w:u w:val="single"/>
        </w:rPr>
        <w:t>omentarios de Telefónica del Perú a la Comunicación SG/E/SJ/1051/2018 por la cual se retiró la calificación de flagrancia</w:t>
      </w:r>
      <w:r w:rsidRPr="001E05C6">
        <w:rPr>
          <w:rFonts w:cs="Arial"/>
          <w:sz w:val="22"/>
          <w:szCs w:val="22"/>
        </w:rPr>
        <w:t>”</w:t>
      </w:r>
    </w:p>
    <w:p w:rsidR="004D1B3C" w:rsidRPr="001E05C6" w:rsidRDefault="004D1B3C" w:rsidP="001E05C6">
      <w:pPr>
        <w:pStyle w:val="Prrafodelista"/>
        <w:widowControl/>
        <w:adjustRightInd/>
        <w:spacing w:line="240" w:lineRule="auto"/>
        <w:ind w:left="-12"/>
        <w:contextualSpacing w:val="0"/>
        <w:textAlignment w:val="auto"/>
        <w:rPr>
          <w:rFonts w:cs="Arial"/>
          <w:b/>
          <w:i/>
          <w:sz w:val="22"/>
          <w:szCs w:val="22"/>
        </w:rPr>
      </w:pPr>
    </w:p>
    <w:p w:rsidR="00AC01F1" w:rsidRPr="001E05C6" w:rsidRDefault="004D1B3C" w:rsidP="001E05C6">
      <w:pPr>
        <w:pStyle w:val="Prrafodelista"/>
        <w:widowControl/>
        <w:numPr>
          <w:ilvl w:val="0"/>
          <w:numId w:val="2"/>
        </w:numPr>
        <w:adjustRightInd/>
        <w:spacing w:line="240" w:lineRule="auto"/>
        <w:ind w:left="-12" w:hanging="414"/>
        <w:contextualSpacing w:val="0"/>
        <w:textAlignment w:val="auto"/>
        <w:rPr>
          <w:rFonts w:cs="Arial"/>
          <w:b/>
          <w:i/>
          <w:sz w:val="22"/>
          <w:szCs w:val="22"/>
        </w:rPr>
      </w:pPr>
      <w:r w:rsidRPr="001E05C6">
        <w:rPr>
          <w:rFonts w:cs="Arial"/>
          <w:sz w:val="22"/>
          <w:szCs w:val="22"/>
        </w:rPr>
        <w:t xml:space="preserve">La reclamante </w:t>
      </w:r>
      <w:r w:rsidR="00AC01F1" w:rsidRPr="001E05C6">
        <w:rPr>
          <w:rFonts w:cs="Arial"/>
          <w:sz w:val="22"/>
          <w:szCs w:val="22"/>
        </w:rPr>
        <w:t>alegó</w:t>
      </w:r>
      <w:r w:rsidRPr="001E05C6">
        <w:rPr>
          <w:rFonts w:cs="Arial"/>
          <w:sz w:val="22"/>
          <w:szCs w:val="22"/>
        </w:rPr>
        <w:t xml:space="preserve"> que el reclamo recae sobre aspectos sustantivos</w:t>
      </w:r>
      <w:r w:rsidR="00D9194F" w:rsidRPr="001E05C6">
        <w:rPr>
          <w:rStyle w:val="Refdenotaalpie"/>
          <w:rFonts w:cs="Arial"/>
          <w:sz w:val="22"/>
          <w:szCs w:val="22"/>
        </w:rPr>
        <w:footnoteReference w:id="9"/>
      </w:r>
      <w:r w:rsidRPr="001E05C6">
        <w:rPr>
          <w:rFonts w:cs="Arial"/>
          <w:sz w:val="22"/>
          <w:szCs w:val="22"/>
        </w:rPr>
        <w:t xml:space="preserve"> sobre los cuales el </w:t>
      </w:r>
      <w:r w:rsidR="00AC01F1" w:rsidRPr="001E05C6">
        <w:rPr>
          <w:rFonts w:cs="Arial"/>
          <w:sz w:val="22"/>
          <w:szCs w:val="22"/>
        </w:rPr>
        <w:t>TJCA</w:t>
      </w:r>
      <w:r w:rsidRPr="001E05C6">
        <w:rPr>
          <w:rFonts w:cs="Arial"/>
          <w:sz w:val="22"/>
          <w:szCs w:val="22"/>
        </w:rPr>
        <w:t xml:space="preserve"> se ha pronunciado con anterioridad, por los que la </w:t>
      </w:r>
      <w:r w:rsidR="002574D2" w:rsidRPr="001E05C6">
        <w:rPr>
          <w:rFonts w:cs="Arial"/>
          <w:sz w:val="22"/>
          <w:szCs w:val="22"/>
        </w:rPr>
        <w:t>SGCAN</w:t>
      </w:r>
      <w:r w:rsidRPr="001E05C6">
        <w:rPr>
          <w:rFonts w:cs="Arial"/>
          <w:sz w:val="22"/>
          <w:szCs w:val="22"/>
        </w:rPr>
        <w:t xml:space="preserve"> debe calificar como flagrante el presunto incumplimiento de la República del Per</w:t>
      </w:r>
      <w:r w:rsidR="00AC01F1" w:rsidRPr="001E05C6">
        <w:rPr>
          <w:rFonts w:cs="Arial"/>
          <w:sz w:val="22"/>
          <w:szCs w:val="22"/>
        </w:rPr>
        <w:t>ú.</w:t>
      </w:r>
      <w:r w:rsidR="00D9194F" w:rsidRPr="001E05C6">
        <w:rPr>
          <w:rStyle w:val="Refdenotaalpie"/>
          <w:rFonts w:cs="Arial"/>
          <w:sz w:val="22"/>
          <w:szCs w:val="22"/>
        </w:rPr>
        <w:t xml:space="preserve"> </w:t>
      </w:r>
      <w:r w:rsidR="00D9194F" w:rsidRPr="001E05C6">
        <w:rPr>
          <w:rStyle w:val="Refdenotaalpie"/>
          <w:rFonts w:cs="Arial"/>
          <w:sz w:val="22"/>
          <w:szCs w:val="22"/>
        </w:rPr>
        <w:footnoteReference w:id="10"/>
      </w:r>
    </w:p>
    <w:p w:rsidR="004D1B3C" w:rsidRPr="001E05C6" w:rsidRDefault="00AC01F1" w:rsidP="001E05C6">
      <w:pPr>
        <w:pStyle w:val="Prrafodelista"/>
        <w:widowControl/>
        <w:adjustRightInd/>
        <w:spacing w:line="240" w:lineRule="auto"/>
        <w:ind w:left="-12"/>
        <w:contextualSpacing w:val="0"/>
        <w:textAlignment w:val="auto"/>
        <w:rPr>
          <w:rFonts w:cs="Arial"/>
          <w:b/>
          <w:i/>
          <w:sz w:val="22"/>
          <w:szCs w:val="22"/>
        </w:rPr>
      </w:pPr>
      <w:r w:rsidRPr="001E05C6">
        <w:rPr>
          <w:rFonts w:cs="Arial"/>
          <w:b/>
          <w:i/>
          <w:sz w:val="22"/>
          <w:szCs w:val="22"/>
        </w:rPr>
        <w:lastRenderedPageBreak/>
        <w:t xml:space="preserve"> </w:t>
      </w:r>
    </w:p>
    <w:p w:rsidR="004D1B3C" w:rsidRPr="001E05C6" w:rsidRDefault="004D1B3C" w:rsidP="001E05C6">
      <w:pPr>
        <w:widowControl/>
        <w:adjustRightInd/>
        <w:spacing w:line="240" w:lineRule="auto"/>
        <w:textAlignment w:val="auto"/>
        <w:rPr>
          <w:rFonts w:cs="Arial"/>
          <w:i/>
          <w:sz w:val="22"/>
          <w:szCs w:val="22"/>
          <w:u w:val="single"/>
        </w:rPr>
      </w:pPr>
      <w:r w:rsidRPr="001E05C6">
        <w:rPr>
          <w:rFonts w:cs="Arial"/>
          <w:i/>
          <w:sz w:val="22"/>
          <w:szCs w:val="22"/>
          <w:u w:val="single"/>
        </w:rPr>
        <w:t>Escrito “</w:t>
      </w:r>
      <w:r w:rsidR="005D6E8C" w:rsidRPr="001E05C6">
        <w:rPr>
          <w:rFonts w:cs="Arial"/>
          <w:i/>
          <w:sz w:val="22"/>
          <w:szCs w:val="22"/>
          <w:u w:val="single"/>
        </w:rPr>
        <w:t>C</w:t>
      </w:r>
      <w:r w:rsidRPr="001E05C6">
        <w:rPr>
          <w:rFonts w:cs="Arial"/>
          <w:i/>
          <w:sz w:val="22"/>
          <w:szCs w:val="22"/>
          <w:u w:val="single"/>
        </w:rPr>
        <w:t>onclusiones de la reunión de información complementaria o facilitadora celebrada el 19 de julio de 2018”</w:t>
      </w:r>
      <w:r w:rsidR="001C2CBA" w:rsidRPr="001E05C6">
        <w:rPr>
          <w:rStyle w:val="Refdenotaalpie"/>
          <w:rFonts w:cs="Arial"/>
          <w:sz w:val="22"/>
          <w:szCs w:val="22"/>
        </w:rPr>
        <w:footnoteReference w:id="11"/>
      </w:r>
    </w:p>
    <w:p w:rsidR="004D1B3C" w:rsidRPr="001E05C6" w:rsidRDefault="004D1B3C" w:rsidP="001E05C6">
      <w:pPr>
        <w:widowControl/>
        <w:adjustRightInd/>
        <w:spacing w:line="240" w:lineRule="auto"/>
        <w:textAlignment w:val="auto"/>
        <w:rPr>
          <w:rFonts w:cs="Arial"/>
          <w:sz w:val="22"/>
          <w:szCs w:val="22"/>
        </w:rPr>
      </w:pPr>
    </w:p>
    <w:p w:rsidR="00084E1B" w:rsidRPr="001E05C6" w:rsidRDefault="00C04839"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Con motivo de este escrito, la reclamante abunda respecto a la importancia de la Interpretación Prejudicial que debió realizarse, según lo alegado por ésta. </w:t>
      </w:r>
      <w:r w:rsidR="000555F7" w:rsidRPr="001E05C6">
        <w:rPr>
          <w:rFonts w:cs="Arial"/>
          <w:sz w:val="22"/>
          <w:szCs w:val="22"/>
        </w:rPr>
        <w:t>Así, señala que l</w:t>
      </w:r>
      <w:r w:rsidR="002444AE" w:rsidRPr="001E05C6">
        <w:rPr>
          <w:rFonts w:cs="Arial"/>
          <w:sz w:val="22"/>
          <w:szCs w:val="22"/>
        </w:rPr>
        <w:t xml:space="preserve">a controversia en los términos planteados por la </w:t>
      </w:r>
      <w:r w:rsidR="0007706C" w:rsidRPr="001E05C6">
        <w:rPr>
          <w:rFonts w:cs="Arial"/>
          <w:sz w:val="22"/>
          <w:szCs w:val="22"/>
        </w:rPr>
        <w:t>autoridad</w:t>
      </w:r>
      <w:r w:rsidR="002444AE" w:rsidRPr="001E05C6">
        <w:rPr>
          <w:rFonts w:cs="Arial"/>
          <w:sz w:val="22"/>
          <w:szCs w:val="22"/>
        </w:rPr>
        <w:t xml:space="preserve"> tributaria peruana sugiere que la prestación de capacidad satelital es el aprovechamiento de un bien en territorio nacional. Sin embargo, tal conclusión difiere de las definiciones contenidas en las Decisiones 707 y 462; por lo que </w:t>
      </w:r>
      <w:r w:rsidR="0007706C" w:rsidRPr="001E05C6">
        <w:rPr>
          <w:rFonts w:cs="Arial"/>
          <w:sz w:val="22"/>
          <w:szCs w:val="22"/>
        </w:rPr>
        <w:t xml:space="preserve">resulta necesario </w:t>
      </w:r>
      <w:r w:rsidR="002444AE" w:rsidRPr="001E05C6">
        <w:rPr>
          <w:rFonts w:cs="Arial"/>
          <w:sz w:val="22"/>
          <w:szCs w:val="22"/>
        </w:rPr>
        <w:t xml:space="preserve">la interpretación </w:t>
      </w:r>
      <w:r w:rsidR="0007706C" w:rsidRPr="001E05C6">
        <w:rPr>
          <w:rFonts w:cs="Arial"/>
          <w:sz w:val="22"/>
          <w:szCs w:val="22"/>
        </w:rPr>
        <w:t>pre</w:t>
      </w:r>
      <w:r w:rsidR="002444AE" w:rsidRPr="001E05C6">
        <w:rPr>
          <w:rFonts w:cs="Arial"/>
          <w:sz w:val="22"/>
          <w:szCs w:val="22"/>
        </w:rPr>
        <w:t>judicial obligatoria del TJCA, ya que sin dicha interpretación la Sentencia de la Corte Suprema es violatoria de las normas de la Comunidad Andina.</w:t>
      </w:r>
      <w:r w:rsidR="000555F7" w:rsidRPr="001E05C6">
        <w:rPr>
          <w:rStyle w:val="Refdenotaalpie"/>
          <w:rFonts w:cs="Arial"/>
          <w:sz w:val="22"/>
          <w:szCs w:val="22"/>
        </w:rPr>
        <w:t xml:space="preserve"> </w:t>
      </w:r>
      <w:r w:rsidR="000555F7" w:rsidRPr="001E05C6">
        <w:rPr>
          <w:rStyle w:val="Refdenotaalpie"/>
          <w:rFonts w:cs="Arial"/>
          <w:sz w:val="22"/>
          <w:szCs w:val="22"/>
        </w:rPr>
        <w:footnoteReference w:id="12"/>
      </w:r>
    </w:p>
    <w:p w:rsidR="00971FEA" w:rsidRPr="001E05C6" w:rsidRDefault="00971FEA" w:rsidP="001E05C6">
      <w:pPr>
        <w:pStyle w:val="Prrafodelista"/>
        <w:widowControl/>
        <w:adjustRightInd/>
        <w:spacing w:line="240" w:lineRule="auto"/>
        <w:ind w:left="-12"/>
        <w:contextualSpacing w:val="0"/>
        <w:textAlignment w:val="auto"/>
        <w:rPr>
          <w:rFonts w:cs="Arial"/>
          <w:sz w:val="22"/>
          <w:szCs w:val="22"/>
        </w:rPr>
      </w:pPr>
    </w:p>
    <w:p w:rsidR="00C238F7" w:rsidRPr="001E05C6" w:rsidRDefault="00971FEA" w:rsidP="001E05C6">
      <w:pPr>
        <w:pStyle w:val="NormalWeb"/>
        <w:numPr>
          <w:ilvl w:val="1"/>
          <w:numId w:val="13"/>
        </w:numPr>
        <w:spacing w:before="0" w:beforeAutospacing="0" w:after="0" w:afterAutospacing="0"/>
        <w:ind w:left="0" w:hanging="426"/>
        <w:jc w:val="both"/>
        <w:rPr>
          <w:rFonts w:ascii="Arial" w:hAnsi="Arial" w:cs="Arial"/>
          <w:b/>
          <w:bCs/>
          <w:color w:val="auto"/>
          <w:sz w:val="22"/>
          <w:szCs w:val="22"/>
        </w:rPr>
      </w:pPr>
      <w:r w:rsidRPr="001E05C6">
        <w:rPr>
          <w:rFonts w:ascii="Arial" w:hAnsi="Arial" w:cs="Arial"/>
          <w:b/>
          <w:bCs/>
          <w:color w:val="auto"/>
          <w:sz w:val="22"/>
          <w:szCs w:val="22"/>
        </w:rPr>
        <w:t>Argumentos de la Reclamada:</w:t>
      </w:r>
    </w:p>
    <w:p w:rsidR="00C238F7" w:rsidRPr="001E05C6" w:rsidRDefault="00C238F7" w:rsidP="001E05C6">
      <w:pPr>
        <w:pStyle w:val="Prrafodelista"/>
        <w:widowControl/>
        <w:adjustRightInd/>
        <w:spacing w:line="240" w:lineRule="auto"/>
        <w:ind w:left="-12"/>
        <w:contextualSpacing w:val="0"/>
        <w:textAlignment w:val="auto"/>
        <w:rPr>
          <w:rFonts w:cs="Arial"/>
          <w:sz w:val="22"/>
          <w:szCs w:val="22"/>
        </w:rPr>
      </w:pPr>
    </w:p>
    <w:p w:rsidR="00483BA9" w:rsidRPr="001E05C6" w:rsidRDefault="00097DF2"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La reclamada manifiesta que l</w:t>
      </w:r>
      <w:r w:rsidR="00483BA9" w:rsidRPr="001E05C6">
        <w:rPr>
          <w:rFonts w:cs="Arial"/>
          <w:sz w:val="22"/>
          <w:szCs w:val="22"/>
        </w:rPr>
        <w:t xml:space="preserve">a Corte Suprema al no requerir la interpretación prejudicial al TJCA actuó de acuerdo a sus competencias y sin vulnerar el ordenamiento comunitario, puesto que en ninguna </w:t>
      </w:r>
      <w:r w:rsidR="00254C9B" w:rsidRPr="001E05C6">
        <w:rPr>
          <w:rFonts w:cs="Arial"/>
          <w:sz w:val="22"/>
          <w:szCs w:val="22"/>
        </w:rPr>
        <w:t xml:space="preserve">de las </w:t>
      </w:r>
      <w:r w:rsidR="00483BA9" w:rsidRPr="001E05C6">
        <w:rPr>
          <w:rFonts w:cs="Arial"/>
          <w:sz w:val="22"/>
          <w:szCs w:val="22"/>
        </w:rPr>
        <w:t>etapa</w:t>
      </w:r>
      <w:r w:rsidR="00254C9B" w:rsidRPr="001E05C6">
        <w:rPr>
          <w:rFonts w:cs="Arial"/>
          <w:sz w:val="22"/>
          <w:szCs w:val="22"/>
        </w:rPr>
        <w:t>s</w:t>
      </w:r>
      <w:r w:rsidR="00483BA9" w:rsidRPr="001E05C6">
        <w:rPr>
          <w:rFonts w:cs="Arial"/>
          <w:sz w:val="22"/>
          <w:szCs w:val="22"/>
        </w:rPr>
        <w:t xml:space="preserve"> administrativa o judicial se controvirti</w:t>
      </w:r>
      <w:r w:rsidR="00566E7F" w:rsidRPr="001E05C6">
        <w:rPr>
          <w:rFonts w:cs="Arial"/>
          <w:sz w:val="22"/>
          <w:szCs w:val="22"/>
        </w:rPr>
        <w:t>ó norma comunitaria, y no resultaba aplicable ninguna norma andina</w:t>
      </w:r>
      <w:r w:rsidR="00437C70" w:rsidRPr="001E05C6">
        <w:rPr>
          <w:rFonts w:cs="Arial"/>
          <w:sz w:val="22"/>
          <w:szCs w:val="22"/>
        </w:rPr>
        <w:t xml:space="preserve"> para la resolución de la controversia.</w:t>
      </w:r>
      <w:r w:rsidR="00D85897" w:rsidRPr="001E05C6">
        <w:rPr>
          <w:rStyle w:val="Refdenotaalpie"/>
          <w:rFonts w:cs="Arial"/>
          <w:sz w:val="22"/>
          <w:szCs w:val="22"/>
        </w:rPr>
        <w:t xml:space="preserve"> </w:t>
      </w:r>
      <w:r w:rsidR="00D85897" w:rsidRPr="001E05C6">
        <w:rPr>
          <w:rStyle w:val="Refdenotaalpie"/>
          <w:rFonts w:cs="Arial"/>
          <w:sz w:val="22"/>
          <w:szCs w:val="22"/>
        </w:rPr>
        <w:footnoteReference w:id="13"/>
      </w:r>
    </w:p>
    <w:p w:rsidR="00483BA9" w:rsidRPr="001E05C6" w:rsidRDefault="00483BA9" w:rsidP="001E05C6">
      <w:pPr>
        <w:pStyle w:val="Prrafodelista"/>
        <w:widowControl/>
        <w:adjustRightInd/>
        <w:spacing w:line="240" w:lineRule="auto"/>
        <w:ind w:left="-12"/>
        <w:contextualSpacing w:val="0"/>
        <w:textAlignment w:val="auto"/>
        <w:rPr>
          <w:rFonts w:cs="Arial"/>
          <w:sz w:val="22"/>
          <w:szCs w:val="22"/>
        </w:rPr>
      </w:pPr>
    </w:p>
    <w:p w:rsidR="00504AC7" w:rsidRPr="001E05C6" w:rsidRDefault="0008430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Asimismo, la reclamada señala que l</w:t>
      </w:r>
      <w:r w:rsidR="00504AC7" w:rsidRPr="001E05C6">
        <w:rPr>
          <w:rFonts w:cs="Arial"/>
          <w:sz w:val="22"/>
          <w:szCs w:val="22"/>
        </w:rPr>
        <w:t xml:space="preserve">a materia controvertida es de carácter íntegramente tributario, y no existe normativa en la Comunidad Andina que regule aspectos sobre la aplicación del impuesto a la renta en los Países Miembros. La única norma comunitaria sobre </w:t>
      </w:r>
      <w:r w:rsidR="00557026" w:rsidRPr="001E05C6">
        <w:rPr>
          <w:rFonts w:cs="Arial"/>
          <w:sz w:val="22"/>
          <w:szCs w:val="22"/>
        </w:rPr>
        <w:t xml:space="preserve">temas </w:t>
      </w:r>
      <w:r w:rsidR="00504AC7" w:rsidRPr="001E05C6">
        <w:rPr>
          <w:rFonts w:cs="Arial"/>
          <w:sz w:val="22"/>
          <w:szCs w:val="22"/>
        </w:rPr>
        <w:t xml:space="preserve">tributarios es la Decisión 578, referida a </w:t>
      </w:r>
      <w:r w:rsidR="00D64F88" w:rsidRPr="001E05C6">
        <w:rPr>
          <w:rFonts w:cs="Arial"/>
          <w:sz w:val="22"/>
          <w:szCs w:val="22"/>
        </w:rPr>
        <w:t xml:space="preserve">evitar </w:t>
      </w:r>
      <w:r w:rsidR="00504AC7" w:rsidRPr="001E05C6">
        <w:rPr>
          <w:rFonts w:cs="Arial"/>
          <w:sz w:val="22"/>
          <w:szCs w:val="22"/>
        </w:rPr>
        <w:t>la doble imposición.</w:t>
      </w:r>
      <w:r w:rsidR="00130716" w:rsidRPr="001E05C6">
        <w:rPr>
          <w:rStyle w:val="Refdenotaalpie"/>
          <w:rFonts w:cs="Arial"/>
          <w:sz w:val="22"/>
          <w:szCs w:val="22"/>
        </w:rPr>
        <w:t xml:space="preserve"> </w:t>
      </w:r>
      <w:r w:rsidR="00130716" w:rsidRPr="001E05C6">
        <w:rPr>
          <w:rStyle w:val="Refdenotaalpie"/>
          <w:rFonts w:cs="Arial"/>
          <w:sz w:val="22"/>
          <w:szCs w:val="22"/>
        </w:rPr>
        <w:footnoteReference w:id="14"/>
      </w:r>
    </w:p>
    <w:p w:rsidR="00504AC7" w:rsidRPr="001E05C6" w:rsidRDefault="00504AC7" w:rsidP="001E05C6">
      <w:pPr>
        <w:pStyle w:val="Prrafodelista"/>
        <w:spacing w:line="240" w:lineRule="auto"/>
        <w:rPr>
          <w:rFonts w:cs="Arial"/>
          <w:sz w:val="22"/>
          <w:szCs w:val="22"/>
        </w:rPr>
      </w:pPr>
    </w:p>
    <w:p w:rsidR="00504AC7" w:rsidRPr="001E05C6" w:rsidRDefault="0008430A"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La reclamada indica que l</w:t>
      </w:r>
      <w:r w:rsidR="00504AC7" w:rsidRPr="001E05C6">
        <w:rPr>
          <w:rFonts w:cs="Arial"/>
          <w:sz w:val="22"/>
          <w:szCs w:val="22"/>
        </w:rPr>
        <w:t>a controversia tuvo como origen los contratos suscritos entre el reclamante con empresas particulares, las cuales no se encuentran constituidas en el territorio de los Países Miembros de la CAN.</w:t>
      </w:r>
      <w:r w:rsidR="00495100" w:rsidRPr="001E05C6">
        <w:rPr>
          <w:rStyle w:val="Refdenotaalpie"/>
          <w:rFonts w:cs="Arial"/>
          <w:sz w:val="22"/>
          <w:szCs w:val="22"/>
        </w:rPr>
        <w:t xml:space="preserve"> </w:t>
      </w:r>
      <w:r w:rsidR="00495100" w:rsidRPr="001E05C6">
        <w:rPr>
          <w:rStyle w:val="Refdenotaalpie"/>
          <w:rFonts w:cs="Arial"/>
          <w:sz w:val="22"/>
          <w:szCs w:val="22"/>
        </w:rPr>
        <w:footnoteReference w:id="15"/>
      </w:r>
      <w:r w:rsidR="00504AC7" w:rsidRPr="001E05C6">
        <w:rPr>
          <w:rFonts w:cs="Arial"/>
          <w:sz w:val="22"/>
          <w:szCs w:val="22"/>
        </w:rPr>
        <w:t xml:space="preserve"> </w:t>
      </w:r>
    </w:p>
    <w:p w:rsidR="00C912CF" w:rsidRPr="001E05C6" w:rsidRDefault="00C912CF" w:rsidP="001E05C6">
      <w:pPr>
        <w:widowControl/>
        <w:adjustRightInd/>
        <w:spacing w:line="240" w:lineRule="auto"/>
        <w:textAlignment w:val="auto"/>
        <w:rPr>
          <w:rFonts w:cs="Arial"/>
          <w:sz w:val="22"/>
          <w:szCs w:val="22"/>
        </w:rPr>
      </w:pPr>
    </w:p>
    <w:p w:rsidR="00C912CF" w:rsidRPr="001E05C6" w:rsidRDefault="004D6E19"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La</w:t>
      </w:r>
      <w:r w:rsidR="00C912CF" w:rsidRPr="001E05C6">
        <w:rPr>
          <w:rFonts w:cs="Arial"/>
          <w:sz w:val="22"/>
          <w:szCs w:val="22"/>
        </w:rPr>
        <w:t xml:space="preserve"> reclamada </w:t>
      </w:r>
      <w:r w:rsidR="0008430A" w:rsidRPr="001E05C6">
        <w:rPr>
          <w:rFonts w:cs="Arial"/>
          <w:sz w:val="22"/>
          <w:szCs w:val="22"/>
        </w:rPr>
        <w:t>alega</w:t>
      </w:r>
      <w:r w:rsidR="00C912CF" w:rsidRPr="001E05C6">
        <w:rPr>
          <w:rFonts w:cs="Arial"/>
          <w:sz w:val="22"/>
          <w:szCs w:val="22"/>
        </w:rPr>
        <w:t xml:space="preserve"> que las Decisiones 462 y 707 no regulan aspectos vinculados a la materia de la controversia ante la Corte Suprema, sino aspectos sobre la liberalización del comercio de telecomunicaciones y el registro de operadores satelitales. Asimismo, </w:t>
      </w:r>
      <w:r w:rsidR="00501690" w:rsidRPr="001E05C6">
        <w:rPr>
          <w:rFonts w:cs="Arial"/>
          <w:sz w:val="22"/>
          <w:szCs w:val="22"/>
        </w:rPr>
        <w:t xml:space="preserve">agregó que </w:t>
      </w:r>
      <w:r w:rsidR="00C912CF" w:rsidRPr="001E05C6">
        <w:rPr>
          <w:rFonts w:cs="Arial"/>
          <w:sz w:val="22"/>
          <w:szCs w:val="22"/>
        </w:rPr>
        <w:t>sobre la base de dichas Decisiones no se puede calificar l</w:t>
      </w:r>
      <w:r w:rsidRPr="001E05C6">
        <w:rPr>
          <w:rFonts w:cs="Arial"/>
          <w:sz w:val="22"/>
          <w:szCs w:val="22"/>
        </w:rPr>
        <w:t>a naturaleza de la transacción.</w:t>
      </w:r>
      <w:r w:rsidR="00330A58" w:rsidRPr="001E05C6">
        <w:rPr>
          <w:rStyle w:val="Refdenotaalpie"/>
          <w:rFonts w:cs="Arial"/>
          <w:sz w:val="22"/>
          <w:szCs w:val="22"/>
        </w:rPr>
        <w:t xml:space="preserve"> </w:t>
      </w:r>
      <w:r w:rsidR="00330A58" w:rsidRPr="001E05C6">
        <w:rPr>
          <w:rStyle w:val="Refdenotaalpie"/>
          <w:rFonts w:cs="Arial"/>
          <w:sz w:val="22"/>
          <w:szCs w:val="22"/>
        </w:rPr>
        <w:footnoteReference w:id="16"/>
      </w:r>
    </w:p>
    <w:p w:rsidR="004D6E19" w:rsidRPr="001E05C6" w:rsidRDefault="004D6E19" w:rsidP="001E05C6">
      <w:pPr>
        <w:widowControl/>
        <w:adjustRightInd/>
        <w:spacing w:line="240" w:lineRule="auto"/>
        <w:textAlignment w:val="auto"/>
        <w:rPr>
          <w:rFonts w:cs="Arial"/>
          <w:sz w:val="22"/>
          <w:szCs w:val="22"/>
        </w:rPr>
      </w:pPr>
    </w:p>
    <w:p w:rsidR="00C912CF" w:rsidRPr="001E05C6" w:rsidRDefault="0050169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La reclamada señala que l</w:t>
      </w:r>
      <w:r w:rsidR="00C912CF" w:rsidRPr="001E05C6">
        <w:rPr>
          <w:rFonts w:cs="Arial"/>
          <w:sz w:val="22"/>
          <w:szCs w:val="22"/>
        </w:rPr>
        <w:t xml:space="preserve">as definiciones señaladas en el artículo </w:t>
      </w:r>
      <w:r w:rsidR="008742A0" w:rsidRPr="001E05C6">
        <w:rPr>
          <w:rFonts w:cs="Arial"/>
          <w:sz w:val="22"/>
          <w:szCs w:val="22"/>
        </w:rPr>
        <w:t>1</w:t>
      </w:r>
      <w:r w:rsidR="00C912CF" w:rsidRPr="001E05C6">
        <w:rPr>
          <w:rFonts w:cs="Arial"/>
          <w:sz w:val="22"/>
          <w:szCs w:val="22"/>
        </w:rPr>
        <w:t xml:space="preserve"> de la Decisión 462 y en el artículo </w:t>
      </w:r>
      <w:r w:rsidR="008742A0" w:rsidRPr="001E05C6">
        <w:rPr>
          <w:rFonts w:cs="Arial"/>
          <w:sz w:val="22"/>
          <w:szCs w:val="22"/>
        </w:rPr>
        <w:t>2</w:t>
      </w:r>
      <w:r w:rsidR="00C912CF" w:rsidRPr="001E05C6">
        <w:rPr>
          <w:rFonts w:cs="Arial"/>
          <w:sz w:val="22"/>
          <w:szCs w:val="22"/>
        </w:rPr>
        <w:t xml:space="preserve"> de la Decisión 707 no pueden extrapolarse o emplearse para otros casos como los referidos a temas tributarios, pues exceden el ámbito de aplicación de las referidas Decisiones.</w:t>
      </w:r>
      <w:r w:rsidR="008742A0" w:rsidRPr="001E05C6">
        <w:rPr>
          <w:rStyle w:val="Refdenotaalpie"/>
          <w:rFonts w:cs="Arial"/>
          <w:sz w:val="22"/>
          <w:szCs w:val="22"/>
        </w:rPr>
        <w:footnoteReference w:id="17"/>
      </w:r>
    </w:p>
    <w:p w:rsidR="00254C9B" w:rsidRPr="001E05C6" w:rsidRDefault="00254C9B" w:rsidP="001E05C6">
      <w:pPr>
        <w:widowControl/>
        <w:adjustRightInd/>
        <w:spacing w:line="240" w:lineRule="auto"/>
        <w:textAlignment w:val="auto"/>
        <w:rPr>
          <w:rFonts w:cs="Arial"/>
          <w:sz w:val="22"/>
          <w:szCs w:val="22"/>
        </w:rPr>
      </w:pPr>
    </w:p>
    <w:p w:rsidR="00C912CF" w:rsidRPr="001E05C6" w:rsidRDefault="00AB168B"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Respecto a lo indicado por la reclamante, referido a la aplicación de la Decisión 462 con base a lo dispuesto en </w:t>
      </w:r>
      <w:r w:rsidR="00CF0F3C" w:rsidRPr="001E05C6">
        <w:rPr>
          <w:rFonts w:cs="Arial"/>
          <w:sz w:val="22"/>
          <w:szCs w:val="22"/>
        </w:rPr>
        <w:t>la Interpretación Prejudicial del Proceso</w:t>
      </w:r>
      <w:r w:rsidRPr="001E05C6">
        <w:rPr>
          <w:rFonts w:cs="Arial"/>
          <w:sz w:val="22"/>
          <w:szCs w:val="22"/>
        </w:rPr>
        <w:t xml:space="preserve"> </w:t>
      </w:r>
      <w:r w:rsidR="00CF0F3C" w:rsidRPr="001E05C6">
        <w:rPr>
          <w:rFonts w:cs="Arial"/>
          <w:sz w:val="22"/>
          <w:szCs w:val="22"/>
        </w:rPr>
        <w:t>89-IP-2013</w:t>
      </w:r>
      <w:r w:rsidRPr="001E05C6">
        <w:rPr>
          <w:rFonts w:cs="Arial"/>
          <w:sz w:val="22"/>
          <w:szCs w:val="22"/>
        </w:rPr>
        <w:t xml:space="preserve">, la reclamada </w:t>
      </w:r>
      <w:r w:rsidR="00501690" w:rsidRPr="001E05C6">
        <w:rPr>
          <w:rFonts w:cs="Arial"/>
          <w:sz w:val="22"/>
          <w:szCs w:val="22"/>
        </w:rPr>
        <w:lastRenderedPageBreak/>
        <w:t>manifiesta</w:t>
      </w:r>
      <w:r w:rsidRPr="001E05C6">
        <w:rPr>
          <w:rFonts w:cs="Arial"/>
          <w:sz w:val="22"/>
          <w:szCs w:val="22"/>
        </w:rPr>
        <w:t xml:space="preserve"> que en dic</w:t>
      </w:r>
      <w:r w:rsidR="00501690" w:rsidRPr="001E05C6">
        <w:rPr>
          <w:rFonts w:cs="Arial"/>
          <w:sz w:val="22"/>
          <w:szCs w:val="22"/>
        </w:rPr>
        <w:t>ho</w:t>
      </w:r>
      <w:r w:rsidR="00CF0F3C" w:rsidRPr="001E05C6">
        <w:rPr>
          <w:rFonts w:cs="Arial"/>
          <w:sz w:val="22"/>
          <w:szCs w:val="22"/>
        </w:rPr>
        <w:t xml:space="preserve"> proceso</w:t>
      </w:r>
      <w:r w:rsidR="00501690" w:rsidRPr="001E05C6">
        <w:rPr>
          <w:rFonts w:cs="Arial"/>
          <w:sz w:val="22"/>
          <w:szCs w:val="22"/>
        </w:rPr>
        <w:t xml:space="preserve"> la materia de análisis difiere </w:t>
      </w:r>
      <w:r w:rsidRPr="001E05C6">
        <w:rPr>
          <w:rFonts w:cs="Arial"/>
          <w:sz w:val="22"/>
          <w:szCs w:val="22"/>
        </w:rPr>
        <w:t>de</w:t>
      </w:r>
      <w:r w:rsidR="00501690" w:rsidRPr="001E05C6">
        <w:rPr>
          <w:rFonts w:cs="Arial"/>
          <w:sz w:val="22"/>
          <w:szCs w:val="22"/>
        </w:rPr>
        <w:t>l</w:t>
      </w:r>
      <w:r w:rsidRPr="001E05C6">
        <w:rPr>
          <w:rFonts w:cs="Arial"/>
          <w:sz w:val="22"/>
          <w:szCs w:val="22"/>
        </w:rPr>
        <w:t xml:space="preserve"> </w:t>
      </w:r>
      <w:r w:rsidR="00501690" w:rsidRPr="001E05C6">
        <w:rPr>
          <w:rFonts w:cs="Arial"/>
          <w:sz w:val="22"/>
          <w:szCs w:val="22"/>
        </w:rPr>
        <w:t>examinado</w:t>
      </w:r>
      <w:r w:rsidRPr="001E05C6">
        <w:rPr>
          <w:rFonts w:cs="Arial"/>
          <w:sz w:val="22"/>
          <w:szCs w:val="22"/>
        </w:rPr>
        <w:t xml:space="preserve"> en el procedimiento seguido ante la Corte Suprema peruana, puesto que no se centra en una controversia de carácter tributario.</w:t>
      </w:r>
      <w:r w:rsidR="003417ED" w:rsidRPr="001E05C6">
        <w:rPr>
          <w:rStyle w:val="Refdenotaalpie"/>
          <w:rFonts w:cs="Arial"/>
          <w:sz w:val="22"/>
          <w:szCs w:val="22"/>
        </w:rPr>
        <w:t xml:space="preserve"> </w:t>
      </w:r>
      <w:r w:rsidR="003417ED" w:rsidRPr="001E05C6">
        <w:rPr>
          <w:rStyle w:val="Refdenotaalpie"/>
          <w:rFonts w:cs="Arial"/>
          <w:sz w:val="22"/>
          <w:szCs w:val="22"/>
        </w:rPr>
        <w:footnoteReference w:id="18"/>
      </w:r>
    </w:p>
    <w:p w:rsidR="00C912CF" w:rsidRPr="001E05C6" w:rsidRDefault="00C912CF" w:rsidP="001E05C6">
      <w:pPr>
        <w:pStyle w:val="Prrafodelista"/>
        <w:widowControl/>
        <w:adjustRightInd/>
        <w:spacing w:line="240" w:lineRule="auto"/>
        <w:ind w:left="-12"/>
        <w:contextualSpacing w:val="0"/>
        <w:textAlignment w:val="auto"/>
        <w:rPr>
          <w:rFonts w:cs="Arial"/>
          <w:sz w:val="22"/>
          <w:szCs w:val="22"/>
        </w:rPr>
      </w:pPr>
    </w:p>
    <w:p w:rsidR="00DA5109" w:rsidRPr="001E05C6" w:rsidRDefault="008C31EE"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Asimismo, la reclamada indica que el TJCA no podría interpretar si el servicio satelital prestado a la reclamante fue brindado dentro o fuera del territorio peruano sin evaluar </w:t>
      </w:r>
      <w:r w:rsidR="00CF0F3C" w:rsidRPr="001E05C6">
        <w:rPr>
          <w:rFonts w:cs="Arial"/>
          <w:sz w:val="22"/>
          <w:szCs w:val="22"/>
        </w:rPr>
        <w:t xml:space="preserve">los </w:t>
      </w:r>
      <w:r w:rsidRPr="001E05C6">
        <w:rPr>
          <w:rFonts w:cs="Arial"/>
          <w:sz w:val="22"/>
          <w:szCs w:val="22"/>
        </w:rPr>
        <w:t>hechos. Ello, más aún si las Decisiones 462 y 707 no establecen alguna pauta para realizar dicha evaluación.</w:t>
      </w:r>
      <w:r w:rsidR="00087B91" w:rsidRPr="001E05C6">
        <w:rPr>
          <w:rStyle w:val="Refdenotaalpie"/>
          <w:rFonts w:cs="Arial"/>
          <w:sz w:val="22"/>
          <w:szCs w:val="22"/>
        </w:rPr>
        <w:footnoteReference w:id="19"/>
      </w:r>
    </w:p>
    <w:p w:rsidR="00DA5109" w:rsidRPr="001E05C6" w:rsidRDefault="00DA5109" w:rsidP="001E05C6">
      <w:pPr>
        <w:spacing w:line="240" w:lineRule="auto"/>
        <w:rPr>
          <w:rFonts w:cs="Arial"/>
          <w:sz w:val="22"/>
          <w:szCs w:val="22"/>
        </w:rPr>
      </w:pPr>
    </w:p>
    <w:p w:rsidR="00183CF3" w:rsidRPr="001E05C6" w:rsidRDefault="0050169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Por otro lado, respecto al presunto incumplimiento del artículo 4 del Tratado de Creación del TJCA, la reclamada precisa que l</w:t>
      </w:r>
      <w:r w:rsidR="00183CF3" w:rsidRPr="001E05C6">
        <w:rPr>
          <w:rFonts w:cs="Arial"/>
          <w:sz w:val="22"/>
          <w:szCs w:val="22"/>
        </w:rPr>
        <w:t>a obligación asumida en el</w:t>
      </w:r>
      <w:r w:rsidRPr="001E05C6">
        <w:rPr>
          <w:rFonts w:cs="Arial"/>
          <w:sz w:val="22"/>
          <w:szCs w:val="22"/>
        </w:rPr>
        <w:t xml:space="preserve"> referido</w:t>
      </w:r>
      <w:r w:rsidR="00183CF3" w:rsidRPr="001E05C6">
        <w:rPr>
          <w:rFonts w:cs="Arial"/>
          <w:sz w:val="22"/>
          <w:szCs w:val="22"/>
        </w:rPr>
        <w:t xml:space="preserve"> artículo 4 tiene un carácter general, obligando a los Países Miembros a g</w:t>
      </w:r>
      <w:r w:rsidR="001773BF" w:rsidRPr="001E05C6">
        <w:rPr>
          <w:rFonts w:cs="Arial"/>
          <w:sz w:val="22"/>
          <w:szCs w:val="22"/>
        </w:rPr>
        <w:t>arantizar que se adopten las medidas correspondientes.</w:t>
      </w:r>
      <w:r w:rsidR="007E46F9" w:rsidRPr="001E05C6">
        <w:rPr>
          <w:rStyle w:val="Refdenotaalpie"/>
          <w:rFonts w:cs="Arial"/>
          <w:sz w:val="22"/>
          <w:szCs w:val="22"/>
        </w:rPr>
        <w:t xml:space="preserve"> </w:t>
      </w:r>
      <w:r w:rsidR="007E46F9" w:rsidRPr="001E05C6">
        <w:rPr>
          <w:rStyle w:val="Refdenotaalpie"/>
          <w:rFonts w:cs="Arial"/>
          <w:sz w:val="22"/>
          <w:szCs w:val="22"/>
        </w:rPr>
        <w:footnoteReference w:id="20"/>
      </w:r>
    </w:p>
    <w:p w:rsidR="00E07189" w:rsidRPr="001E05C6" w:rsidRDefault="00E07189" w:rsidP="001E05C6">
      <w:pPr>
        <w:pStyle w:val="Prrafodelista"/>
        <w:spacing w:line="240" w:lineRule="auto"/>
        <w:rPr>
          <w:rFonts w:cs="Arial"/>
          <w:sz w:val="22"/>
          <w:szCs w:val="22"/>
        </w:rPr>
      </w:pPr>
    </w:p>
    <w:p w:rsidR="00E07189" w:rsidRPr="001E05C6" w:rsidRDefault="001773BF"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En relación al carácter flagrante del incumplimiento, la reclamada alega que l</w:t>
      </w:r>
      <w:r w:rsidR="00E07189" w:rsidRPr="001E05C6">
        <w:rPr>
          <w:rFonts w:cs="Arial"/>
          <w:sz w:val="22"/>
          <w:szCs w:val="22"/>
        </w:rPr>
        <w:t>a controversia ante la Corte Suprema ha versado sobre el impuesto a la renta, mientra</w:t>
      </w:r>
      <w:r w:rsidR="00A61F72" w:rsidRPr="001E05C6">
        <w:rPr>
          <w:rFonts w:cs="Arial"/>
          <w:sz w:val="22"/>
          <w:szCs w:val="22"/>
        </w:rPr>
        <w:t>s que las normas invocadas por</w:t>
      </w:r>
      <w:r w:rsidR="00E07189" w:rsidRPr="001E05C6">
        <w:rPr>
          <w:rFonts w:cs="Arial"/>
          <w:sz w:val="22"/>
          <w:szCs w:val="22"/>
        </w:rPr>
        <w:t xml:space="preserve"> la recl</w:t>
      </w:r>
      <w:r w:rsidR="00A61F72" w:rsidRPr="001E05C6">
        <w:rPr>
          <w:rFonts w:cs="Arial"/>
          <w:sz w:val="22"/>
          <w:szCs w:val="22"/>
        </w:rPr>
        <w:t>amante</w:t>
      </w:r>
      <w:r w:rsidR="00E07189" w:rsidRPr="001E05C6">
        <w:rPr>
          <w:rFonts w:cs="Arial"/>
          <w:sz w:val="22"/>
          <w:szCs w:val="22"/>
        </w:rPr>
        <w:t xml:space="preserve"> regulan aspectos sobre la liberalización del comercio de telecomunicaciones y el reg</w:t>
      </w:r>
      <w:r w:rsidRPr="001E05C6">
        <w:rPr>
          <w:rFonts w:cs="Arial"/>
          <w:sz w:val="22"/>
          <w:szCs w:val="22"/>
        </w:rPr>
        <w:t>istro de operadores satelitales; e</w:t>
      </w:r>
      <w:r w:rsidR="00E07189" w:rsidRPr="001E05C6">
        <w:rPr>
          <w:rFonts w:cs="Arial"/>
          <w:sz w:val="22"/>
          <w:szCs w:val="22"/>
        </w:rPr>
        <w:t>n ese sentido, es imposible que la SGCAN considere que existe un incumplimiento flagrante.</w:t>
      </w:r>
      <w:r w:rsidR="000024E8" w:rsidRPr="001E05C6">
        <w:rPr>
          <w:rStyle w:val="Refdenotaalpie"/>
          <w:rFonts w:cs="Arial"/>
          <w:sz w:val="22"/>
          <w:szCs w:val="22"/>
        </w:rPr>
        <w:t xml:space="preserve"> </w:t>
      </w:r>
      <w:r w:rsidR="000024E8" w:rsidRPr="001E05C6">
        <w:rPr>
          <w:rStyle w:val="Refdenotaalpie"/>
          <w:rFonts w:cs="Arial"/>
          <w:sz w:val="22"/>
          <w:szCs w:val="22"/>
        </w:rPr>
        <w:footnoteReference w:id="21"/>
      </w:r>
    </w:p>
    <w:p w:rsidR="004352AF" w:rsidRPr="001E05C6" w:rsidRDefault="004352AF" w:rsidP="001E05C6">
      <w:pPr>
        <w:pStyle w:val="Prrafodelista"/>
        <w:widowControl/>
        <w:adjustRightInd/>
        <w:spacing w:line="240" w:lineRule="auto"/>
        <w:ind w:left="-12"/>
        <w:contextualSpacing w:val="0"/>
        <w:textAlignment w:val="auto"/>
        <w:rPr>
          <w:rFonts w:cs="Arial"/>
          <w:sz w:val="22"/>
          <w:szCs w:val="22"/>
        </w:rPr>
      </w:pPr>
    </w:p>
    <w:p w:rsidR="001218DC" w:rsidRPr="001E05C6" w:rsidRDefault="001218DC" w:rsidP="001E05C6">
      <w:pPr>
        <w:pStyle w:val="Prrafodelista"/>
        <w:widowControl/>
        <w:adjustRightInd/>
        <w:spacing w:line="240" w:lineRule="auto"/>
        <w:ind w:left="-12"/>
        <w:contextualSpacing w:val="0"/>
        <w:textAlignment w:val="auto"/>
        <w:rPr>
          <w:rFonts w:cs="Arial"/>
          <w:sz w:val="22"/>
          <w:szCs w:val="22"/>
        </w:rPr>
      </w:pPr>
    </w:p>
    <w:p w:rsidR="00B52F7D" w:rsidRPr="001E05C6" w:rsidRDefault="0040365A" w:rsidP="001E05C6">
      <w:pPr>
        <w:widowControl/>
        <w:adjustRightInd/>
        <w:spacing w:line="240" w:lineRule="auto"/>
        <w:ind w:hanging="426"/>
        <w:textAlignment w:val="auto"/>
        <w:rPr>
          <w:rFonts w:cs="Arial"/>
          <w:b/>
          <w:sz w:val="22"/>
          <w:szCs w:val="22"/>
        </w:rPr>
      </w:pPr>
      <w:r w:rsidRPr="001E05C6">
        <w:rPr>
          <w:rFonts w:cs="Arial"/>
          <w:b/>
          <w:sz w:val="22"/>
          <w:szCs w:val="22"/>
        </w:rPr>
        <w:t xml:space="preserve">V. </w:t>
      </w:r>
      <w:r w:rsidR="00FD283D" w:rsidRPr="001E05C6">
        <w:rPr>
          <w:rFonts w:cs="Arial"/>
          <w:b/>
          <w:sz w:val="22"/>
          <w:szCs w:val="22"/>
        </w:rPr>
        <w:tab/>
      </w:r>
      <w:r w:rsidR="00B52F7D" w:rsidRPr="001E05C6">
        <w:rPr>
          <w:rFonts w:cs="Arial"/>
          <w:b/>
          <w:sz w:val="22"/>
          <w:szCs w:val="22"/>
        </w:rPr>
        <w:t>EXPOSICIÓN DE LOS MOTIVOS DE LA SECRETARÍA GENERAL SOBRE EL ESTADO DE CUMPLIMIENTO DE LAS OBLIGACIONES COMUNITARIAS.-</w:t>
      </w:r>
    </w:p>
    <w:p w:rsidR="00CE2229" w:rsidRPr="001E05C6" w:rsidRDefault="00CE2229" w:rsidP="001E05C6">
      <w:pPr>
        <w:spacing w:line="240" w:lineRule="auto"/>
        <w:rPr>
          <w:rFonts w:cs="Arial"/>
          <w:b/>
          <w:bCs/>
          <w:sz w:val="22"/>
          <w:szCs w:val="22"/>
        </w:rPr>
      </w:pPr>
    </w:p>
    <w:p w:rsidR="00B52F7D" w:rsidRPr="001E05C6" w:rsidRDefault="00CE2229" w:rsidP="001E05C6">
      <w:pPr>
        <w:tabs>
          <w:tab w:val="left" w:pos="426"/>
        </w:tabs>
        <w:spacing w:line="240" w:lineRule="auto"/>
        <w:ind w:hanging="426"/>
        <w:rPr>
          <w:rFonts w:cs="Arial"/>
          <w:b/>
          <w:bCs/>
          <w:sz w:val="22"/>
          <w:szCs w:val="22"/>
        </w:rPr>
      </w:pPr>
      <w:r w:rsidRPr="001E05C6">
        <w:rPr>
          <w:rFonts w:cs="Arial"/>
          <w:b/>
          <w:bCs/>
          <w:sz w:val="22"/>
          <w:szCs w:val="22"/>
        </w:rPr>
        <w:t xml:space="preserve">5.1. </w:t>
      </w:r>
      <w:r w:rsidR="007C7BF9" w:rsidRPr="001E05C6">
        <w:rPr>
          <w:rFonts w:cs="Arial"/>
          <w:b/>
          <w:bCs/>
          <w:sz w:val="22"/>
          <w:szCs w:val="22"/>
        </w:rPr>
        <w:t>Respecto a</w:t>
      </w:r>
      <w:r w:rsidR="00B52F7D" w:rsidRPr="001E05C6">
        <w:rPr>
          <w:rFonts w:cs="Arial"/>
          <w:b/>
          <w:bCs/>
          <w:sz w:val="22"/>
          <w:szCs w:val="22"/>
        </w:rPr>
        <w:t xml:space="preserve"> las cuestiones de procedimiento</w:t>
      </w:r>
      <w:r w:rsidR="00245FFF" w:rsidRPr="001E05C6">
        <w:rPr>
          <w:rFonts w:cs="Arial"/>
          <w:b/>
          <w:bCs/>
          <w:sz w:val="22"/>
          <w:szCs w:val="22"/>
        </w:rPr>
        <w:t>.-</w:t>
      </w:r>
    </w:p>
    <w:p w:rsidR="00B52F7D" w:rsidRPr="001E05C6" w:rsidRDefault="00B52F7D" w:rsidP="001E05C6">
      <w:pPr>
        <w:spacing w:line="240" w:lineRule="auto"/>
        <w:rPr>
          <w:rFonts w:cs="Arial"/>
          <w:b/>
          <w:bCs/>
          <w:sz w:val="22"/>
          <w:szCs w:val="22"/>
        </w:rPr>
      </w:pPr>
    </w:p>
    <w:p w:rsidR="00B52F7D" w:rsidRPr="001E05C6" w:rsidRDefault="00B52F7D" w:rsidP="001E05C6">
      <w:pPr>
        <w:pStyle w:val="Prrafodelista"/>
        <w:numPr>
          <w:ilvl w:val="2"/>
          <w:numId w:val="14"/>
        </w:numPr>
        <w:spacing w:line="240" w:lineRule="auto"/>
        <w:ind w:left="709" w:hanging="709"/>
        <w:contextualSpacing w:val="0"/>
        <w:rPr>
          <w:rFonts w:cs="Arial"/>
          <w:sz w:val="22"/>
          <w:szCs w:val="22"/>
        </w:rPr>
      </w:pPr>
      <w:r w:rsidRPr="001E05C6">
        <w:rPr>
          <w:rFonts w:cs="Arial"/>
          <w:b/>
          <w:bCs/>
          <w:sz w:val="22"/>
          <w:szCs w:val="22"/>
        </w:rPr>
        <w:t>Competencia de la Secretaría General para conocer del presente asunto:</w:t>
      </w:r>
    </w:p>
    <w:p w:rsidR="00B52F7D" w:rsidRPr="001E05C6" w:rsidRDefault="00B52F7D" w:rsidP="001E05C6">
      <w:pPr>
        <w:spacing w:line="240" w:lineRule="auto"/>
        <w:rPr>
          <w:rFonts w:cs="Arial"/>
          <w:sz w:val="22"/>
          <w:szCs w:val="22"/>
        </w:rPr>
      </w:pPr>
    </w:p>
    <w:p w:rsidR="00B52F7D" w:rsidRPr="001E05C6" w:rsidRDefault="00B52F7D" w:rsidP="001E05C6">
      <w:pPr>
        <w:widowControl/>
        <w:numPr>
          <w:ilvl w:val="0"/>
          <w:numId w:val="2"/>
        </w:numPr>
        <w:adjustRightInd/>
        <w:spacing w:line="240" w:lineRule="auto"/>
        <w:ind w:left="-12" w:hanging="414"/>
        <w:textAlignment w:val="auto"/>
        <w:rPr>
          <w:rFonts w:cs="Arial"/>
          <w:sz w:val="22"/>
          <w:szCs w:val="22"/>
        </w:rPr>
      </w:pPr>
      <w:r w:rsidRPr="001E05C6">
        <w:rPr>
          <w:rFonts w:cs="Arial"/>
          <w:sz w:val="22"/>
          <w:szCs w:val="22"/>
        </w:rPr>
        <w:t>De conformidad con lo señalado en el artículo 25 del Tratado de Creación del Tribunal de J</w:t>
      </w:r>
      <w:r w:rsidR="00037F4C" w:rsidRPr="001E05C6">
        <w:rPr>
          <w:rFonts w:cs="Arial"/>
          <w:sz w:val="22"/>
          <w:szCs w:val="22"/>
        </w:rPr>
        <w:t xml:space="preserve">usticia de la Comunidad Andina </w:t>
      </w:r>
      <w:r w:rsidRPr="001E05C6">
        <w:rPr>
          <w:rFonts w:cs="Arial"/>
          <w:sz w:val="22"/>
          <w:szCs w:val="22"/>
        </w:rPr>
        <w:t xml:space="preserve">y el artículo 13 de la Decisión 623, la </w:t>
      </w:r>
      <w:r w:rsidR="00037F4C" w:rsidRPr="001E05C6">
        <w:rPr>
          <w:rFonts w:cs="Arial"/>
          <w:sz w:val="22"/>
          <w:szCs w:val="22"/>
        </w:rPr>
        <w:t>SGCAN</w:t>
      </w:r>
      <w:r w:rsidRPr="001E05C6">
        <w:rPr>
          <w:rFonts w:cs="Arial"/>
          <w:sz w:val="22"/>
          <w:szCs w:val="22"/>
        </w:rPr>
        <w:t xml:space="preserve">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rsidR="00B52F7D" w:rsidRPr="001E05C6" w:rsidRDefault="00B52F7D" w:rsidP="001E05C6">
      <w:pPr>
        <w:widowControl/>
        <w:adjustRightInd/>
        <w:spacing w:line="240" w:lineRule="auto"/>
        <w:ind w:left="-12"/>
        <w:textAlignment w:val="auto"/>
        <w:rPr>
          <w:rFonts w:cs="Arial"/>
          <w:sz w:val="22"/>
          <w:szCs w:val="22"/>
        </w:rPr>
      </w:pPr>
    </w:p>
    <w:p w:rsidR="00B52F7D" w:rsidRPr="001E05C6" w:rsidRDefault="00B52F7D" w:rsidP="001E05C6">
      <w:pPr>
        <w:widowControl/>
        <w:numPr>
          <w:ilvl w:val="0"/>
          <w:numId w:val="2"/>
        </w:numPr>
        <w:adjustRightInd/>
        <w:spacing w:line="240" w:lineRule="auto"/>
        <w:ind w:left="-12" w:hanging="414"/>
        <w:textAlignment w:val="auto"/>
        <w:rPr>
          <w:rFonts w:cs="Arial"/>
          <w:sz w:val="22"/>
          <w:szCs w:val="22"/>
        </w:rPr>
      </w:pPr>
      <w:r w:rsidRPr="001E05C6">
        <w:rPr>
          <w:rFonts w:cs="Arial"/>
          <w:sz w:val="22"/>
          <w:szCs w:val="22"/>
        </w:rPr>
        <w:t>E</w:t>
      </w:r>
      <w:r w:rsidRPr="001E05C6">
        <w:rPr>
          <w:rFonts w:cs="Arial"/>
          <w:bCs/>
          <w:sz w:val="22"/>
          <w:szCs w:val="22"/>
        </w:rPr>
        <w:t xml:space="preserve">stá reconocido en el ordenamiento jurídico comunitario y la jurisprudencia andina que en la acción de incumplimiento se verifica </w:t>
      </w:r>
      <w:r w:rsidRPr="001E05C6">
        <w:rPr>
          <w:rFonts w:cs="Arial"/>
          <w:snapToGrid w:val="0"/>
          <w:sz w:val="22"/>
          <w:szCs w:val="22"/>
          <w:lang w:eastAsia="es-ES"/>
        </w:rPr>
        <w:t xml:space="preserve">cualquier medida, </w:t>
      </w:r>
      <w:r w:rsidRPr="001E05C6">
        <w:rPr>
          <w:rFonts w:cs="Arial"/>
          <w:i/>
          <w:snapToGrid w:val="0"/>
          <w:sz w:val="22"/>
          <w:szCs w:val="22"/>
          <w:lang w:eastAsia="es-ES"/>
        </w:rPr>
        <w:t>“sea legislativa, judicial, ejecutiva</w:t>
      </w:r>
      <w:r w:rsidR="00BF48F7" w:rsidRPr="001E05C6">
        <w:rPr>
          <w:rFonts w:cs="Arial"/>
          <w:i/>
          <w:snapToGrid w:val="0"/>
          <w:sz w:val="22"/>
          <w:szCs w:val="22"/>
          <w:lang w:eastAsia="es-ES"/>
        </w:rPr>
        <w:t>,</w:t>
      </w:r>
      <w:r w:rsidRPr="001E05C6">
        <w:rPr>
          <w:rFonts w:cs="Arial"/>
          <w:i/>
          <w:snapToGrid w:val="0"/>
          <w:sz w:val="22"/>
          <w:szCs w:val="22"/>
          <w:lang w:eastAsia="es-ES"/>
        </w:rPr>
        <w:t xml:space="preserve"> o administrativa</w:t>
      </w:r>
      <w:r w:rsidRPr="001E05C6">
        <w:rPr>
          <w:rFonts w:cs="Arial"/>
          <w:b/>
          <w:i/>
          <w:snapToGrid w:val="0"/>
          <w:sz w:val="22"/>
          <w:szCs w:val="22"/>
          <w:lang w:eastAsia="es-ES"/>
        </w:rPr>
        <w:t xml:space="preserve"> </w:t>
      </w:r>
      <w:r w:rsidRPr="001E05C6">
        <w:rPr>
          <w:rFonts w:cs="Arial"/>
          <w:i/>
          <w:snapToGrid w:val="0"/>
          <w:sz w:val="22"/>
          <w:szCs w:val="22"/>
          <w:lang w:eastAsia="es-ES"/>
        </w:rPr>
        <w:t>del orden central o descentralizado geográficamente o por servicios, lláme</w:t>
      </w:r>
      <w:r w:rsidR="00BF48F7" w:rsidRPr="001E05C6">
        <w:rPr>
          <w:rFonts w:cs="Arial"/>
          <w:i/>
          <w:snapToGrid w:val="0"/>
          <w:sz w:val="22"/>
          <w:szCs w:val="22"/>
          <w:lang w:eastAsia="es-ES"/>
        </w:rPr>
        <w:t>n</w:t>
      </w:r>
      <w:r w:rsidRPr="001E05C6">
        <w:rPr>
          <w:rFonts w:cs="Arial"/>
          <w:i/>
          <w:snapToGrid w:val="0"/>
          <w:sz w:val="22"/>
          <w:szCs w:val="22"/>
          <w:lang w:eastAsia="es-ES"/>
        </w:rPr>
        <w:t>se (…)</w:t>
      </w:r>
      <w:r w:rsidR="00BF48F7" w:rsidRPr="001E05C6">
        <w:rPr>
          <w:rFonts w:cs="Arial"/>
          <w:i/>
          <w:snapToGrid w:val="0"/>
          <w:sz w:val="22"/>
          <w:szCs w:val="22"/>
          <w:lang w:eastAsia="es-ES"/>
        </w:rPr>
        <w:t xml:space="preserve"> sentencias o providencias</w:t>
      </w:r>
      <w:r w:rsidRPr="001E05C6">
        <w:rPr>
          <w:rFonts w:cs="Arial"/>
          <w:i/>
          <w:snapToGrid w:val="0"/>
          <w:sz w:val="22"/>
          <w:szCs w:val="22"/>
          <w:lang w:eastAsia="es-ES"/>
        </w:rPr>
        <w:t xml:space="preserve"> que puedan obstaculizar la aplicación del ordenamiento jurídico andino”</w:t>
      </w:r>
      <w:r w:rsidRPr="001E05C6">
        <w:rPr>
          <w:rStyle w:val="Refdenotaalpie"/>
          <w:rFonts w:cs="Arial"/>
          <w:i/>
          <w:snapToGrid w:val="0"/>
          <w:sz w:val="22"/>
          <w:szCs w:val="22"/>
          <w:lang w:eastAsia="es-ES"/>
        </w:rPr>
        <w:footnoteReference w:id="22"/>
      </w:r>
      <w:r w:rsidRPr="001E05C6">
        <w:rPr>
          <w:rFonts w:cs="Arial"/>
          <w:i/>
          <w:snapToGrid w:val="0"/>
          <w:sz w:val="22"/>
          <w:szCs w:val="22"/>
          <w:lang w:eastAsia="es-ES"/>
        </w:rPr>
        <w:t>.</w:t>
      </w:r>
    </w:p>
    <w:p w:rsidR="0069028A" w:rsidRPr="001E05C6" w:rsidRDefault="0069028A" w:rsidP="001E05C6">
      <w:pPr>
        <w:pStyle w:val="Prrafodelista"/>
        <w:spacing w:line="240" w:lineRule="auto"/>
        <w:rPr>
          <w:rFonts w:cs="Arial"/>
          <w:bCs/>
          <w:sz w:val="22"/>
          <w:szCs w:val="22"/>
        </w:rPr>
      </w:pPr>
    </w:p>
    <w:p w:rsidR="0069028A" w:rsidRPr="001E05C6" w:rsidRDefault="00F54C5C" w:rsidP="001E05C6">
      <w:pPr>
        <w:widowControl/>
        <w:numPr>
          <w:ilvl w:val="0"/>
          <w:numId w:val="2"/>
        </w:numPr>
        <w:adjustRightInd/>
        <w:spacing w:line="240" w:lineRule="auto"/>
        <w:ind w:left="-12" w:hanging="414"/>
        <w:textAlignment w:val="auto"/>
        <w:rPr>
          <w:rFonts w:cs="Arial"/>
          <w:bCs/>
          <w:sz w:val="22"/>
          <w:szCs w:val="22"/>
        </w:rPr>
      </w:pPr>
      <w:r w:rsidRPr="001E05C6">
        <w:rPr>
          <w:rFonts w:cs="Arial"/>
          <w:bCs/>
          <w:sz w:val="22"/>
          <w:szCs w:val="22"/>
        </w:rPr>
        <w:t>Asimismo</w:t>
      </w:r>
      <w:r w:rsidR="0069028A" w:rsidRPr="001E05C6">
        <w:rPr>
          <w:rFonts w:cs="Arial"/>
          <w:bCs/>
          <w:sz w:val="22"/>
          <w:szCs w:val="22"/>
        </w:rPr>
        <w:t>, el TJCA ha señalado</w:t>
      </w:r>
      <w:r w:rsidRPr="001E05C6">
        <w:rPr>
          <w:rFonts w:cs="Arial"/>
          <w:bCs/>
          <w:sz w:val="22"/>
          <w:szCs w:val="22"/>
        </w:rPr>
        <w:t xml:space="preserve"> lo siguiente:</w:t>
      </w:r>
    </w:p>
    <w:p w:rsidR="0069028A" w:rsidRPr="001E05C6" w:rsidRDefault="0069028A" w:rsidP="001E05C6">
      <w:pPr>
        <w:widowControl/>
        <w:spacing w:line="240" w:lineRule="auto"/>
        <w:rPr>
          <w:rFonts w:cs="Arial"/>
          <w:sz w:val="22"/>
          <w:szCs w:val="22"/>
        </w:rPr>
      </w:pPr>
    </w:p>
    <w:p w:rsidR="00F54C5C" w:rsidRPr="001E05C6" w:rsidRDefault="0069028A" w:rsidP="001E05C6">
      <w:pPr>
        <w:widowControl/>
        <w:spacing w:line="240" w:lineRule="auto"/>
        <w:ind w:left="1134"/>
        <w:rPr>
          <w:rFonts w:cs="Arial"/>
          <w:i/>
          <w:sz w:val="22"/>
          <w:szCs w:val="22"/>
        </w:rPr>
      </w:pPr>
      <w:r w:rsidRPr="001E05C6">
        <w:rPr>
          <w:rFonts w:cs="Arial"/>
          <w:i/>
          <w:sz w:val="22"/>
          <w:szCs w:val="22"/>
        </w:rPr>
        <w:t xml:space="preserve">“Por otro lado, este Tribunal considera pertinente señalar que, el hecho que </w:t>
      </w:r>
      <w:r w:rsidRPr="001E05C6">
        <w:rPr>
          <w:rFonts w:cs="Arial"/>
          <w:b/>
          <w:i/>
          <w:sz w:val="22"/>
          <w:szCs w:val="22"/>
          <w:u w:val="single"/>
        </w:rPr>
        <w:t>el juez de un País Miembro no solicite interpretación prejudicial cuando ésta es obligatoria, constituye un incumplimiento por parte del País Miembro</w:t>
      </w:r>
      <w:r w:rsidRPr="001E05C6">
        <w:rPr>
          <w:rFonts w:cs="Arial"/>
          <w:i/>
          <w:sz w:val="22"/>
          <w:szCs w:val="22"/>
        </w:rPr>
        <w:t xml:space="preserve"> respecto de las obligaciones emanadas de las normas que conforman el Ordenamiento Jurídico de la Comunidad Andina, siendo este incumplimiento susceptible de ser perseguido mediante la denominada </w:t>
      </w:r>
      <w:r w:rsidRPr="001E05C6">
        <w:rPr>
          <w:rFonts w:cs="Arial"/>
          <w:i/>
          <w:sz w:val="22"/>
          <w:szCs w:val="22"/>
        </w:rPr>
        <w:lastRenderedPageBreak/>
        <w:t>“acción de incumplimiento”, la cual es regulada en los artículos 23 y siguientes del Tratad</w:t>
      </w:r>
      <w:r w:rsidR="00F54C5C" w:rsidRPr="001E05C6">
        <w:rPr>
          <w:rFonts w:cs="Arial"/>
          <w:i/>
          <w:sz w:val="22"/>
          <w:szCs w:val="22"/>
        </w:rPr>
        <w:t>o de Creación de este Tribunal.</w:t>
      </w:r>
    </w:p>
    <w:p w:rsidR="0069028A" w:rsidRPr="001E05C6" w:rsidRDefault="0069028A" w:rsidP="001E05C6">
      <w:pPr>
        <w:widowControl/>
        <w:spacing w:line="240" w:lineRule="auto"/>
        <w:ind w:left="1134"/>
        <w:rPr>
          <w:rFonts w:cs="Arial"/>
          <w:i/>
          <w:sz w:val="22"/>
          <w:szCs w:val="22"/>
        </w:rPr>
      </w:pPr>
      <w:r w:rsidRPr="001E05C6">
        <w:rPr>
          <w:rFonts w:cs="Arial"/>
          <w:i/>
          <w:sz w:val="22"/>
          <w:szCs w:val="22"/>
        </w:rPr>
        <w:t xml:space="preserve"> (…)”</w:t>
      </w:r>
      <w:r w:rsidRPr="001E05C6">
        <w:rPr>
          <w:rStyle w:val="Refdenotaalpie"/>
          <w:rFonts w:cs="Arial"/>
          <w:i/>
          <w:sz w:val="22"/>
          <w:szCs w:val="22"/>
        </w:rPr>
        <w:footnoteReference w:id="23"/>
      </w:r>
      <w:r w:rsidRPr="001E05C6">
        <w:rPr>
          <w:rFonts w:cs="Arial"/>
          <w:i/>
          <w:sz w:val="22"/>
          <w:szCs w:val="22"/>
        </w:rPr>
        <w:t xml:space="preserve"> .</w:t>
      </w:r>
      <w:r w:rsidR="00E812D0" w:rsidRPr="001E05C6">
        <w:rPr>
          <w:rFonts w:cs="Arial"/>
          <w:i/>
          <w:sz w:val="22"/>
          <w:szCs w:val="22"/>
        </w:rPr>
        <w:t xml:space="preserve"> </w:t>
      </w:r>
      <w:r w:rsidR="00EB6CD2" w:rsidRPr="001E05C6">
        <w:rPr>
          <w:rFonts w:cs="Arial"/>
          <w:sz w:val="22"/>
          <w:szCs w:val="22"/>
        </w:rPr>
        <w:t>(El é</w:t>
      </w:r>
      <w:r w:rsidR="00E812D0" w:rsidRPr="001E05C6">
        <w:rPr>
          <w:rFonts w:cs="Arial"/>
          <w:sz w:val="22"/>
          <w:szCs w:val="22"/>
        </w:rPr>
        <w:t xml:space="preserve">nfasis </w:t>
      </w:r>
      <w:r w:rsidR="00EB6CD2" w:rsidRPr="001E05C6">
        <w:rPr>
          <w:rFonts w:cs="Arial"/>
          <w:sz w:val="22"/>
          <w:szCs w:val="22"/>
        </w:rPr>
        <w:t>nos corresponde</w:t>
      </w:r>
      <w:r w:rsidR="00E812D0" w:rsidRPr="001E05C6">
        <w:rPr>
          <w:rFonts w:cs="Arial"/>
          <w:sz w:val="22"/>
          <w:szCs w:val="22"/>
        </w:rPr>
        <w:t>)</w:t>
      </w:r>
    </w:p>
    <w:p w:rsidR="00946972" w:rsidRPr="001E05C6" w:rsidRDefault="00946972" w:rsidP="001E05C6">
      <w:pPr>
        <w:widowControl/>
        <w:adjustRightInd/>
        <w:spacing w:line="240" w:lineRule="auto"/>
        <w:textAlignment w:val="auto"/>
        <w:rPr>
          <w:rFonts w:cs="Arial"/>
          <w:sz w:val="22"/>
          <w:szCs w:val="22"/>
        </w:rPr>
      </w:pPr>
    </w:p>
    <w:p w:rsidR="00EB6CD2" w:rsidRPr="001E05C6" w:rsidRDefault="00EB6CD2" w:rsidP="001E05C6">
      <w:pPr>
        <w:widowControl/>
        <w:numPr>
          <w:ilvl w:val="0"/>
          <w:numId w:val="2"/>
        </w:numPr>
        <w:adjustRightInd/>
        <w:spacing w:line="240" w:lineRule="auto"/>
        <w:ind w:left="-12" w:hanging="414"/>
        <w:textAlignment w:val="auto"/>
        <w:rPr>
          <w:rFonts w:cs="Arial"/>
          <w:sz w:val="22"/>
          <w:szCs w:val="22"/>
        </w:rPr>
      </w:pPr>
      <w:r w:rsidRPr="001E05C6">
        <w:rPr>
          <w:rFonts w:cs="Arial"/>
          <w:sz w:val="22"/>
          <w:szCs w:val="22"/>
        </w:rPr>
        <w:t>Al respecto, con fecha 4 de mayo de 2018, se recibió por parte de la empresa TELEFÓNICA DEL PERÚ S.A.A. un reclamo contra la República del Perú, por el presunto incumplimiento de los artículos 4, 33, 35 y 36 del TCTJCA y los artículos 123, 127 y 128 de la Decisión 500, con motivo de la expedición de la sentencia de casación No. 474-2016 de la Tercera Sala de Derecho Constitucional y Social Transitoria de la Corte Suprema de Justicia de dicho País Miembro, la cual habría sido emitida sin haber mediado la consulta prejudicial al TJCA.</w:t>
      </w:r>
    </w:p>
    <w:p w:rsidR="00EB6CD2" w:rsidRPr="001E05C6" w:rsidRDefault="00EB6CD2" w:rsidP="001E05C6">
      <w:pPr>
        <w:widowControl/>
        <w:adjustRightInd/>
        <w:spacing w:line="240" w:lineRule="auto"/>
        <w:ind w:left="-12"/>
        <w:textAlignment w:val="auto"/>
        <w:rPr>
          <w:rFonts w:cs="Arial"/>
          <w:sz w:val="22"/>
          <w:szCs w:val="22"/>
        </w:rPr>
      </w:pPr>
    </w:p>
    <w:p w:rsidR="00B52F7D" w:rsidRPr="001E05C6" w:rsidRDefault="00B52F7D" w:rsidP="001E05C6">
      <w:pPr>
        <w:widowControl/>
        <w:numPr>
          <w:ilvl w:val="0"/>
          <w:numId w:val="2"/>
        </w:numPr>
        <w:adjustRightInd/>
        <w:spacing w:line="240" w:lineRule="auto"/>
        <w:ind w:left="-12" w:hanging="414"/>
        <w:textAlignment w:val="auto"/>
        <w:rPr>
          <w:rFonts w:cs="Arial"/>
          <w:sz w:val="22"/>
          <w:szCs w:val="22"/>
        </w:rPr>
      </w:pPr>
      <w:r w:rsidRPr="001E05C6">
        <w:rPr>
          <w:rFonts w:cs="Arial"/>
          <w:sz w:val="22"/>
          <w:szCs w:val="22"/>
        </w:rPr>
        <w:t xml:space="preserve">En </w:t>
      </w:r>
      <w:r w:rsidR="0092474C" w:rsidRPr="001E05C6">
        <w:rPr>
          <w:rFonts w:cs="Arial"/>
          <w:sz w:val="22"/>
          <w:szCs w:val="22"/>
        </w:rPr>
        <w:t>ese</w:t>
      </w:r>
      <w:r w:rsidRPr="001E05C6">
        <w:rPr>
          <w:rFonts w:cs="Arial"/>
          <w:sz w:val="22"/>
          <w:szCs w:val="22"/>
        </w:rPr>
        <w:t xml:space="preserve"> sentido, de conformidad con lo expuesto, se advierte que la Secretaría General es competente para conocer </w:t>
      </w:r>
      <w:r w:rsidR="00CF0F3C" w:rsidRPr="001E05C6">
        <w:rPr>
          <w:rFonts w:cs="Arial"/>
          <w:sz w:val="22"/>
          <w:szCs w:val="22"/>
        </w:rPr>
        <w:t>el reclamo planteado</w:t>
      </w:r>
      <w:r w:rsidR="0092474C" w:rsidRPr="001E05C6">
        <w:rPr>
          <w:rFonts w:cs="Arial"/>
          <w:sz w:val="22"/>
          <w:szCs w:val="22"/>
        </w:rPr>
        <w:t>.</w:t>
      </w:r>
    </w:p>
    <w:p w:rsidR="00B52F7D" w:rsidRPr="001E05C6" w:rsidRDefault="00B52F7D" w:rsidP="001E05C6">
      <w:pPr>
        <w:spacing w:line="240" w:lineRule="auto"/>
        <w:rPr>
          <w:rFonts w:cs="Arial"/>
          <w:sz w:val="22"/>
          <w:szCs w:val="22"/>
        </w:rPr>
      </w:pPr>
    </w:p>
    <w:p w:rsidR="00DE7892" w:rsidRPr="001E05C6" w:rsidRDefault="007C7BF9" w:rsidP="001E05C6">
      <w:pPr>
        <w:pStyle w:val="Prrafodelista"/>
        <w:numPr>
          <w:ilvl w:val="2"/>
          <w:numId w:val="14"/>
        </w:numPr>
        <w:spacing w:line="240" w:lineRule="auto"/>
        <w:ind w:left="709" w:hanging="709"/>
        <w:contextualSpacing w:val="0"/>
        <w:rPr>
          <w:rFonts w:cs="Arial"/>
          <w:b/>
          <w:sz w:val="22"/>
          <w:szCs w:val="22"/>
        </w:rPr>
      </w:pPr>
      <w:r w:rsidRPr="001E05C6">
        <w:rPr>
          <w:rFonts w:cs="Arial"/>
          <w:b/>
          <w:bCs/>
          <w:color w:val="000000"/>
          <w:sz w:val="22"/>
          <w:szCs w:val="22"/>
        </w:rPr>
        <w:t xml:space="preserve">Sobre </w:t>
      </w:r>
      <w:r w:rsidR="00EF5799" w:rsidRPr="001E05C6">
        <w:rPr>
          <w:rFonts w:cs="Arial"/>
          <w:b/>
          <w:bCs/>
          <w:color w:val="000000"/>
          <w:sz w:val="22"/>
          <w:szCs w:val="22"/>
        </w:rPr>
        <w:t>si</w:t>
      </w:r>
      <w:r w:rsidR="00DE7892" w:rsidRPr="001E05C6">
        <w:rPr>
          <w:rFonts w:cs="Arial"/>
          <w:b/>
          <w:bCs/>
          <w:color w:val="000000"/>
          <w:sz w:val="22"/>
          <w:szCs w:val="22"/>
        </w:rPr>
        <w:t xml:space="preserve"> el reclamo cumple los requisitos del artículo 14 de la Decisión 623:</w:t>
      </w:r>
    </w:p>
    <w:p w:rsidR="00DE7892" w:rsidRPr="001E05C6" w:rsidRDefault="00DE7892" w:rsidP="001E05C6">
      <w:pPr>
        <w:spacing w:line="240" w:lineRule="auto"/>
        <w:rPr>
          <w:rFonts w:cs="Arial"/>
          <w:sz w:val="22"/>
          <w:szCs w:val="22"/>
        </w:rPr>
      </w:pPr>
    </w:p>
    <w:p w:rsidR="00072EE2" w:rsidRPr="001E05C6" w:rsidRDefault="00F73DBE" w:rsidP="001E05C6">
      <w:pPr>
        <w:widowControl/>
        <w:numPr>
          <w:ilvl w:val="0"/>
          <w:numId w:val="2"/>
        </w:numPr>
        <w:adjustRightInd/>
        <w:spacing w:line="240" w:lineRule="auto"/>
        <w:ind w:left="-12" w:hanging="414"/>
        <w:textAlignment w:val="auto"/>
        <w:rPr>
          <w:rFonts w:cs="Arial"/>
          <w:color w:val="000000"/>
          <w:sz w:val="22"/>
          <w:szCs w:val="22"/>
          <w:shd w:val="clear" w:color="auto" w:fill="FFFFFF"/>
        </w:rPr>
      </w:pPr>
      <w:r w:rsidRPr="001E05C6">
        <w:rPr>
          <w:rFonts w:cs="Arial"/>
          <w:sz w:val="22"/>
          <w:szCs w:val="22"/>
        </w:rPr>
        <w:t xml:space="preserve">La reclamada no ha </w:t>
      </w:r>
      <w:r w:rsidR="005901B0" w:rsidRPr="001E05C6">
        <w:rPr>
          <w:rFonts w:cs="Arial"/>
          <w:sz w:val="22"/>
          <w:szCs w:val="22"/>
        </w:rPr>
        <w:t>objetado</w:t>
      </w:r>
      <w:r w:rsidRPr="001E05C6">
        <w:rPr>
          <w:rFonts w:cs="Arial"/>
          <w:sz w:val="22"/>
          <w:szCs w:val="22"/>
        </w:rPr>
        <w:t xml:space="preserve"> el cumplimiento de</w:t>
      </w:r>
      <w:r w:rsidR="00F54C5C" w:rsidRPr="001E05C6">
        <w:rPr>
          <w:rFonts w:cs="Arial"/>
          <w:sz w:val="22"/>
          <w:szCs w:val="22"/>
        </w:rPr>
        <w:t xml:space="preserve"> los requisitos del artículo 14 de la Decisión 623, analizados mediante Comunicaciones SG/E/SJ/839/2018 de fecha 10 de mayo de 2018</w:t>
      </w:r>
      <w:r w:rsidR="00F54C5C" w:rsidRPr="001E05C6">
        <w:rPr>
          <w:rFonts w:cs="Arial"/>
          <w:color w:val="000000"/>
          <w:sz w:val="22"/>
          <w:szCs w:val="22"/>
          <w:shd w:val="clear" w:color="auto" w:fill="FFFFFF"/>
        </w:rPr>
        <w:t xml:space="preserve"> y SG/E/SJ/913/2018 de fecha 23 de mayo de 2018</w:t>
      </w:r>
      <w:r w:rsidR="00EF5799" w:rsidRPr="001E05C6">
        <w:rPr>
          <w:rFonts w:cs="Arial"/>
          <w:color w:val="000000"/>
          <w:sz w:val="22"/>
          <w:szCs w:val="22"/>
          <w:shd w:val="clear" w:color="auto" w:fill="FFFFFF"/>
        </w:rPr>
        <w:t xml:space="preserve">. </w:t>
      </w:r>
    </w:p>
    <w:p w:rsidR="00072EE2" w:rsidRPr="001E05C6" w:rsidRDefault="00072EE2" w:rsidP="001E05C6">
      <w:pPr>
        <w:widowControl/>
        <w:adjustRightInd/>
        <w:spacing w:line="240" w:lineRule="auto"/>
        <w:ind w:left="-12"/>
        <w:textAlignment w:val="auto"/>
        <w:rPr>
          <w:rFonts w:cs="Arial"/>
          <w:color w:val="000000"/>
          <w:sz w:val="22"/>
          <w:szCs w:val="22"/>
          <w:shd w:val="clear" w:color="auto" w:fill="FFFFFF"/>
        </w:rPr>
      </w:pPr>
    </w:p>
    <w:p w:rsidR="005901B0" w:rsidRPr="001E05C6" w:rsidRDefault="005901B0" w:rsidP="001E05C6">
      <w:pPr>
        <w:widowControl/>
        <w:numPr>
          <w:ilvl w:val="0"/>
          <w:numId w:val="2"/>
        </w:numPr>
        <w:adjustRightInd/>
        <w:spacing w:line="240" w:lineRule="auto"/>
        <w:ind w:left="-12" w:hanging="414"/>
        <w:textAlignment w:val="auto"/>
        <w:rPr>
          <w:rFonts w:cs="Arial"/>
          <w:sz w:val="22"/>
          <w:szCs w:val="22"/>
        </w:rPr>
      </w:pPr>
      <w:r w:rsidRPr="001E05C6">
        <w:rPr>
          <w:rFonts w:cs="Arial"/>
          <w:sz w:val="22"/>
          <w:szCs w:val="22"/>
        </w:rPr>
        <w:t xml:space="preserve">Sin perjuicio de ello, </w:t>
      </w:r>
      <w:r w:rsidR="00072EE2" w:rsidRPr="001E05C6">
        <w:rPr>
          <w:rFonts w:cs="Arial"/>
          <w:sz w:val="22"/>
          <w:szCs w:val="22"/>
        </w:rPr>
        <w:t>mediante Comunicac</w:t>
      </w:r>
      <w:r w:rsidR="00716AE8" w:rsidRPr="001E05C6">
        <w:rPr>
          <w:rFonts w:cs="Arial"/>
          <w:sz w:val="22"/>
          <w:szCs w:val="22"/>
        </w:rPr>
        <w:t>iones</w:t>
      </w:r>
      <w:r w:rsidR="00072EE2" w:rsidRPr="001E05C6">
        <w:rPr>
          <w:rFonts w:cs="Arial"/>
          <w:sz w:val="22"/>
          <w:szCs w:val="22"/>
        </w:rPr>
        <w:t xml:space="preserve"> SG/E/SJ/1051/2018 de fecha 6 de junio de 2018</w:t>
      </w:r>
      <w:r w:rsidR="00716AE8" w:rsidRPr="001E05C6">
        <w:rPr>
          <w:rFonts w:cs="Arial"/>
          <w:sz w:val="22"/>
          <w:szCs w:val="22"/>
        </w:rPr>
        <w:t xml:space="preserve"> y SG/E/SJ/1146/2018 de fecha 19 de junio de 2018</w:t>
      </w:r>
      <w:r w:rsidR="00072EE2" w:rsidRPr="001E05C6">
        <w:rPr>
          <w:rFonts w:cs="Arial"/>
          <w:sz w:val="22"/>
          <w:szCs w:val="22"/>
        </w:rPr>
        <w:t>, la Secretaría General se reservó el derecho de analizar el caráct</w:t>
      </w:r>
      <w:r w:rsidR="00716AE8" w:rsidRPr="001E05C6">
        <w:rPr>
          <w:rFonts w:cs="Arial"/>
          <w:sz w:val="22"/>
          <w:szCs w:val="22"/>
        </w:rPr>
        <w:t>er flagrante del incumplimiento</w:t>
      </w:r>
      <w:r w:rsidR="004C4466" w:rsidRPr="001E05C6">
        <w:rPr>
          <w:rFonts w:cs="Arial"/>
          <w:sz w:val="22"/>
          <w:szCs w:val="22"/>
        </w:rPr>
        <w:t xml:space="preserve"> mediante el presente Dictamen</w:t>
      </w:r>
      <w:r w:rsidR="00716AE8" w:rsidRPr="001E05C6">
        <w:rPr>
          <w:rFonts w:cs="Arial"/>
          <w:sz w:val="22"/>
          <w:szCs w:val="22"/>
        </w:rPr>
        <w:t xml:space="preserve">. Ello, en atención a que se requería de un análisis pormenorizado del fondo para que esta Secretaría </w:t>
      </w:r>
      <w:r w:rsidR="00CF0F3C" w:rsidRPr="001E05C6">
        <w:rPr>
          <w:rFonts w:cs="Arial"/>
          <w:sz w:val="22"/>
          <w:szCs w:val="22"/>
        </w:rPr>
        <w:t>emita pronunciamiento al respecto.</w:t>
      </w:r>
    </w:p>
    <w:p w:rsidR="00B52F7D" w:rsidRPr="001E05C6" w:rsidRDefault="00B52F7D" w:rsidP="001E05C6">
      <w:pPr>
        <w:pStyle w:val="Prrafodelista"/>
        <w:spacing w:line="240" w:lineRule="auto"/>
        <w:ind w:left="1080"/>
        <w:contextualSpacing w:val="0"/>
        <w:rPr>
          <w:rFonts w:cs="Arial"/>
          <w:sz w:val="22"/>
          <w:szCs w:val="22"/>
        </w:rPr>
      </w:pPr>
    </w:p>
    <w:p w:rsidR="007851F4" w:rsidRPr="001E05C6" w:rsidRDefault="007C7BF9" w:rsidP="001E05C6">
      <w:pPr>
        <w:spacing w:line="240" w:lineRule="auto"/>
        <w:ind w:hanging="426"/>
        <w:rPr>
          <w:rFonts w:cs="Arial"/>
          <w:b/>
          <w:bCs/>
          <w:sz w:val="22"/>
          <w:szCs w:val="22"/>
        </w:rPr>
      </w:pPr>
      <w:r w:rsidRPr="001E05C6">
        <w:rPr>
          <w:rFonts w:cs="Arial"/>
          <w:b/>
          <w:bCs/>
          <w:sz w:val="22"/>
          <w:szCs w:val="22"/>
        </w:rPr>
        <w:t>5.2. Respecto a</w:t>
      </w:r>
      <w:r w:rsidR="007851F4" w:rsidRPr="001E05C6">
        <w:rPr>
          <w:rFonts w:cs="Arial"/>
          <w:b/>
          <w:bCs/>
          <w:sz w:val="22"/>
          <w:szCs w:val="22"/>
        </w:rPr>
        <w:t xml:space="preserve"> las cuestiones de </w:t>
      </w:r>
      <w:r w:rsidR="00245FFF" w:rsidRPr="001E05C6">
        <w:rPr>
          <w:rFonts w:cs="Arial"/>
          <w:b/>
          <w:bCs/>
          <w:sz w:val="22"/>
          <w:szCs w:val="22"/>
        </w:rPr>
        <w:t>Fondo.-</w:t>
      </w:r>
    </w:p>
    <w:p w:rsidR="00163671" w:rsidRPr="001E05C6" w:rsidRDefault="00163671" w:rsidP="001E05C6">
      <w:pPr>
        <w:spacing w:line="240" w:lineRule="auto"/>
        <w:rPr>
          <w:rFonts w:cs="Arial"/>
          <w:b/>
          <w:sz w:val="22"/>
          <w:szCs w:val="22"/>
        </w:rPr>
      </w:pPr>
    </w:p>
    <w:p w:rsidR="00245FFF" w:rsidRPr="001E05C6" w:rsidRDefault="00163671" w:rsidP="001E05C6">
      <w:pPr>
        <w:pStyle w:val="Prrafodelista"/>
        <w:numPr>
          <w:ilvl w:val="2"/>
          <w:numId w:val="16"/>
        </w:numPr>
        <w:spacing w:line="240" w:lineRule="auto"/>
        <w:ind w:left="709" w:hanging="709"/>
        <w:contextualSpacing w:val="0"/>
        <w:rPr>
          <w:rFonts w:cs="Arial"/>
          <w:b/>
          <w:sz w:val="22"/>
          <w:szCs w:val="22"/>
        </w:rPr>
      </w:pPr>
      <w:r w:rsidRPr="001E05C6">
        <w:rPr>
          <w:rFonts w:cs="Arial"/>
          <w:b/>
          <w:sz w:val="22"/>
          <w:szCs w:val="22"/>
        </w:rPr>
        <w:t>El alegado incumplimiento de</w:t>
      </w:r>
      <w:r w:rsidR="004E400C" w:rsidRPr="001E05C6">
        <w:rPr>
          <w:rFonts w:cs="Arial"/>
          <w:b/>
          <w:sz w:val="22"/>
          <w:szCs w:val="22"/>
        </w:rPr>
        <w:t xml:space="preserve"> los</w:t>
      </w:r>
      <w:r w:rsidRPr="001E05C6">
        <w:rPr>
          <w:rFonts w:cs="Arial"/>
          <w:b/>
          <w:sz w:val="22"/>
          <w:szCs w:val="22"/>
        </w:rPr>
        <w:t xml:space="preserve"> </w:t>
      </w:r>
      <w:r w:rsidR="004E400C" w:rsidRPr="001E05C6">
        <w:rPr>
          <w:rFonts w:cs="Arial"/>
          <w:b/>
          <w:sz w:val="22"/>
          <w:szCs w:val="22"/>
        </w:rPr>
        <w:t>artículos</w:t>
      </w:r>
      <w:r w:rsidRPr="001E05C6">
        <w:rPr>
          <w:rFonts w:cs="Arial"/>
          <w:b/>
          <w:sz w:val="22"/>
          <w:szCs w:val="22"/>
        </w:rPr>
        <w:t xml:space="preserve"> 33</w:t>
      </w:r>
      <w:r w:rsidR="00232584" w:rsidRPr="001E05C6">
        <w:rPr>
          <w:rFonts w:cs="Arial"/>
          <w:b/>
          <w:sz w:val="22"/>
          <w:szCs w:val="22"/>
        </w:rPr>
        <w:t xml:space="preserve"> </w:t>
      </w:r>
      <w:r w:rsidR="004E400C" w:rsidRPr="001E05C6">
        <w:rPr>
          <w:rFonts w:cs="Arial"/>
          <w:b/>
          <w:sz w:val="22"/>
          <w:szCs w:val="22"/>
        </w:rPr>
        <w:t xml:space="preserve">y 36 </w:t>
      </w:r>
      <w:r w:rsidRPr="001E05C6">
        <w:rPr>
          <w:rFonts w:cs="Arial"/>
          <w:b/>
          <w:sz w:val="22"/>
          <w:szCs w:val="22"/>
        </w:rPr>
        <w:t xml:space="preserve">del Tratado de Creación del </w:t>
      </w:r>
      <w:r w:rsidR="00232584" w:rsidRPr="001E05C6">
        <w:rPr>
          <w:rFonts w:cs="Arial"/>
          <w:b/>
          <w:sz w:val="22"/>
          <w:szCs w:val="22"/>
        </w:rPr>
        <w:t>TJCA</w:t>
      </w:r>
      <w:r w:rsidR="00902BA1" w:rsidRPr="001E05C6">
        <w:rPr>
          <w:rFonts w:cs="Arial"/>
          <w:b/>
          <w:sz w:val="22"/>
          <w:szCs w:val="22"/>
        </w:rPr>
        <w:t xml:space="preserve"> y los artículos 123 y </w:t>
      </w:r>
      <w:r w:rsidR="005A0C65" w:rsidRPr="001E05C6">
        <w:rPr>
          <w:rFonts w:cs="Arial"/>
          <w:b/>
          <w:sz w:val="22"/>
          <w:szCs w:val="22"/>
        </w:rPr>
        <w:t>1</w:t>
      </w:r>
      <w:r w:rsidR="00902BA1" w:rsidRPr="001E05C6">
        <w:rPr>
          <w:rFonts w:cs="Arial"/>
          <w:b/>
          <w:sz w:val="22"/>
          <w:szCs w:val="22"/>
        </w:rPr>
        <w:t>2</w:t>
      </w:r>
      <w:r w:rsidR="004E400C" w:rsidRPr="001E05C6">
        <w:rPr>
          <w:rFonts w:cs="Arial"/>
          <w:b/>
          <w:sz w:val="22"/>
          <w:szCs w:val="22"/>
        </w:rPr>
        <w:t>8 de la Decisión 500</w:t>
      </w:r>
      <w:r w:rsidR="00853F86" w:rsidRPr="001E05C6">
        <w:rPr>
          <w:rFonts w:cs="Arial"/>
          <w:b/>
          <w:sz w:val="22"/>
          <w:szCs w:val="22"/>
        </w:rPr>
        <w:t>:</w:t>
      </w:r>
    </w:p>
    <w:p w:rsidR="00232584" w:rsidRPr="001E05C6" w:rsidRDefault="00232584" w:rsidP="001E05C6">
      <w:pPr>
        <w:pStyle w:val="Prrafodelista"/>
        <w:spacing w:line="240" w:lineRule="auto"/>
        <w:ind w:left="1134"/>
        <w:contextualSpacing w:val="0"/>
        <w:rPr>
          <w:rFonts w:cs="Arial"/>
          <w:b/>
          <w:sz w:val="22"/>
          <w:szCs w:val="22"/>
        </w:rPr>
      </w:pPr>
    </w:p>
    <w:p w:rsidR="005E0C6E" w:rsidRPr="001E05C6" w:rsidRDefault="005E0C6E" w:rsidP="001E05C6">
      <w:pPr>
        <w:widowControl/>
        <w:numPr>
          <w:ilvl w:val="0"/>
          <w:numId w:val="2"/>
        </w:numPr>
        <w:adjustRightInd/>
        <w:spacing w:line="240" w:lineRule="auto"/>
        <w:ind w:left="-12" w:hanging="414"/>
        <w:textAlignment w:val="auto"/>
        <w:rPr>
          <w:rFonts w:cs="Arial"/>
          <w:sz w:val="22"/>
          <w:szCs w:val="22"/>
        </w:rPr>
      </w:pPr>
      <w:r w:rsidRPr="001E05C6">
        <w:rPr>
          <w:rFonts w:cs="Arial"/>
          <w:sz w:val="22"/>
          <w:szCs w:val="22"/>
        </w:rPr>
        <w:t xml:space="preserve">El asunto principal del reclamo versa sobre el </w:t>
      </w:r>
      <w:r w:rsidR="00996BB1" w:rsidRPr="001E05C6">
        <w:rPr>
          <w:rFonts w:cs="Arial"/>
          <w:sz w:val="22"/>
          <w:szCs w:val="22"/>
        </w:rPr>
        <w:t xml:space="preserve">presunto </w:t>
      </w:r>
      <w:r w:rsidRPr="001E05C6">
        <w:rPr>
          <w:rFonts w:cs="Arial"/>
          <w:sz w:val="22"/>
          <w:szCs w:val="22"/>
        </w:rPr>
        <w:t>incumplimiento de los artículos 33 y 36 del Tratado de Creación del TJCA</w:t>
      </w:r>
      <w:r w:rsidR="00790A71" w:rsidRPr="001E05C6">
        <w:rPr>
          <w:rStyle w:val="Refdenotaalpie"/>
          <w:rFonts w:cs="Arial"/>
          <w:sz w:val="22"/>
          <w:szCs w:val="22"/>
        </w:rPr>
        <w:footnoteReference w:id="24"/>
      </w:r>
      <w:r w:rsidR="00435976" w:rsidRPr="001E05C6">
        <w:rPr>
          <w:rFonts w:cs="Arial"/>
          <w:sz w:val="22"/>
          <w:szCs w:val="22"/>
        </w:rPr>
        <w:t xml:space="preserve"> </w:t>
      </w:r>
      <w:r w:rsidRPr="001E05C6">
        <w:rPr>
          <w:rFonts w:cs="Arial"/>
          <w:sz w:val="22"/>
          <w:szCs w:val="22"/>
        </w:rPr>
        <w:t>y los artículos 123 y 128 de la Decisión 500</w:t>
      </w:r>
      <w:r w:rsidR="00790A71" w:rsidRPr="001E05C6">
        <w:rPr>
          <w:rStyle w:val="Refdenotaalpie"/>
          <w:rFonts w:cs="Arial"/>
          <w:sz w:val="22"/>
          <w:szCs w:val="22"/>
        </w:rPr>
        <w:footnoteReference w:id="25"/>
      </w:r>
      <w:r w:rsidRPr="001E05C6">
        <w:rPr>
          <w:rFonts w:cs="Arial"/>
          <w:sz w:val="22"/>
          <w:szCs w:val="22"/>
        </w:rPr>
        <w:t xml:space="preserve">; </w:t>
      </w:r>
      <w:r w:rsidRPr="001E05C6">
        <w:rPr>
          <w:rFonts w:cs="Arial"/>
          <w:sz w:val="22"/>
          <w:szCs w:val="22"/>
        </w:rPr>
        <w:lastRenderedPageBreak/>
        <w:t xml:space="preserve">los cuales </w:t>
      </w:r>
      <w:r w:rsidR="00782324" w:rsidRPr="001E05C6">
        <w:rPr>
          <w:rFonts w:cs="Arial"/>
          <w:sz w:val="22"/>
          <w:szCs w:val="22"/>
        </w:rPr>
        <w:t>contienen</w:t>
      </w:r>
      <w:r w:rsidRPr="001E05C6">
        <w:rPr>
          <w:rFonts w:cs="Arial"/>
          <w:sz w:val="22"/>
          <w:szCs w:val="22"/>
        </w:rPr>
        <w:t xml:space="preserve"> disposiciones referidas a la interpretación prejudicial </w:t>
      </w:r>
      <w:r w:rsidR="00AB2305" w:rsidRPr="001E05C6">
        <w:rPr>
          <w:rFonts w:cs="Arial"/>
          <w:sz w:val="22"/>
          <w:szCs w:val="22"/>
        </w:rPr>
        <w:t xml:space="preserve">por parte del TJCA, </w:t>
      </w:r>
      <w:r w:rsidRPr="001E05C6">
        <w:rPr>
          <w:rFonts w:cs="Arial"/>
          <w:sz w:val="22"/>
          <w:szCs w:val="22"/>
        </w:rPr>
        <w:t>de normas del ordenamiento jurídico comunitario que los jueces nacionales de los Países Miembros conozca</w:t>
      </w:r>
      <w:r w:rsidR="00782324" w:rsidRPr="001E05C6">
        <w:rPr>
          <w:rFonts w:cs="Arial"/>
          <w:sz w:val="22"/>
          <w:szCs w:val="22"/>
        </w:rPr>
        <w:t>n</w:t>
      </w:r>
      <w:r w:rsidRPr="001E05C6">
        <w:rPr>
          <w:rFonts w:cs="Arial"/>
          <w:sz w:val="22"/>
          <w:szCs w:val="22"/>
        </w:rPr>
        <w:t>.</w:t>
      </w:r>
    </w:p>
    <w:p w:rsidR="00996BB1" w:rsidRPr="001E05C6" w:rsidRDefault="00996BB1" w:rsidP="001E05C6">
      <w:pPr>
        <w:pStyle w:val="Prrafodelista"/>
        <w:spacing w:line="240" w:lineRule="auto"/>
        <w:rPr>
          <w:rFonts w:cs="Arial"/>
          <w:bCs/>
          <w:color w:val="000000"/>
          <w:sz w:val="22"/>
          <w:szCs w:val="22"/>
        </w:rPr>
      </w:pPr>
    </w:p>
    <w:p w:rsidR="00435976" w:rsidRPr="001E05C6" w:rsidRDefault="00553C42"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1E05C6">
        <w:rPr>
          <w:rFonts w:cs="Arial"/>
          <w:bCs/>
          <w:color w:val="000000"/>
          <w:sz w:val="22"/>
          <w:szCs w:val="22"/>
        </w:rPr>
        <w:t>En consideración</w:t>
      </w:r>
      <w:r w:rsidR="00996BB1" w:rsidRPr="001E05C6">
        <w:rPr>
          <w:rFonts w:cs="Arial"/>
          <w:bCs/>
          <w:color w:val="000000"/>
          <w:sz w:val="22"/>
          <w:szCs w:val="22"/>
        </w:rPr>
        <w:t xml:space="preserve"> a ello, </w:t>
      </w:r>
      <w:r w:rsidR="00A07C9A" w:rsidRPr="001E05C6">
        <w:rPr>
          <w:rFonts w:cs="Arial"/>
          <w:bCs/>
          <w:color w:val="000000"/>
          <w:sz w:val="22"/>
          <w:szCs w:val="22"/>
        </w:rPr>
        <w:t>corresponde</w:t>
      </w:r>
      <w:r w:rsidR="00996BB1" w:rsidRPr="001E05C6">
        <w:rPr>
          <w:rFonts w:cs="Arial"/>
          <w:bCs/>
          <w:color w:val="000000"/>
          <w:sz w:val="22"/>
          <w:szCs w:val="22"/>
        </w:rPr>
        <w:t xml:space="preserve"> traer a colación </w:t>
      </w:r>
      <w:r w:rsidR="003A2B30" w:rsidRPr="001E05C6">
        <w:rPr>
          <w:rFonts w:cs="Arial"/>
          <w:bCs/>
          <w:color w:val="000000"/>
          <w:sz w:val="22"/>
          <w:szCs w:val="22"/>
        </w:rPr>
        <w:t>las condiciones y parámetros</w:t>
      </w:r>
      <w:r w:rsidR="00996BB1" w:rsidRPr="001E05C6">
        <w:rPr>
          <w:rFonts w:cs="Arial"/>
          <w:bCs/>
          <w:color w:val="000000"/>
          <w:sz w:val="22"/>
          <w:szCs w:val="22"/>
        </w:rPr>
        <w:t xml:space="preserve"> </w:t>
      </w:r>
      <w:proofErr w:type="gramStart"/>
      <w:r w:rsidR="00005E85" w:rsidRPr="001E05C6">
        <w:rPr>
          <w:rFonts w:cs="Arial"/>
          <w:bCs/>
          <w:color w:val="000000"/>
          <w:sz w:val="22"/>
          <w:szCs w:val="22"/>
        </w:rPr>
        <w:t>referidas</w:t>
      </w:r>
      <w:proofErr w:type="gramEnd"/>
      <w:r w:rsidR="00005E85" w:rsidRPr="001E05C6">
        <w:rPr>
          <w:rFonts w:cs="Arial"/>
          <w:bCs/>
          <w:color w:val="000000"/>
          <w:sz w:val="22"/>
          <w:szCs w:val="22"/>
        </w:rPr>
        <w:t xml:space="preserve"> a</w:t>
      </w:r>
      <w:r w:rsidR="00996BB1" w:rsidRPr="001E05C6">
        <w:rPr>
          <w:rFonts w:cs="Arial"/>
          <w:bCs/>
          <w:color w:val="000000"/>
          <w:sz w:val="22"/>
          <w:szCs w:val="22"/>
        </w:rPr>
        <w:t xml:space="preserve"> la obligatoriedad de la interpretación prejudicial, </w:t>
      </w:r>
      <w:r w:rsidR="00005E85" w:rsidRPr="001E05C6">
        <w:rPr>
          <w:rFonts w:cs="Arial"/>
          <w:bCs/>
          <w:color w:val="000000"/>
          <w:sz w:val="22"/>
          <w:szCs w:val="22"/>
        </w:rPr>
        <w:t>conforme a</w:t>
      </w:r>
      <w:r w:rsidR="00996BB1" w:rsidRPr="001E05C6">
        <w:rPr>
          <w:rFonts w:cs="Arial"/>
          <w:bCs/>
          <w:color w:val="000000"/>
          <w:sz w:val="22"/>
          <w:szCs w:val="22"/>
        </w:rPr>
        <w:t xml:space="preserve"> las normas del ordenamiento jur</w:t>
      </w:r>
      <w:r w:rsidR="003A2B30" w:rsidRPr="001E05C6">
        <w:rPr>
          <w:rFonts w:cs="Arial"/>
          <w:bCs/>
          <w:color w:val="000000"/>
          <w:sz w:val="22"/>
          <w:szCs w:val="22"/>
        </w:rPr>
        <w:t>ídico de la Comunidad A</w:t>
      </w:r>
      <w:r w:rsidR="00996BB1" w:rsidRPr="001E05C6">
        <w:rPr>
          <w:rFonts w:cs="Arial"/>
          <w:bCs/>
          <w:color w:val="000000"/>
          <w:sz w:val="22"/>
          <w:szCs w:val="22"/>
        </w:rPr>
        <w:t xml:space="preserve">ndina, y </w:t>
      </w:r>
      <w:r w:rsidR="000232DB" w:rsidRPr="001E05C6">
        <w:rPr>
          <w:rFonts w:cs="Arial"/>
          <w:bCs/>
          <w:color w:val="000000"/>
          <w:sz w:val="22"/>
          <w:szCs w:val="22"/>
        </w:rPr>
        <w:t xml:space="preserve">a </w:t>
      </w:r>
      <w:r w:rsidR="00996BB1" w:rsidRPr="001E05C6">
        <w:rPr>
          <w:rFonts w:cs="Arial"/>
          <w:bCs/>
          <w:color w:val="000000"/>
          <w:sz w:val="22"/>
          <w:szCs w:val="22"/>
        </w:rPr>
        <w:t xml:space="preserve">los criterios </w:t>
      </w:r>
      <w:r w:rsidR="000232DB" w:rsidRPr="001E05C6">
        <w:rPr>
          <w:rFonts w:cs="Arial"/>
          <w:bCs/>
          <w:color w:val="000000"/>
          <w:sz w:val="22"/>
          <w:szCs w:val="22"/>
        </w:rPr>
        <w:t>establecidos</w:t>
      </w:r>
      <w:r w:rsidR="00107FA9" w:rsidRPr="001E05C6">
        <w:rPr>
          <w:rFonts w:cs="Arial"/>
          <w:bCs/>
          <w:color w:val="000000"/>
          <w:sz w:val="22"/>
          <w:szCs w:val="22"/>
        </w:rPr>
        <w:t xml:space="preserve"> en la jurisprudencia del TJCA.</w:t>
      </w:r>
    </w:p>
    <w:p w:rsidR="00435976" w:rsidRPr="001E05C6" w:rsidRDefault="00435976" w:rsidP="001E05C6">
      <w:pPr>
        <w:widowControl/>
        <w:adjustRightInd/>
        <w:spacing w:line="240" w:lineRule="auto"/>
        <w:textAlignment w:val="auto"/>
        <w:rPr>
          <w:rFonts w:cs="Arial"/>
          <w:bCs/>
          <w:color w:val="000000"/>
          <w:sz w:val="22"/>
          <w:szCs w:val="22"/>
        </w:rPr>
      </w:pPr>
    </w:p>
    <w:p w:rsidR="00435976" w:rsidRPr="001E05C6" w:rsidRDefault="00775CB1"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1E05C6">
        <w:rPr>
          <w:rFonts w:cs="Arial"/>
          <w:bCs/>
          <w:color w:val="000000"/>
          <w:sz w:val="22"/>
          <w:szCs w:val="22"/>
        </w:rPr>
        <w:t xml:space="preserve">Sobre el particular, </w:t>
      </w:r>
      <w:r w:rsidR="00435976" w:rsidRPr="001E05C6">
        <w:rPr>
          <w:rFonts w:cs="Arial"/>
          <w:bCs/>
          <w:color w:val="000000"/>
          <w:sz w:val="22"/>
          <w:szCs w:val="22"/>
        </w:rPr>
        <w:t xml:space="preserve">el artículo </w:t>
      </w:r>
      <w:r w:rsidR="00435976" w:rsidRPr="001E05C6">
        <w:rPr>
          <w:rFonts w:cs="Arial"/>
          <w:sz w:val="22"/>
          <w:szCs w:val="22"/>
        </w:rPr>
        <w:t>33 del Tratado de Creación del TJCA</w:t>
      </w:r>
      <w:r w:rsidR="00435976" w:rsidRPr="001E05C6">
        <w:rPr>
          <w:rFonts w:cs="Arial"/>
          <w:bCs/>
          <w:color w:val="000000"/>
          <w:sz w:val="22"/>
          <w:szCs w:val="22"/>
        </w:rPr>
        <w:t xml:space="preserve"> establece que los jueces nacionales que conozcan de un proceso en el que deba aplicarse o se controvierta alguna de las normas que conforman el ordenamiento jurídico andino, podrán solicitar la interpretación del Tribunal acerca de dichas normas. En esa misma línea, el artículo 123 de la Decisión 500 señala que, de oficio o a petición de parte, el juez nacional que conozca de un proceso en el cual la sentencia fuera de única o última instancia, que no fuere susceptible de recursos en derecho interno, en el que deba aplicarse o se controvierta alguna </w:t>
      </w:r>
      <w:r w:rsidR="000232DB" w:rsidRPr="001E05C6">
        <w:rPr>
          <w:rFonts w:cs="Arial"/>
          <w:bCs/>
          <w:color w:val="000000"/>
          <w:sz w:val="22"/>
          <w:szCs w:val="22"/>
        </w:rPr>
        <w:t>norma andina</w:t>
      </w:r>
      <w:r w:rsidR="00435976" w:rsidRPr="001E05C6">
        <w:rPr>
          <w:rFonts w:cs="Arial"/>
          <w:bCs/>
          <w:color w:val="000000"/>
          <w:sz w:val="22"/>
          <w:szCs w:val="22"/>
        </w:rPr>
        <w:t>, deberá suspender el procedimiento y solicitar la interpretación del Tribunal.</w:t>
      </w:r>
    </w:p>
    <w:p w:rsidR="00435976" w:rsidRPr="001E05C6" w:rsidRDefault="00435976" w:rsidP="001E05C6">
      <w:pPr>
        <w:pStyle w:val="Prrafodelista"/>
        <w:widowControl/>
        <w:adjustRightInd/>
        <w:spacing w:line="240" w:lineRule="auto"/>
        <w:ind w:left="-12"/>
        <w:contextualSpacing w:val="0"/>
        <w:textAlignment w:val="auto"/>
        <w:rPr>
          <w:rFonts w:cs="Arial"/>
          <w:bCs/>
          <w:color w:val="000000"/>
          <w:sz w:val="22"/>
          <w:szCs w:val="22"/>
        </w:rPr>
      </w:pPr>
    </w:p>
    <w:p w:rsidR="00435976" w:rsidRPr="001E05C6" w:rsidRDefault="00435976"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1E05C6">
        <w:rPr>
          <w:rFonts w:cs="Arial"/>
          <w:bCs/>
          <w:color w:val="000000"/>
          <w:sz w:val="22"/>
          <w:szCs w:val="22"/>
        </w:rPr>
        <w:t xml:space="preserve">Por su parte, el artículo </w:t>
      </w:r>
      <w:r w:rsidRPr="001E05C6">
        <w:rPr>
          <w:rFonts w:cs="Arial"/>
          <w:sz w:val="22"/>
          <w:szCs w:val="22"/>
        </w:rPr>
        <w:t xml:space="preserve">36 del Tratado de Creación del TJCA y el artículo 128 de la Decisión </w:t>
      </w:r>
      <w:r w:rsidR="00790A71" w:rsidRPr="001E05C6">
        <w:rPr>
          <w:rFonts w:cs="Arial"/>
          <w:sz w:val="22"/>
          <w:szCs w:val="22"/>
        </w:rPr>
        <w:t xml:space="preserve">500 </w:t>
      </w:r>
      <w:r w:rsidRPr="001E05C6">
        <w:rPr>
          <w:rFonts w:cs="Arial"/>
          <w:sz w:val="22"/>
          <w:szCs w:val="22"/>
        </w:rPr>
        <w:t xml:space="preserve">disponen que los Países Miembros </w:t>
      </w:r>
      <w:r w:rsidRPr="001E05C6">
        <w:rPr>
          <w:rFonts w:cs="Arial"/>
          <w:bCs/>
          <w:color w:val="000000"/>
          <w:sz w:val="22"/>
          <w:szCs w:val="22"/>
        </w:rPr>
        <w:t>velarán por el cumplimiento y la observancia</w:t>
      </w:r>
      <w:r w:rsidR="004B7F26" w:rsidRPr="001E05C6">
        <w:rPr>
          <w:rFonts w:cs="Arial"/>
          <w:bCs/>
          <w:color w:val="000000"/>
          <w:sz w:val="22"/>
          <w:szCs w:val="22"/>
        </w:rPr>
        <w:t>,</w:t>
      </w:r>
      <w:r w:rsidRPr="001E05C6">
        <w:rPr>
          <w:rFonts w:cs="Arial"/>
          <w:bCs/>
          <w:color w:val="000000"/>
          <w:sz w:val="22"/>
          <w:szCs w:val="22"/>
        </w:rPr>
        <w:t xml:space="preserve"> por parte de los jueces nacionales</w:t>
      </w:r>
      <w:r w:rsidR="004B7F26" w:rsidRPr="001E05C6">
        <w:rPr>
          <w:rFonts w:cs="Arial"/>
          <w:bCs/>
          <w:color w:val="000000"/>
          <w:sz w:val="22"/>
          <w:szCs w:val="22"/>
        </w:rPr>
        <w:t>,</w:t>
      </w:r>
      <w:r w:rsidRPr="001E05C6">
        <w:rPr>
          <w:rFonts w:cs="Arial"/>
          <w:bCs/>
          <w:color w:val="000000"/>
          <w:sz w:val="22"/>
          <w:szCs w:val="22"/>
        </w:rPr>
        <w:t xml:space="preserve"> de lo establecido respecto a la interpretación prejudicial.</w:t>
      </w:r>
    </w:p>
    <w:p w:rsidR="00435976" w:rsidRPr="001E05C6" w:rsidRDefault="00435976" w:rsidP="001E05C6">
      <w:pPr>
        <w:widowControl/>
        <w:adjustRightInd/>
        <w:spacing w:line="240" w:lineRule="auto"/>
        <w:textAlignment w:val="auto"/>
        <w:rPr>
          <w:rFonts w:cs="Arial"/>
          <w:bCs/>
          <w:color w:val="000000"/>
          <w:sz w:val="22"/>
          <w:szCs w:val="22"/>
        </w:rPr>
      </w:pPr>
    </w:p>
    <w:p w:rsidR="00846557" w:rsidRPr="001E05C6" w:rsidRDefault="00435976"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1E05C6">
        <w:rPr>
          <w:rFonts w:cs="Arial"/>
          <w:bCs/>
          <w:color w:val="000000"/>
          <w:sz w:val="22"/>
          <w:szCs w:val="22"/>
        </w:rPr>
        <w:t xml:space="preserve">Asimismo, </w:t>
      </w:r>
      <w:r w:rsidR="00775CB1" w:rsidRPr="001E05C6">
        <w:rPr>
          <w:rFonts w:cs="Arial"/>
          <w:bCs/>
          <w:color w:val="000000"/>
          <w:sz w:val="22"/>
          <w:szCs w:val="22"/>
        </w:rPr>
        <w:t>en reiterada jurisprudencia</w:t>
      </w:r>
      <w:r w:rsidR="00051EBC" w:rsidRPr="001E05C6">
        <w:rPr>
          <w:rStyle w:val="Refdenotaalpie"/>
          <w:rFonts w:cs="Arial"/>
          <w:bCs/>
          <w:color w:val="000000"/>
          <w:sz w:val="22"/>
          <w:szCs w:val="22"/>
        </w:rPr>
        <w:footnoteReference w:id="26"/>
      </w:r>
      <w:r w:rsidR="00775CB1" w:rsidRPr="001E05C6">
        <w:rPr>
          <w:rFonts w:cs="Arial"/>
          <w:bCs/>
          <w:color w:val="000000"/>
          <w:sz w:val="22"/>
          <w:szCs w:val="22"/>
        </w:rPr>
        <w:t xml:space="preserve">, el TJCA ha dejado establecido </w:t>
      </w:r>
      <w:r w:rsidR="00192446" w:rsidRPr="001E05C6">
        <w:rPr>
          <w:rFonts w:cs="Arial"/>
          <w:bCs/>
          <w:color w:val="000000"/>
          <w:sz w:val="22"/>
          <w:szCs w:val="22"/>
        </w:rPr>
        <w:t>lo siguiente, respecto de</w:t>
      </w:r>
      <w:r w:rsidR="00790A71" w:rsidRPr="001E05C6">
        <w:rPr>
          <w:rFonts w:cs="Arial"/>
          <w:bCs/>
          <w:color w:val="000000"/>
          <w:sz w:val="22"/>
          <w:szCs w:val="22"/>
        </w:rPr>
        <w:t xml:space="preserve"> la interpre</w:t>
      </w:r>
      <w:r w:rsidR="00192446" w:rsidRPr="001E05C6">
        <w:rPr>
          <w:rFonts w:cs="Arial"/>
          <w:bCs/>
          <w:color w:val="000000"/>
          <w:sz w:val="22"/>
          <w:szCs w:val="22"/>
        </w:rPr>
        <w:t>tación pre</w:t>
      </w:r>
      <w:r w:rsidR="00790A71" w:rsidRPr="001E05C6">
        <w:rPr>
          <w:rFonts w:cs="Arial"/>
          <w:bCs/>
          <w:color w:val="000000"/>
          <w:sz w:val="22"/>
          <w:szCs w:val="22"/>
        </w:rPr>
        <w:t>judicial</w:t>
      </w:r>
      <w:r w:rsidRPr="001E05C6">
        <w:rPr>
          <w:rFonts w:cs="Arial"/>
          <w:bCs/>
          <w:color w:val="000000"/>
          <w:sz w:val="22"/>
          <w:szCs w:val="22"/>
        </w:rPr>
        <w:t>:</w:t>
      </w:r>
    </w:p>
    <w:p w:rsidR="00775CB1" w:rsidRPr="001E05C6" w:rsidRDefault="00775CB1" w:rsidP="001E05C6">
      <w:pPr>
        <w:widowControl/>
        <w:adjustRightInd/>
        <w:spacing w:line="240" w:lineRule="auto"/>
        <w:textAlignment w:val="auto"/>
        <w:rPr>
          <w:rFonts w:cs="Arial"/>
          <w:bCs/>
          <w:i/>
          <w:color w:val="000000"/>
          <w:sz w:val="22"/>
          <w:szCs w:val="22"/>
        </w:rPr>
      </w:pPr>
    </w:p>
    <w:p w:rsidR="00775CB1" w:rsidRPr="001E05C6" w:rsidRDefault="00775CB1" w:rsidP="001E05C6">
      <w:pPr>
        <w:pStyle w:val="Prrafodelista"/>
        <w:widowControl/>
        <w:adjustRightInd/>
        <w:spacing w:line="240" w:lineRule="auto"/>
        <w:ind w:left="1134"/>
        <w:contextualSpacing w:val="0"/>
        <w:textAlignment w:val="auto"/>
        <w:rPr>
          <w:rFonts w:cs="Arial"/>
          <w:bCs/>
          <w:i/>
          <w:color w:val="000000"/>
          <w:sz w:val="22"/>
          <w:szCs w:val="22"/>
        </w:rPr>
      </w:pPr>
      <w:r w:rsidRPr="001E05C6">
        <w:rPr>
          <w:rFonts w:cs="Arial"/>
          <w:bCs/>
          <w:i/>
          <w:color w:val="000000"/>
          <w:sz w:val="22"/>
          <w:szCs w:val="22"/>
        </w:rPr>
        <w:t xml:space="preserve">“- Es el mecanismo de cooperación entre el juez nacional y el comunitario, en la que este último, </w:t>
      </w:r>
      <w:r w:rsidR="006011B0" w:rsidRPr="001E05C6">
        <w:rPr>
          <w:rFonts w:cs="Arial"/>
          <w:bCs/>
          <w:i/>
          <w:color w:val="000000"/>
          <w:sz w:val="22"/>
          <w:szCs w:val="22"/>
        </w:rPr>
        <w:t xml:space="preserve">(…) </w:t>
      </w:r>
      <w:r w:rsidRPr="001E05C6">
        <w:rPr>
          <w:rFonts w:cs="Arial"/>
          <w:b/>
          <w:bCs/>
          <w:i/>
          <w:color w:val="000000"/>
          <w:sz w:val="22"/>
          <w:szCs w:val="22"/>
          <w:u w:val="single"/>
        </w:rPr>
        <w:t>interpreta en forma objetiva</w:t>
      </w:r>
      <w:r w:rsidRPr="001E05C6">
        <w:rPr>
          <w:rFonts w:cs="Arial"/>
          <w:bCs/>
          <w:i/>
          <w:color w:val="000000"/>
          <w:sz w:val="22"/>
          <w:szCs w:val="22"/>
        </w:rPr>
        <w:t xml:space="preserve"> la norma comunitaria y al primero le corresponde aplicar el derecho al caso concreto que se ventila en el orden interno.</w:t>
      </w:r>
      <w:r w:rsidRPr="001E05C6">
        <w:rPr>
          <w:rFonts w:cs="Arial"/>
          <w:bCs/>
          <w:i/>
          <w:color w:val="000000"/>
          <w:sz w:val="22"/>
          <w:szCs w:val="22"/>
          <w:vertAlign w:val="superscript"/>
        </w:rPr>
        <w:t>3</w:t>
      </w:r>
      <w:r w:rsidRPr="001E05C6">
        <w:rPr>
          <w:rFonts w:cs="Arial"/>
          <w:bCs/>
          <w:i/>
          <w:color w:val="000000"/>
          <w:sz w:val="22"/>
          <w:szCs w:val="22"/>
        </w:rPr>
        <w:t xml:space="preserve"> </w:t>
      </w:r>
      <w:r w:rsidRPr="001E05C6">
        <w:rPr>
          <w:rFonts w:cs="Arial"/>
          <w:b/>
          <w:bCs/>
          <w:i/>
          <w:color w:val="000000"/>
          <w:sz w:val="22"/>
          <w:szCs w:val="22"/>
          <w:u w:val="single"/>
        </w:rPr>
        <w:t>Su finalidad no es otra que resguardar la aplicación uniforme del ordenamiento jurídico comunitario</w:t>
      </w:r>
      <w:r w:rsidRPr="001E05C6">
        <w:rPr>
          <w:rFonts w:cs="Arial"/>
          <w:bCs/>
          <w:i/>
          <w:color w:val="000000"/>
          <w:sz w:val="22"/>
          <w:szCs w:val="22"/>
        </w:rPr>
        <w:t xml:space="preserve"> </w:t>
      </w:r>
      <w:r w:rsidR="00192446" w:rsidRPr="001E05C6">
        <w:rPr>
          <w:rFonts w:cs="Arial"/>
          <w:bCs/>
          <w:i/>
          <w:color w:val="000000"/>
          <w:sz w:val="22"/>
          <w:szCs w:val="22"/>
        </w:rPr>
        <w:t>(...).</w:t>
      </w:r>
    </w:p>
    <w:p w:rsidR="00775CB1" w:rsidRPr="001E05C6" w:rsidRDefault="00775CB1" w:rsidP="001E05C6">
      <w:pPr>
        <w:pStyle w:val="Prrafodelista"/>
        <w:widowControl/>
        <w:adjustRightInd/>
        <w:spacing w:line="240" w:lineRule="auto"/>
        <w:ind w:left="1134"/>
        <w:contextualSpacing w:val="0"/>
        <w:textAlignment w:val="auto"/>
        <w:rPr>
          <w:rFonts w:cs="Arial"/>
          <w:bCs/>
          <w:i/>
          <w:color w:val="000000"/>
          <w:sz w:val="22"/>
          <w:szCs w:val="22"/>
        </w:rPr>
      </w:pPr>
    </w:p>
    <w:p w:rsidR="00775CB1" w:rsidRPr="001E05C6" w:rsidRDefault="00775CB1" w:rsidP="001E05C6">
      <w:pPr>
        <w:pStyle w:val="Prrafodelista"/>
        <w:widowControl/>
        <w:adjustRightInd/>
        <w:spacing w:line="240" w:lineRule="auto"/>
        <w:ind w:left="1134"/>
        <w:contextualSpacing w:val="0"/>
        <w:textAlignment w:val="auto"/>
        <w:rPr>
          <w:rFonts w:cs="Arial"/>
          <w:bCs/>
          <w:i/>
          <w:color w:val="000000"/>
          <w:sz w:val="22"/>
          <w:szCs w:val="22"/>
        </w:rPr>
      </w:pPr>
      <w:r w:rsidRPr="001E05C6">
        <w:rPr>
          <w:rFonts w:cs="Arial"/>
          <w:bCs/>
          <w:i/>
          <w:color w:val="000000"/>
          <w:sz w:val="22"/>
          <w:szCs w:val="22"/>
        </w:rPr>
        <w:t xml:space="preserve">- En efecto, la función del Tribunal comunitario en estos casos, es la de </w:t>
      </w:r>
      <w:r w:rsidRPr="001E05C6">
        <w:rPr>
          <w:rFonts w:cs="Arial"/>
          <w:b/>
          <w:bCs/>
          <w:i/>
          <w:color w:val="000000"/>
          <w:sz w:val="22"/>
          <w:szCs w:val="22"/>
          <w:u w:val="single"/>
        </w:rPr>
        <w:t xml:space="preserve">interpretar </w:t>
      </w:r>
      <w:r w:rsidRPr="001E05C6">
        <w:rPr>
          <w:rFonts w:cs="Arial"/>
          <w:bCs/>
          <w:i/>
          <w:color w:val="000000"/>
          <w:sz w:val="22"/>
          <w:szCs w:val="22"/>
        </w:rPr>
        <w:t xml:space="preserve">la norma comunitaria </w:t>
      </w:r>
      <w:r w:rsidRPr="001E05C6">
        <w:rPr>
          <w:rFonts w:cs="Arial"/>
          <w:b/>
          <w:bCs/>
          <w:i/>
          <w:color w:val="000000"/>
          <w:sz w:val="22"/>
          <w:szCs w:val="22"/>
          <w:u w:val="single"/>
        </w:rPr>
        <w:t>desde el punto de vista jurídico</w:t>
      </w:r>
      <w:r w:rsidRPr="001E05C6">
        <w:rPr>
          <w:rFonts w:cs="Arial"/>
          <w:bCs/>
          <w:i/>
          <w:color w:val="000000"/>
          <w:sz w:val="22"/>
          <w:szCs w:val="22"/>
        </w:rPr>
        <w:t xml:space="preserve">, es decir buscar el significado para </w:t>
      </w:r>
      <w:r w:rsidRPr="001E05C6">
        <w:rPr>
          <w:rFonts w:cs="Arial"/>
          <w:b/>
          <w:bCs/>
          <w:i/>
          <w:color w:val="000000"/>
          <w:sz w:val="22"/>
          <w:szCs w:val="22"/>
          <w:u w:val="single"/>
        </w:rPr>
        <w:t>precisar su alcance</w:t>
      </w:r>
      <w:r w:rsidRPr="001E05C6">
        <w:rPr>
          <w:rFonts w:cs="Arial"/>
          <w:bCs/>
          <w:i/>
          <w:color w:val="000000"/>
          <w:sz w:val="22"/>
          <w:szCs w:val="22"/>
        </w:rPr>
        <w:t>; función que difiere de la de aplicar la norma a los hechos, tarea que es exclusiva del juez nacional dentro de las esferas de su competencia.</w:t>
      </w:r>
      <w:r w:rsidRPr="001E05C6">
        <w:rPr>
          <w:rFonts w:cs="Arial"/>
          <w:bCs/>
          <w:i/>
          <w:color w:val="000000"/>
          <w:sz w:val="22"/>
          <w:szCs w:val="22"/>
          <w:vertAlign w:val="superscript"/>
        </w:rPr>
        <w:t>4</w:t>
      </w:r>
      <w:r w:rsidRPr="001E05C6">
        <w:rPr>
          <w:rFonts w:cs="Arial"/>
          <w:bCs/>
          <w:i/>
          <w:color w:val="000000"/>
          <w:sz w:val="22"/>
          <w:szCs w:val="22"/>
        </w:rPr>
        <w:t xml:space="preserve"> </w:t>
      </w:r>
      <w:r w:rsidR="009264E3" w:rsidRPr="001E05C6">
        <w:rPr>
          <w:rFonts w:cs="Arial"/>
          <w:bCs/>
          <w:i/>
          <w:color w:val="000000"/>
          <w:sz w:val="22"/>
          <w:szCs w:val="22"/>
        </w:rPr>
        <w:t>(…)</w:t>
      </w:r>
    </w:p>
    <w:p w:rsidR="009264E3" w:rsidRPr="001E05C6" w:rsidRDefault="009264E3" w:rsidP="001E05C6">
      <w:pPr>
        <w:pStyle w:val="Prrafodelista"/>
        <w:widowControl/>
        <w:adjustRightInd/>
        <w:spacing w:line="240" w:lineRule="auto"/>
        <w:ind w:left="1134"/>
        <w:contextualSpacing w:val="0"/>
        <w:textAlignment w:val="auto"/>
        <w:rPr>
          <w:rFonts w:cs="Arial"/>
          <w:bCs/>
          <w:i/>
          <w:color w:val="000000"/>
          <w:sz w:val="22"/>
          <w:szCs w:val="22"/>
        </w:rPr>
      </w:pPr>
    </w:p>
    <w:p w:rsidR="009264E3" w:rsidRPr="001E05C6" w:rsidRDefault="002C12EA" w:rsidP="001E05C6">
      <w:pPr>
        <w:pStyle w:val="Prrafodelista"/>
        <w:widowControl/>
        <w:adjustRightInd/>
        <w:spacing w:line="240" w:lineRule="auto"/>
        <w:ind w:left="1134"/>
        <w:contextualSpacing w:val="0"/>
        <w:textAlignment w:val="auto"/>
        <w:rPr>
          <w:rFonts w:cs="Arial"/>
          <w:bCs/>
          <w:i/>
          <w:color w:val="000000"/>
          <w:sz w:val="22"/>
          <w:szCs w:val="22"/>
        </w:rPr>
      </w:pPr>
      <w:r w:rsidRPr="001E05C6">
        <w:rPr>
          <w:rFonts w:cs="Arial"/>
          <w:bCs/>
          <w:i/>
          <w:color w:val="000000"/>
          <w:sz w:val="22"/>
          <w:szCs w:val="22"/>
        </w:rPr>
        <w:t>(…)</w:t>
      </w:r>
    </w:p>
    <w:p w:rsidR="002C12EA" w:rsidRPr="001E05C6" w:rsidRDefault="002C12EA" w:rsidP="001E05C6">
      <w:pPr>
        <w:pStyle w:val="Prrafodelista"/>
        <w:widowControl/>
        <w:adjustRightInd/>
        <w:spacing w:line="240" w:lineRule="auto"/>
        <w:ind w:left="1134"/>
        <w:contextualSpacing w:val="0"/>
        <w:textAlignment w:val="auto"/>
        <w:rPr>
          <w:rFonts w:cs="Arial"/>
          <w:bCs/>
          <w:i/>
          <w:color w:val="000000"/>
          <w:sz w:val="22"/>
          <w:szCs w:val="22"/>
        </w:rPr>
      </w:pPr>
    </w:p>
    <w:p w:rsidR="009264E3" w:rsidRPr="001E05C6" w:rsidRDefault="009264E3" w:rsidP="001E05C6">
      <w:pPr>
        <w:pStyle w:val="Prrafodelista"/>
        <w:widowControl/>
        <w:adjustRightInd/>
        <w:spacing w:line="240" w:lineRule="auto"/>
        <w:ind w:left="1134"/>
        <w:contextualSpacing w:val="0"/>
        <w:textAlignment w:val="auto"/>
        <w:rPr>
          <w:rFonts w:cs="Arial"/>
          <w:bCs/>
          <w:i/>
          <w:color w:val="000000"/>
          <w:sz w:val="22"/>
          <w:szCs w:val="22"/>
          <w:vertAlign w:val="superscript"/>
        </w:rPr>
      </w:pPr>
      <w:r w:rsidRPr="001E05C6">
        <w:rPr>
          <w:rFonts w:cs="Arial"/>
          <w:bCs/>
          <w:i/>
          <w:color w:val="000000"/>
          <w:sz w:val="22"/>
          <w:szCs w:val="22"/>
        </w:rPr>
        <w:t>- Los órganos judiciales nacionales cuyas decisiones no sean susceptibles de ulterior recurso en derecho interno –o si solo fuera procedentes recursos que no permitan revisar la norma sustantiva comunitaria</w:t>
      </w:r>
      <w:r w:rsidRPr="001E05C6">
        <w:rPr>
          <w:rFonts w:cs="Arial"/>
          <w:bCs/>
          <w:i/>
          <w:color w:val="000000"/>
          <w:sz w:val="22"/>
          <w:szCs w:val="22"/>
          <w:vertAlign w:val="superscript"/>
        </w:rPr>
        <w:t>5</w:t>
      </w:r>
      <w:r w:rsidRPr="001E05C6">
        <w:rPr>
          <w:rFonts w:cs="Arial"/>
          <w:bCs/>
          <w:i/>
          <w:color w:val="000000"/>
          <w:sz w:val="22"/>
          <w:szCs w:val="22"/>
        </w:rPr>
        <w:t xml:space="preserve">-, están obligados, en todos los procesos en los que </w:t>
      </w:r>
      <w:r w:rsidRPr="001E05C6">
        <w:rPr>
          <w:rFonts w:cs="Arial"/>
          <w:b/>
          <w:bCs/>
          <w:i/>
          <w:color w:val="000000"/>
          <w:sz w:val="22"/>
          <w:szCs w:val="22"/>
          <w:u w:val="single"/>
        </w:rPr>
        <w:t>deba aplicarse o se controvierta una norma comunitaria, a solicitar la interpretación prejudicial</w:t>
      </w:r>
      <w:r w:rsidRPr="001E05C6">
        <w:rPr>
          <w:rFonts w:cs="Arial"/>
          <w:bCs/>
          <w:i/>
          <w:color w:val="000000"/>
          <w:sz w:val="22"/>
          <w:szCs w:val="22"/>
        </w:rPr>
        <w:t xml:space="preserve">, </w:t>
      </w:r>
      <w:r w:rsidR="006011B0" w:rsidRPr="001E05C6">
        <w:rPr>
          <w:rFonts w:cs="Arial"/>
          <w:bCs/>
          <w:i/>
          <w:color w:val="000000"/>
          <w:sz w:val="22"/>
          <w:szCs w:val="22"/>
        </w:rPr>
        <w:t>(…).</w:t>
      </w:r>
    </w:p>
    <w:p w:rsidR="009264E3" w:rsidRPr="001E05C6" w:rsidRDefault="009264E3" w:rsidP="001E05C6">
      <w:pPr>
        <w:pStyle w:val="Prrafodelista"/>
        <w:widowControl/>
        <w:adjustRightInd/>
        <w:spacing w:line="240" w:lineRule="auto"/>
        <w:ind w:left="1134"/>
        <w:contextualSpacing w:val="0"/>
        <w:textAlignment w:val="auto"/>
        <w:rPr>
          <w:rFonts w:cs="Arial"/>
          <w:bCs/>
          <w:i/>
          <w:color w:val="000000"/>
          <w:sz w:val="22"/>
          <w:szCs w:val="22"/>
          <w:vertAlign w:val="superscript"/>
        </w:rPr>
      </w:pPr>
    </w:p>
    <w:p w:rsidR="009264E3" w:rsidRPr="001E05C6" w:rsidRDefault="009264E3" w:rsidP="001E05C6">
      <w:pPr>
        <w:pStyle w:val="Prrafodelista"/>
        <w:widowControl/>
        <w:adjustRightInd/>
        <w:spacing w:line="240" w:lineRule="auto"/>
        <w:ind w:left="1134"/>
        <w:contextualSpacing w:val="0"/>
        <w:textAlignment w:val="auto"/>
        <w:rPr>
          <w:rFonts w:cs="Arial"/>
          <w:bCs/>
          <w:i/>
          <w:color w:val="000000"/>
          <w:sz w:val="22"/>
          <w:szCs w:val="22"/>
          <w:vertAlign w:val="superscript"/>
        </w:rPr>
      </w:pPr>
      <w:r w:rsidRPr="001E05C6">
        <w:rPr>
          <w:rFonts w:cs="Arial"/>
          <w:bCs/>
          <w:i/>
          <w:color w:val="000000"/>
          <w:sz w:val="22"/>
          <w:szCs w:val="22"/>
        </w:rPr>
        <w:t xml:space="preserve">- En los casos en los que la consulta de interpretación prejudicial sea obligatoria (…), el planteamiento de la solicitud lleva consigo la </w:t>
      </w:r>
      <w:r w:rsidRPr="001E05C6">
        <w:rPr>
          <w:rFonts w:cs="Arial"/>
          <w:b/>
          <w:bCs/>
          <w:i/>
          <w:color w:val="000000"/>
          <w:sz w:val="22"/>
          <w:szCs w:val="22"/>
          <w:u w:val="single"/>
        </w:rPr>
        <w:t>suspensión del proceso interno hasta que el Tribunal comunitario se pronuncie</w:t>
      </w:r>
      <w:r w:rsidRPr="001E05C6">
        <w:rPr>
          <w:rFonts w:cs="Arial"/>
          <w:bCs/>
          <w:i/>
          <w:color w:val="000000"/>
          <w:sz w:val="22"/>
          <w:szCs w:val="22"/>
        </w:rPr>
        <w:t>, constituyéndose en un presupuesto procesal de la sentencia</w:t>
      </w:r>
      <w:r w:rsidRPr="001E05C6">
        <w:rPr>
          <w:rFonts w:cs="Arial"/>
          <w:bCs/>
          <w:i/>
          <w:color w:val="000000"/>
          <w:sz w:val="22"/>
          <w:szCs w:val="22"/>
          <w:vertAlign w:val="superscript"/>
        </w:rPr>
        <w:t>8</w:t>
      </w:r>
      <w:r w:rsidRPr="001E05C6">
        <w:rPr>
          <w:rFonts w:cs="Arial"/>
          <w:bCs/>
          <w:i/>
          <w:color w:val="000000"/>
          <w:sz w:val="22"/>
          <w:szCs w:val="22"/>
        </w:rPr>
        <w:t xml:space="preserve"> y en una solemnidad inexcusable e indispensable</w:t>
      </w:r>
      <w:r w:rsidRPr="001E05C6">
        <w:rPr>
          <w:rFonts w:cs="Arial"/>
          <w:bCs/>
          <w:i/>
          <w:color w:val="000000"/>
          <w:sz w:val="22"/>
          <w:szCs w:val="22"/>
          <w:vertAlign w:val="superscript"/>
        </w:rPr>
        <w:t>9</w:t>
      </w:r>
      <w:r w:rsidRPr="001E05C6">
        <w:rPr>
          <w:rFonts w:cs="Arial"/>
          <w:bCs/>
          <w:i/>
          <w:color w:val="000000"/>
          <w:sz w:val="22"/>
          <w:szCs w:val="22"/>
        </w:rPr>
        <w:t xml:space="preserve"> que debe tener presente el juez nacional antes de emitir su fallo, </w:t>
      </w:r>
      <w:r w:rsidRPr="001E05C6">
        <w:rPr>
          <w:rFonts w:cs="Arial"/>
          <w:b/>
          <w:bCs/>
          <w:i/>
          <w:color w:val="000000"/>
          <w:sz w:val="22"/>
          <w:szCs w:val="22"/>
          <w:u w:val="single"/>
        </w:rPr>
        <w:t>cuya inobservancia puede derivar en acciones de incumplimiento</w:t>
      </w:r>
      <w:r w:rsidR="002C12EA" w:rsidRPr="001E05C6">
        <w:rPr>
          <w:rFonts w:cs="Arial"/>
          <w:bCs/>
          <w:i/>
          <w:color w:val="000000"/>
          <w:sz w:val="22"/>
          <w:szCs w:val="22"/>
        </w:rPr>
        <w:t xml:space="preserve"> (…)</w:t>
      </w:r>
      <w:r w:rsidRPr="001E05C6">
        <w:rPr>
          <w:rFonts w:cs="Arial"/>
          <w:bCs/>
          <w:i/>
          <w:color w:val="000000"/>
          <w:sz w:val="22"/>
          <w:szCs w:val="22"/>
        </w:rPr>
        <w:t>.</w:t>
      </w:r>
      <w:r w:rsidRPr="001E05C6">
        <w:rPr>
          <w:rFonts w:cs="Arial"/>
          <w:bCs/>
          <w:i/>
          <w:color w:val="000000"/>
          <w:sz w:val="22"/>
          <w:szCs w:val="22"/>
          <w:vertAlign w:val="superscript"/>
        </w:rPr>
        <w:t xml:space="preserve">10 </w:t>
      </w:r>
    </w:p>
    <w:p w:rsidR="00165569" w:rsidRPr="001E05C6" w:rsidRDefault="00165569" w:rsidP="001E05C6">
      <w:pPr>
        <w:pStyle w:val="Prrafodelista"/>
        <w:widowControl/>
        <w:adjustRightInd/>
        <w:spacing w:line="240" w:lineRule="auto"/>
        <w:ind w:left="1134"/>
        <w:contextualSpacing w:val="0"/>
        <w:textAlignment w:val="auto"/>
        <w:rPr>
          <w:rFonts w:cs="Arial"/>
          <w:bCs/>
          <w:i/>
          <w:color w:val="000000"/>
          <w:sz w:val="22"/>
          <w:szCs w:val="22"/>
          <w:vertAlign w:val="superscript"/>
        </w:rPr>
      </w:pPr>
    </w:p>
    <w:p w:rsidR="00165569" w:rsidRPr="001E05C6" w:rsidRDefault="00165569" w:rsidP="001E05C6">
      <w:pPr>
        <w:pStyle w:val="Prrafodelista"/>
        <w:widowControl/>
        <w:adjustRightInd/>
        <w:spacing w:line="240" w:lineRule="auto"/>
        <w:ind w:left="1134"/>
        <w:contextualSpacing w:val="0"/>
        <w:textAlignment w:val="auto"/>
        <w:rPr>
          <w:rFonts w:cs="Arial"/>
          <w:bCs/>
          <w:i/>
          <w:color w:val="000000"/>
          <w:sz w:val="22"/>
          <w:szCs w:val="22"/>
        </w:rPr>
      </w:pPr>
      <w:r w:rsidRPr="001E05C6">
        <w:rPr>
          <w:rFonts w:cs="Arial"/>
          <w:bCs/>
          <w:i/>
          <w:color w:val="000000"/>
          <w:sz w:val="22"/>
          <w:szCs w:val="22"/>
        </w:rPr>
        <w:t xml:space="preserve">- la interpretación prejudicial </w:t>
      </w:r>
      <w:r w:rsidRPr="001E05C6">
        <w:rPr>
          <w:rFonts w:cs="Arial"/>
          <w:b/>
          <w:bCs/>
          <w:i/>
          <w:color w:val="000000"/>
          <w:sz w:val="22"/>
          <w:szCs w:val="22"/>
          <w:u w:val="single"/>
        </w:rPr>
        <w:t>no es ni puede asimilarse a una prueba</w:t>
      </w:r>
      <w:r w:rsidRPr="001E05C6">
        <w:rPr>
          <w:rFonts w:cs="Arial"/>
          <w:bCs/>
          <w:i/>
          <w:color w:val="000000"/>
          <w:sz w:val="22"/>
          <w:szCs w:val="22"/>
        </w:rPr>
        <w:t>, tampoco es la simple absolución de un cuestionario, ni está llamada a constituirse en un informe de expertos o en una opinión jurídica de tipo doctrinal.</w:t>
      </w:r>
      <w:r w:rsidRPr="001E05C6">
        <w:rPr>
          <w:rFonts w:cs="Arial"/>
          <w:bCs/>
          <w:i/>
          <w:color w:val="000000"/>
          <w:sz w:val="22"/>
          <w:szCs w:val="22"/>
          <w:vertAlign w:val="superscript"/>
        </w:rPr>
        <w:t xml:space="preserve">11 </w:t>
      </w:r>
      <w:r w:rsidR="006011B0" w:rsidRPr="001E05C6">
        <w:rPr>
          <w:rFonts w:cs="Arial"/>
          <w:bCs/>
          <w:i/>
          <w:color w:val="000000"/>
          <w:sz w:val="22"/>
          <w:szCs w:val="22"/>
        </w:rPr>
        <w:t>(…)</w:t>
      </w:r>
    </w:p>
    <w:p w:rsidR="00165569" w:rsidRPr="001E05C6" w:rsidRDefault="00165569" w:rsidP="001E05C6">
      <w:pPr>
        <w:pStyle w:val="Prrafodelista"/>
        <w:widowControl/>
        <w:adjustRightInd/>
        <w:spacing w:line="240" w:lineRule="auto"/>
        <w:ind w:left="1134"/>
        <w:contextualSpacing w:val="0"/>
        <w:textAlignment w:val="auto"/>
        <w:rPr>
          <w:rFonts w:cs="Arial"/>
          <w:bCs/>
          <w:i/>
          <w:color w:val="000000"/>
          <w:sz w:val="22"/>
          <w:szCs w:val="22"/>
        </w:rPr>
      </w:pPr>
    </w:p>
    <w:p w:rsidR="00165569" w:rsidRPr="001E05C6" w:rsidRDefault="00165569" w:rsidP="001E05C6">
      <w:pPr>
        <w:pStyle w:val="Prrafodelista"/>
        <w:widowControl/>
        <w:adjustRightInd/>
        <w:spacing w:line="240" w:lineRule="auto"/>
        <w:ind w:left="1134"/>
        <w:contextualSpacing w:val="0"/>
        <w:textAlignment w:val="auto"/>
        <w:rPr>
          <w:rFonts w:cs="Arial"/>
          <w:bCs/>
          <w:i/>
          <w:color w:val="000000"/>
          <w:sz w:val="22"/>
          <w:szCs w:val="22"/>
        </w:rPr>
      </w:pPr>
      <w:r w:rsidRPr="001E05C6">
        <w:rPr>
          <w:rFonts w:cs="Arial"/>
          <w:bCs/>
          <w:i/>
          <w:color w:val="000000"/>
          <w:sz w:val="22"/>
          <w:szCs w:val="22"/>
        </w:rPr>
        <w:t>(…)</w:t>
      </w:r>
    </w:p>
    <w:p w:rsidR="00165569" w:rsidRPr="001E05C6" w:rsidRDefault="00165569" w:rsidP="001E05C6">
      <w:pPr>
        <w:widowControl/>
        <w:adjustRightInd/>
        <w:spacing w:line="240" w:lineRule="auto"/>
        <w:textAlignment w:val="auto"/>
        <w:rPr>
          <w:rFonts w:cs="Arial"/>
          <w:bCs/>
          <w:i/>
          <w:color w:val="000000"/>
          <w:sz w:val="22"/>
          <w:szCs w:val="22"/>
        </w:rPr>
      </w:pPr>
    </w:p>
    <w:p w:rsidR="00165569" w:rsidRPr="001E05C6" w:rsidRDefault="00165569" w:rsidP="001E05C6">
      <w:pPr>
        <w:pStyle w:val="Prrafodelista"/>
        <w:widowControl/>
        <w:adjustRightInd/>
        <w:spacing w:line="240" w:lineRule="auto"/>
        <w:ind w:left="1134"/>
        <w:contextualSpacing w:val="0"/>
        <w:textAlignment w:val="auto"/>
        <w:rPr>
          <w:rFonts w:cs="Arial"/>
          <w:bCs/>
          <w:color w:val="000000"/>
          <w:sz w:val="22"/>
          <w:szCs w:val="22"/>
        </w:rPr>
      </w:pPr>
      <w:r w:rsidRPr="001E05C6">
        <w:rPr>
          <w:rFonts w:cs="Arial"/>
          <w:bCs/>
          <w:i/>
          <w:color w:val="000000"/>
          <w:sz w:val="22"/>
          <w:szCs w:val="22"/>
        </w:rPr>
        <w:t xml:space="preserve">- Requerida la interpretación prejudicial, pasa a ser de </w:t>
      </w:r>
      <w:r w:rsidRPr="001E05C6">
        <w:rPr>
          <w:rFonts w:cs="Arial"/>
          <w:b/>
          <w:bCs/>
          <w:i/>
          <w:color w:val="000000"/>
          <w:sz w:val="22"/>
          <w:szCs w:val="22"/>
          <w:u w:val="single"/>
        </w:rPr>
        <w:t>la exclusiva competencia del Tribunal de Justicia el determinar cuáles son, en definitiva, las normas pertinentes a interpretar</w:t>
      </w:r>
      <w:r w:rsidRPr="001E05C6">
        <w:rPr>
          <w:rFonts w:cs="Arial"/>
          <w:bCs/>
          <w:i/>
          <w:color w:val="000000"/>
          <w:sz w:val="22"/>
          <w:szCs w:val="22"/>
        </w:rPr>
        <w:t>, adicionando o restringiendo, según el asunto de que se trate, (…).</w:t>
      </w:r>
      <w:r w:rsidRPr="001E05C6">
        <w:rPr>
          <w:rFonts w:cs="Arial"/>
          <w:bCs/>
          <w:color w:val="000000"/>
          <w:sz w:val="22"/>
          <w:szCs w:val="22"/>
          <w:vertAlign w:val="superscript"/>
        </w:rPr>
        <w:t>14</w:t>
      </w:r>
      <w:r w:rsidRPr="001E05C6">
        <w:rPr>
          <w:rFonts w:cs="Arial"/>
          <w:bCs/>
          <w:color w:val="000000"/>
          <w:sz w:val="22"/>
          <w:szCs w:val="22"/>
        </w:rPr>
        <w:t>”</w:t>
      </w:r>
      <w:r w:rsidR="003F4A92" w:rsidRPr="001E05C6">
        <w:rPr>
          <w:rFonts w:cs="Arial"/>
          <w:bCs/>
          <w:color w:val="000000"/>
          <w:sz w:val="22"/>
          <w:szCs w:val="22"/>
        </w:rPr>
        <w:t xml:space="preserve"> (Énfasis agregado y n</w:t>
      </w:r>
      <w:r w:rsidRPr="001E05C6">
        <w:rPr>
          <w:rFonts w:cs="Arial"/>
          <w:bCs/>
          <w:color w:val="000000"/>
          <w:sz w:val="22"/>
          <w:szCs w:val="22"/>
        </w:rPr>
        <w:t>otas al pie omitidas)</w:t>
      </w:r>
    </w:p>
    <w:p w:rsidR="00165569" w:rsidRPr="001E05C6" w:rsidRDefault="00165569" w:rsidP="001E05C6">
      <w:pPr>
        <w:widowControl/>
        <w:adjustRightInd/>
        <w:spacing w:line="240" w:lineRule="auto"/>
        <w:textAlignment w:val="auto"/>
        <w:rPr>
          <w:rFonts w:cs="Arial"/>
          <w:bCs/>
          <w:color w:val="000000"/>
          <w:sz w:val="22"/>
          <w:szCs w:val="22"/>
        </w:rPr>
      </w:pPr>
    </w:p>
    <w:p w:rsidR="00653B55" w:rsidRPr="001E05C6" w:rsidRDefault="00653B55" w:rsidP="001E05C6">
      <w:pPr>
        <w:pStyle w:val="Prrafodelista"/>
        <w:widowControl/>
        <w:numPr>
          <w:ilvl w:val="0"/>
          <w:numId w:val="2"/>
        </w:numPr>
        <w:adjustRightInd/>
        <w:spacing w:line="240" w:lineRule="auto"/>
        <w:ind w:left="-12" w:hanging="414"/>
        <w:contextualSpacing w:val="0"/>
        <w:textAlignment w:val="auto"/>
        <w:rPr>
          <w:rFonts w:cs="Arial"/>
          <w:bCs/>
          <w:color w:val="000000"/>
          <w:sz w:val="22"/>
          <w:szCs w:val="22"/>
        </w:rPr>
      </w:pPr>
      <w:r w:rsidRPr="001E05C6">
        <w:rPr>
          <w:rFonts w:cs="Arial"/>
          <w:bCs/>
          <w:color w:val="000000"/>
          <w:sz w:val="22"/>
          <w:szCs w:val="22"/>
        </w:rPr>
        <w:t>A</w:t>
      </w:r>
      <w:r w:rsidR="00660E43" w:rsidRPr="001E05C6">
        <w:rPr>
          <w:rFonts w:cs="Arial"/>
          <w:bCs/>
          <w:color w:val="000000"/>
          <w:sz w:val="22"/>
          <w:szCs w:val="22"/>
        </w:rPr>
        <w:t>dicionalmente</w:t>
      </w:r>
      <w:r w:rsidRPr="001E05C6">
        <w:rPr>
          <w:rFonts w:cs="Arial"/>
          <w:bCs/>
          <w:color w:val="000000"/>
          <w:sz w:val="22"/>
          <w:szCs w:val="22"/>
        </w:rPr>
        <w:t xml:space="preserve">, el TJCA ha dispuesto </w:t>
      </w:r>
      <w:r w:rsidR="00E63536" w:rsidRPr="001E05C6">
        <w:rPr>
          <w:rFonts w:cs="Arial"/>
          <w:bCs/>
          <w:color w:val="000000"/>
          <w:sz w:val="22"/>
          <w:szCs w:val="22"/>
        </w:rPr>
        <w:t>cuáles son</w:t>
      </w:r>
      <w:r w:rsidRPr="001E05C6">
        <w:rPr>
          <w:rFonts w:cs="Arial"/>
          <w:bCs/>
          <w:color w:val="000000"/>
          <w:sz w:val="22"/>
          <w:szCs w:val="22"/>
        </w:rPr>
        <w:t xml:space="preserve"> los parámetros que </w:t>
      </w:r>
      <w:r w:rsidR="003F4A92" w:rsidRPr="001E05C6">
        <w:rPr>
          <w:rFonts w:cs="Arial"/>
          <w:bCs/>
          <w:color w:val="000000"/>
          <w:sz w:val="22"/>
          <w:szCs w:val="22"/>
        </w:rPr>
        <w:t>corresponde observar,</w:t>
      </w:r>
      <w:r w:rsidRPr="001E05C6">
        <w:rPr>
          <w:rFonts w:cs="Arial"/>
          <w:bCs/>
          <w:color w:val="000000"/>
          <w:sz w:val="22"/>
          <w:szCs w:val="22"/>
        </w:rPr>
        <w:t xml:space="preserve"> a fin de conocer si un juez nacional está obligado a solicitar la interpretación </w:t>
      </w:r>
      <w:r w:rsidR="00790A71" w:rsidRPr="001E05C6">
        <w:rPr>
          <w:rFonts w:cs="Arial"/>
          <w:bCs/>
          <w:color w:val="000000"/>
          <w:sz w:val="22"/>
          <w:szCs w:val="22"/>
        </w:rPr>
        <w:t>prejudicial</w:t>
      </w:r>
      <w:r w:rsidR="00E63536" w:rsidRPr="001E05C6">
        <w:rPr>
          <w:rFonts w:cs="Arial"/>
          <w:bCs/>
          <w:color w:val="000000"/>
          <w:sz w:val="22"/>
          <w:szCs w:val="22"/>
        </w:rPr>
        <w:t>:</w:t>
      </w:r>
    </w:p>
    <w:p w:rsidR="00E63536" w:rsidRPr="001E05C6" w:rsidRDefault="00E63536" w:rsidP="001E05C6">
      <w:pPr>
        <w:pStyle w:val="Prrafodelista"/>
        <w:widowControl/>
        <w:adjustRightInd/>
        <w:spacing w:line="240" w:lineRule="auto"/>
        <w:ind w:left="-12"/>
        <w:contextualSpacing w:val="0"/>
        <w:textAlignment w:val="auto"/>
        <w:rPr>
          <w:rFonts w:cs="Arial"/>
          <w:bCs/>
          <w:color w:val="000000"/>
          <w:sz w:val="22"/>
          <w:szCs w:val="22"/>
        </w:rPr>
      </w:pPr>
    </w:p>
    <w:p w:rsidR="00790A71" w:rsidRPr="001E05C6" w:rsidRDefault="00790A71" w:rsidP="001E05C6">
      <w:pPr>
        <w:pStyle w:val="Prrafodelista"/>
        <w:widowControl/>
        <w:adjustRightInd/>
        <w:spacing w:line="240" w:lineRule="auto"/>
        <w:ind w:left="1134"/>
        <w:contextualSpacing w:val="0"/>
        <w:textAlignment w:val="auto"/>
        <w:rPr>
          <w:rFonts w:cs="Arial"/>
          <w:bCs/>
          <w:i/>
          <w:color w:val="000000"/>
          <w:sz w:val="22"/>
          <w:szCs w:val="22"/>
        </w:rPr>
      </w:pPr>
      <w:r w:rsidRPr="001E05C6">
        <w:rPr>
          <w:rFonts w:cs="Arial"/>
          <w:bCs/>
          <w:i/>
          <w:color w:val="000000"/>
          <w:sz w:val="22"/>
          <w:szCs w:val="22"/>
        </w:rPr>
        <w:t>“</w:t>
      </w:r>
      <w:r w:rsidR="00AC7F81" w:rsidRPr="001E05C6">
        <w:rPr>
          <w:rFonts w:cs="Arial"/>
          <w:bCs/>
          <w:i/>
          <w:color w:val="000000"/>
          <w:sz w:val="22"/>
          <w:szCs w:val="22"/>
        </w:rPr>
        <w:t>De conformidad con lo previsto en los Artículos 33 del Tratado de Creación Tribunal de Justicia de la Comunidad Andina, y 123 de su Estatuto,</w:t>
      </w:r>
      <w:r w:rsidRPr="001E05C6">
        <w:rPr>
          <w:rFonts w:cs="Arial"/>
          <w:bCs/>
          <w:i/>
          <w:color w:val="000000"/>
          <w:sz w:val="22"/>
          <w:szCs w:val="22"/>
        </w:rPr>
        <w:t xml:space="preserve"> como </w:t>
      </w:r>
      <w:r w:rsidRPr="001E05C6">
        <w:rPr>
          <w:rFonts w:cs="Arial"/>
          <w:b/>
          <w:bCs/>
          <w:i/>
          <w:color w:val="000000"/>
          <w:sz w:val="22"/>
          <w:szCs w:val="22"/>
          <w:u w:val="single"/>
        </w:rPr>
        <w:t>parámetros</w:t>
      </w:r>
      <w:r w:rsidRPr="001E05C6">
        <w:rPr>
          <w:rFonts w:cs="Arial"/>
          <w:bCs/>
          <w:i/>
          <w:color w:val="000000"/>
          <w:sz w:val="22"/>
          <w:szCs w:val="22"/>
        </w:rPr>
        <w:t xml:space="preserve"> que deberán observase a fin de </w:t>
      </w:r>
      <w:r w:rsidRPr="001E05C6">
        <w:rPr>
          <w:rFonts w:cs="Arial"/>
          <w:b/>
          <w:bCs/>
          <w:i/>
          <w:color w:val="000000"/>
          <w:sz w:val="22"/>
          <w:szCs w:val="22"/>
          <w:u w:val="single"/>
        </w:rPr>
        <w:t>conocer con certeza si un Juez nacional está obligado a solicitar la interpretación prejudicial</w:t>
      </w:r>
      <w:r w:rsidRPr="001E05C6">
        <w:rPr>
          <w:rFonts w:cs="Arial"/>
          <w:b/>
          <w:bCs/>
          <w:i/>
          <w:color w:val="000000"/>
          <w:sz w:val="22"/>
          <w:szCs w:val="22"/>
        </w:rPr>
        <w:t xml:space="preserve"> </w:t>
      </w:r>
      <w:r w:rsidRPr="001E05C6">
        <w:rPr>
          <w:rFonts w:cs="Arial"/>
          <w:bCs/>
          <w:i/>
          <w:color w:val="000000"/>
          <w:sz w:val="22"/>
          <w:szCs w:val="22"/>
        </w:rPr>
        <w:t>a este Tribunal, tenemos los siguientes:</w:t>
      </w:r>
    </w:p>
    <w:p w:rsidR="00653B55" w:rsidRPr="001E05C6" w:rsidRDefault="00653B55" w:rsidP="001E05C6">
      <w:pPr>
        <w:widowControl/>
        <w:adjustRightInd/>
        <w:spacing w:line="240" w:lineRule="auto"/>
        <w:ind w:left="1134"/>
        <w:textAlignment w:val="auto"/>
        <w:rPr>
          <w:rFonts w:cs="Arial"/>
          <w:bCs/>
          <w:i/>
          <w:color w:val="000000"/>
          <w:sz w:val="22"/>
          <w:szCs w:val="22"/>
        </w:rPr>
      </w:pPr>
    </w:p>
    <w:p w:rsidR="00E27433" w:rsidRPr="001E05C6" w:rsidRDefault="00653B55" w:rsidP="001E05C6">
      <w:pPr>
        <w:pStyle w:val="Prrafodelista"/>
        <w:widowControl/>
        <w:numPr>
          <w:ilvl w:val="0"/>
          <w:numId w:val="40"/>
        </w:numPr>
        <w:adjustRightInd/>
        <w:spacing w:line="240" w:lineRule="auto"/>
        <w:ind w:left="1418" w:hanging="284"/>
        <w:textAlignment w:val="auto"/>
        <w:rPr>
          <w:rFonts w:cs="Arial"/>
          <w:bCs/>
          <w:i/>
          <w:color w:val="000000"/>
          <w:sz w:val="22"/>
          <w:szCs w:val="22"/>
        </w:rPr>
      </w:pPr>
      <w:r w:rsidRPr="001E05C6">
        <w:rPr>
          <w:rFonts w:cs="Arial"/>
          <w:bCs/>
          <w:i/>
          <w:color w:val="000000"/>
          <w:sz w:val="22"/>
          <w:szCs w:val="22"/>
        </w:rPr>
        <w:t>Que cualquiera de las partes en el proceso nacional haya invocado una norma andina co</w:t>
      </w:r>
      <w:r w:rsidR="00E27433" w:rsidRPr="001E05C6">
        <w:rPr>
          <w:rFonts w:cs="Arial"/>
          <w:bCs/>
          <w:i/>
          <w:color w:val="000000"/>
          <w:sz w:val="22"/>
          <w:szCs w:val="22"/>
        </w:rPr>
        <w:t>mo sustento de sus alegaciones.</w:t>
      </w:r>
    </w:p>
    <w:p w:rsidR="00140538" w:rsidRPr="001E05C6" w:rsidRDefault="00140538" w:rsidP="001E05C6">
      <w:pPr>
        <w:pStyle w:val="Prrafodelista"/>
        <w:widowControl/>
        <w:adjustRightInd/>
        <w:spacing w:line="240" w:lineRule="auto"/>
        <w:ind w:left="1418" w:hanging="284"/>
        <w:textAlignment w:val="auto"/>
        <w:rPr>
          <w:rFonts w:cs="Arial"/>
          <w:bCs/>
          <w:i/>
          <w:color w:val="000000"/>
          <w:sz w:val="22"/>
          <w:szCs w:val="22"/>
        </w:rPr>
      </w:pPr>
    </w:p>
    <w:p w:rsidR="00E27433" w:rsidRPr="001E05C6" w:rsidRDefault="00653B55" w:rsidP="001E05C6">
      <w:pPr>
        <w:pStyle w:val="Prrafodelista"/>
        <w:widowControl/>
        <w:numPr>
          <w:ilvl w:val="0"/>
          <w:numId w:val="40"/>
        </w:numPr>
        <w:adjustRightInd/>
        <w:spacing w:line="240" w:lineRule="auto"/>
        <w:ind w:left="1418" w:hanging="284"/>
        <w:textAlignment w:val="auto"/>
        <w:rPr>
          <w:rFonts w:cs="Arial"/>
          <w:bCs/>
          <w:i/>
          <w:color w:val="000000"/>
          <w:sz w:val="22"/>
          <w:szCs w:val="22"/>
        </w:rPr>
      </w:pPr>
      <w:r w:rsidRPr="001E05C6">
        <w:rPr>
          <w:rFonts w:cs="Arial"/>
          <w:bCs/>
          <w:i/>
          <w:color w:val="000000"/>
          <w:sz w:val="22"/>
          <w:szCs w:val="22"/>
        </w:rPr>
        <w:t>Que</w:t>
      </w:r>
      <w:r w:rsidR="00E27433" w:rsidRPr="001E05C6">
        <w:rPr>
          <w:rFonts w:cs="Arial"/>
          <w:bCs/>
          <w:i/>
          <w:color w:val="000000"/>
          <w:sz w:val="22"/>
          <w:szCs w:val="22"/>
        </w:rPr>
        <w:t>,</w:t>
      </w:r>
      <w:r w:rsidRPr="001E05C6">
        <w:rPr>
          <w:rFonts w:cs="Arial"/>
          <w:bCs/>
          <w:i/>
          <w:color w:val="000000"/>
          <w:sz w:val="22"/>
          <w:szCs w:val="22"/>
        </w:rPr>
        <w:t xml:space="preserve"> ante tal invocación, cualquier otra de las partes en el proceso nacional controvierta la interpretación o aplicación de dicha norma andina, o de otras normas andinas, como sustento de sus alegaciones.</w:t>
      </w:r>
    </w:p>
    <w:p w:rsidR="00140538" w:rsidRPr="001E05C6" w:rsidRDefault="00140538" w:rsidP="001E05C6">
      <w:pPr>
        <w:widowControl/>
        <w:adjustRightInd/>
        <w:spacing w:line="240" w:lineRule="auto"/>
        <w:ind w:left="1418" w:hanging="284"/>
        <w:textAlignment w:val="auto"/>
        <w:rPr>
          <w:rFonts w:cs="Arial"/>
          <w:bCs/>
          <w:i/>
          <w:color w:val="000000"/>
          <w:sz w:val="22"/>
          <w:szCs w:val="22"/>
        </w:rPr>
      </w:pPr>
    </w:p>
    <w:p w:rsidR="00790A71" w:rsidRPr="001E05C6" w:rsidRDefault="00653B55" w:rsidP="001E05C6">
      <w:pPr>
        <w:pStyle w:val="Prrafodelista"/>
        <w:widowControl/>
        <w:numPr>
          <w:ilvl w:val="0"/>
          <w:numId w:val="40"/>
        </w:numPr>
        <w:adjustRightInd/>
        <w:spacing w:line="240" w:lineRule="auto"/>
        <w:ind w:left="1418" w:hanging="284"/>
        <w:textAlignment w:val="auto"/>
        <w:rPr>
          <w:rStyle w:val="Refdenotaalpie"/>
          <w:rFonts w:cs="Arial"/>
          <w:bCs/>
          <w:i/>
          <w:color w:val="000000"/>
          <w:sz w:val="22"/>
          <w:szCs w:val="22"/>
          <w:vertAlign w:val="baseline"/>
        </w:rPr>
      </w:pPr>
      <w:r w:rsidRPr="001E05C6">
        <w:rPr>
          <w:rFonts w:cs="Arial"/>
          <w:bCs/>
          <w:i/>
          <w:color w:val="000000"/>
          <w:sz w:val="22"/>
          <w:szCs w:val="22"/>
        </w:rPr>
        <w:t xml:space="preserve">Que el juez nacional que va a resolver la causa </w:t>
      </w:r>
      <w:r w:rsidRPr="001E05C6">
        <w:rPr>
          <w:rFonts w:cs="Arial"/>
          <w:b/>
          <w:bCs/>
          <w:i/>
          <w:color w:val="000000"/>
          <w:sz w:val="22"/>
          <w:szCs w:val="22"/>
          <w:u w:val="single"/>
        </w:rPr>
        <w:t>necesariamente</w:t>
      </w:r>
      <w:r w:rsidRPr="001E05C6">
        <w:rPr>
          <w:rFonts w:cs="Arial"/>
          <w:bCs/>
          <w:i/>
          <w:color w:val="000000"/>
          <w:sz w:val="22"/>
          <w:szCs w:val="22"/>
        </w:rPr>
        <w:t xml:space="preserve"> tenga que </w:t>
      </w:r>
      <w:r w:rsidR="00E27433" w:rsidRPr="001E05C6">
        <w:rPr>
          <w:rFonts w:cs="Arial"/>
          <w:b/>
          <w:bCs/>
          <w:i/>
          <w:color w:val="000000"/>
          <w:sz w:val="22"/>
          <w:szCs w:val="22"/>
          <w:u w:val="single"/>
        </w:rPr>
        <w:t>aplicar</w:t>
      </w:r>
      <w:r w:rsidRPr="001E05C6">
        <w:rPr>
          <w:rFonts w:cs="Arial"/>
          <w:b/>
          <w:bCs/>
          <w:i/>
          <w:color w:val="000000"/>
          <w:sz w:val="22"/>
          <w:szCs w:val="22"/>
          <w:u w:val="single"/>
        </w:rPr>
        <w:t xml:space="preserve"> una norma andina para fallar el asunto</w:t>
      </w:r>
      <w:r w:rsidRPr="001E05C6">
        <w:rPr>
          <w:rFonts w:cs="Arial"/>
          <w:bCs/>
          <w:i/>
          <w:color w:val="000000"/>
          <w:sz w:val="22"/>
          <w:szCs w:val="22"/>
        </w:rPr>
        <w:t>, más allá de si fue o no invocada o controvertida por cualquiera de las partes.</w:t>
      </w:r>
      <w:r w:rsidR="00790A71" w:rsidRPr="001E05C6">
        <w:rPr>
          <w:rStyle w:val="Refdenotaalpie"/>
          <w:rFonts w:cs="Arial"/>
          <w:bCs/>
          <w:i/>
          <w:color w:val="000000"/>
          <w:sz w:val="22"/>
          <w:szCs w:val="22"/>
        </w:rPr>
        <w:t xml:space="preserve"> </w:t>
      </w:r>
    </w:p>
    <w:p w:rsidR="00790A71" w:rsidRPr="001E05C6" w:rsidRDefault="00790A71" w:rsidP="001E05C6">
      <w:pPr>
        <w:widowControl/>
        <w:adjustRightInd/>
        <w:spacing w:line="240" w:lineRule="auto"/>
        <w:textAlignment w:val="auto"/>
        <w:rPr>
          <w:rFonts w:cs="Arial"/>
          <w:bCs/>
          <w:i/>
          <w:color w:val="000000"/>
          <w:sz w:val="22"/>
          <w:szCs w:val="22"/>
        </w:rPr>
      </w:pPr>
    </w:p>
    <w:p w:rsidR="00846557" w:rsidRPr="001E05C6" w:rsidRDefault="00790A71" w:rsidP="001E05C6">
      <w:pPr>
        <w:pStyle w:val="Prrafodelista"/>
        <w:widowControl/>
        <w:adjustRightInd/>
        <w:spacing w:line="240" w:lineRule="auto"/>
        <w:ind w:left="1134"/>
        <w:textAlignment w:val="auto"/>
        <w:rPr>
          <w:rFonts w:cs="Arial"/>
          <w:bCs/>
          <w:i/>
          <w:color w:val="000000"/>
          <w:sz w:val="22"/>
          <w:szCs w:val="22"/>
        </w:rPr>
      </w:pPr>
      <w:r w:rsidRPr="001E05C6">
        <w:rPr>
          <w:rFonts w:cs="Arial"/>
          <w:b/>
          <w:bCs/>
          <w:i/>
          <w:color w:val="000000"/>
          <w:sz w:val="22"/>
          <w:szCs w:val="22"/>
          <w:u w:val="single"/>
        </w:rPr>
        <w:t>Estos parámetros no son concurrentes, pero el último es necesario para establecer la obligatoriedad de la solicitud de interpretación prejudicial</w:t>
      </w:r>
      <w:r w:rsidRPr="001E05C6">
        <w:rPr>
          <w:rFonts w:cs="Arial"/>
          <w:bCs/>
          <w:i/>
          <w:color w:val="000000"/>
          <w:sz w:val="22"/>
          <w:szCs w:val="22"/>
        </w:rPr>
        <w:t>.”</w:t>
      </w:r>
      <w:r w:rsidRPr="001E05C6">
        <w:rPr>
          <w:rStyle w:val="Refdenotaalpie"/>
          <w:rFonts w:cs="Arial"/>
          <w:bCs/>
          <w:i/>
          <w:color w:val="000000"/>
          <w:sz w:val="22"/>
          <w:szCs w:val="22"/>
        </w:rPr>
        <w:footnoteReference w:id="27"/>
      </w:r>
      <w:r w:rsidRPr="001E05C6">
        <w:rPr>
          <w:rFonts w:cs="Arial"/>
          <w:bCs/>
          <w:i/>
          <w:color w:val="000000"/>
          <w:sz w:val="22"/>
          <w:szCs w:val="22"/>
        </w:rPr>
        <w:t xml:space="preserve"> </w:t>
      </w:r>
      <w:r w:rsidR="005F7C0C" w:rsidRPr="001E05C6">
        <w:rPr>
          <w:rFonts w:cs="Arial"/>
          <w:bCs/>
          <w:color w:val="000000"/>
          <w:sz w:val="22"/>
          <w:szCs w:val="22"/>
        </w:rPr>
        <w:t>(Énfasis agregado)</w:t>
      </w:r>
    </w:p>
    <w:p w:rsidR="00790A71" w:rsidRPr="001E05C6" w:rsidRDefault="00790A71" w:rsidP="001E05C6">
      <w:pPr>
        <w:widowControl/>
        <w:adjustRightInd/>
        <w:spacing w:line="240" w:lineRule="auto"/>
        <w:textAlignment w:val="auto"/>
        <w:rPr>
          <w:rFonts w:cs="Arial"/>
          <w:bCs/>
          <w:i/>
          <w:color w:val="000000"/>
          <w:sz w:val="22"/>
          <w:szCs w:val="22"/>
        </w:rPr>
      </w:pPr>
    </w:p>
    <w:p w:rsidR="00C11507" w:rsidRPr="001E05C6" w:rsidRDefault="00846557"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ab/>
      </w:r>
      <w:r w:rsidR="00140538" w:rsidRPr="001E05C6">
        <w:rPr>
          <w:rFonts w:cs="Arial"/>
          <w:sz w:val="22"/>
          <w:szCs w:val="22"/>
        </w:rPr>
        <w:t>A</w:t>
      </w:r>
      <w:r w:rsidRPr="001E05C6">
        <w:rPr>
          <w:rFonts w:cs="Arial"/>
          <w:sz w:val="22"/>
          <w:szCs w:val="22"/>
          <w:lang w:val="es-ES_tradnl"/>
        </w:rPr>
        <w:t xml:space="preserve"> la luz de las consideraciones expuestas</w:t>
      </w:r>
      <w:r w:rsidR="00311EE2" w:rsidRPr="001E05C6">
        <w:rPr>
          <w:rFonts w:cs="Arial"/>
          <w:sz w:val="22"/>
          <w:szCs w:val="22"/>
          <w:lang w:val="es-ES_tradnl"/>
        </w:rPr>
        <w:t xml:space="preserve"> y los parámetros previamente señalados</w:t>
      </w:r>
      <w:r w:rsidRPr="001E05C6">
        <w:rPr>
          <w:rFonts w:cs="Arial"/>
          <w:sz w:val="22"/>
          <w:szCs w:val="22"/>
        </w:rPr>
        <w:t xml:space="preserve">, </w:t>
      </w:r>
      <w:r w:rsidR="00790A71" w:rsidRPr="001E05C6">
        <w:rPr>
          <w:rFonts w:cs="Arial"/>
          <w:sz w:val="22"/>
          <w:szCs w:val="22"/>
        </w:rPr>
        <w:t xml:space="preserve">corresponde que esta Secretaría General verifique </w:t>
      </w:r>
      <w:r w:rsidRPr="001E05C6">
        <w:rPr>
          <w:rFonts w:cs="Arial"/>
          <w:sz w:val="22"/>
          <w:szCs w:val="22"/>
        </w:rPr>
        <w:t>si la</w:t>
      </w:r>
      <w:r w:rsidR="00140538" w:rsidRPr="001E05C6">
        <w:rPr>
          <w:rFonts w:cs="Arial"/>
          <w:sz w:val="22"/>
          <w:szCs w:val="22"/>
        </w:rPr>
        <w:t xml:space="preserve"> Tercera</w:t>
      </w:r>
      <w:r w:rsidRPr="001E05C6">
        <w:rPr>
          <w:rFonts w:cs="Arial"/>
          <w:sz w:val="22"/>
          <w:szCs w:val="22"/>
        </w:rPr>
        <w:t xml:space="preserve"> Sala de Derecho Constitucional y Social </w:t>
      </w:r>
      <w:r w:rsidR="003F4A92" w:rsidRPr="001E05C6">
        <w:rPr>
          <w:rFonts w:cs="Arial"/>
          <w:sz w:val="22"/>
          <w:szCs w:val="22"/>
        </w:rPr>
        <w:t xml:space="preserve">Transitoria </w:t>
      </w:r>
      <w:r w:rsidRPr="001E05C6">
        <w:rPr>
          <w:rFonts w:cs="Arial"/>
          <w:sz w:val="22"/>
          <w:szCs w:val="22"/>
        </w:rPr>
        <w:t>de la C</w:t>
      </w:r>
      <w:r w:rsidR="00311EE2" w:rsidRPr="001E05C6">
        <w:rPr>
          <w:rFonts w:cs="Arial"/>
          <w:sz w:val="22"/>
          <w:szCs w:val="22"/>
        </w:rPr>
        <w:t>orte Suprema del Perú se encontraba</w:t>
      </w:r>
      <w:r w:rsidRPr="001E05C6">
        <w:rPr>
          <w:rFonts w:cs="Arial"/>
          <w:sz w:val="22"/>
          <w:szCs w:val="22"/>
        </w:rPr>
        <w:t xml:space="preserve"> obligada a solicita</w:t>
      </w:r>
      <w:r w:rsidR="00311EE2" w:rsidRPr="001E05C6">
        <w:rPr>
          <w:rFonts w:cs="Arial"/>
          <w:sz w:val="22"/>
          <w:szCs w:val="22"/>
        </w:rPr>
        <w:t>r la interpretación prejudicial</w:t>
      </w:r>
      <w:r w:rsidR="005C3A17" w:rsidRPr="001E05C6">
        <w:rPr>
          <w:rFonts w:cs="Arial"/>
          <w:sz w:val="22"/>
          <w:szCs w:val="22"/>
        </w:rPr>
        <w:t>.</w:t>
      </w:r>
      <w:r w:rsidR="00C11507" w:rsidRPr="001E05C6">
        <w:rPr>
          <w:rFonts w:cs="Arial"/>
          <w:sz w:val="22"/>
          <w:szCs w:val="22"/>
        </w:rPr>
        <w:t xml:space="preserve"> Para dichos efectos, </w:t>
      </w:r>
      <w:r w:rsidR="00C11507" w:rsidRPr="001E05C6">
        <w:rPr>
          <w:rFonts w:cs="Arial"/>
          <w:bCs/>
          <w:snapToGrid w:val="0"/>
          <w:sz w:val="22"/>
          <w:szCs w:val="22"/>
        </w:rPr>
        <w:t>resulta pertinente hacer alusión, de manera sucinta, a los hechos</w:t>
      </w:r>
      <w:r w:rsidR="00097FE7" w:rsidRPr="001E05C6">
        <w:rPr>
          <w:rFonts w:cs="Arial"/>
          <w:bCs/>
          <w:snapToGrid w:val="0"/>
          <w:sz w:val="22"/>
          <w:szCs w:val="22"/>
        </w:rPr>
        <w:t xml:space="preserve"> y a</w:t>
      </w:r>
      <w:r w:rsidR="00C11507" w:rsidRPr="001E05C6">
        <w:rPr>
          <w:rFonts w:cs="Arial"/>
          <w:bCs/>
          <w:snapToGrid w:val="0"/>
          <w:sz w:val="22"/>
          <w:szCs w:val="22"/>
        </w:rPr>
        <w:t xml:space="preserve"> las actuaciones procesales relevantes</w:t>
      </w:r>
      <w:r w:rsidR="00097FE7" w:rsidRPr="001E05C6">
        <w:rPr>
          <w:rFonts w:cs="Arial"/>
          <w:bCs/>
          <w:snapToGrid w:val="0"/>
          <w:sz w:val="22"/>
          <w:szCs w:val="22"/>
        </w:rPr>
        <w:t>,</w:t>
      </w:r>
      <w:r w:rsidR="00C11507" w:rsidRPr="001E05C6">
        <w:rPr>
          <w:rFonts w:cs="Arial"/>
          <w:bCs/>
          <w:snapToGrid w:val="0"/>
          <w:sz w:val="22"/>
          <w:szCs w:val="22"/>
        </w:rPr>
        <w:t xml:space="preserve"> y a las cuestiones controvertidas en sede nacional. </w:t>
      </w:r>
    </w:p>
    <w:p w:rsidR="00C11507" w:rsidRPr="001E05C6" w:rsidRDefault="00C11507" w:rsidP="001E05C6">
      <w:pPr>
        <w:pStyle w:val="Prrafodelista"/>
        <w:widowControl/>
        <w:adjustRightInd/>
        <w:spacing w:line="240" w:lineRule="auto"/>
        <w:ind w:left="-12"/>
        <w:contextualSpacing w:val="0"/>
        <w:textAlignment w:val="auto"/>
        <w:rPr>
          <w:rFonts w:cs="Arial"/>
          <w:sz w:val="22"/>
          <w:szCs w:val="22"/>
        </w:rPr>
      </w:pPr>
    </w:p>
    <w:p w:rsidR="00C11507" w:rsidRPr="001E05C6" w:rsidRDefault="00C11507" w:rsidP="001E05C6">
      <w:pPr>
        <w:pStyle w:val="Prrafodelista"/>
        <w:widowControl/>
        <w:numPr>
          <w:ilvl w:val="1"/>
          <w:numId w:val="2"/>
        </w:numPr>
        <w:adjustRightInd/>
        <w:spacing w:line="240" w:lineRule="auto"/>
        <w:ind w:left="709" w:hanging="425"/>
        <w:textAlignment w:val="auto"/>
        <w:rPr>
          <w:rFonts w:cs="Arial"/>
          <w:b/>
          <w:bCs/>
          <w:snapToGrid w:val="0"/>
          <w:sz w:val="22"/>
          <w:szCs w:val="22"/>
        </w:rPr>
      </w:pPr>
      <w:r w:rsidRPr="001E05C6">
        <w:rPr>
          <w:rFonts w:cs="Arial"/>
          <w:b/>
          <w:bCs/>
          <w:snapToGrid w:val="0"/>
          <w:sz w:val="22"/>
          <w:szCs w:val="22"/>
        </w:rPr>
        <w:lastRenderedPageBreak/>
        <w:t>Síntesis de los hechos, de las actuaciones procesales relevantes y de las cuestiones controvertidas en sede nacional:</w:t>
      </w:r>
    </w:p>
    <w:p w:rsidR="00C11507" w:rsidRPr="001E05C6" w:rsidRDefault="00C11507" w:rsidP="001E05C6">
      <w:pPr>
        <w:pStyle w:val="Prrafodelista"/>
        <w:spacing w:line="240" w:lineRule="auto"/>
        <w:rPr>
          <w:rFonts w:cs="Arial"/>
          <w:bCs/>
          <w:i/>
          <w:snapToGrid w:val="0"/>
          <w:sz w:val="22"/>
          <w:szCs w:val="22"/>
          <w:u w:val="single"/>
        </w:rPr>
      </w:pPr>
    </w:p>
    <w:p w:rsidR="00024CA2" w:rsidRPr="001E05C6" w:rsidRDefault="00024CA2"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1E05C6">
        <w:rPr>
          <w:rFonts w:cs="Arial"/>
          <w:bCs/>
          <w:snapToGrid w:val="0"/>
          <w:sz w:val="22"/>
          <w:szCs w:val="22"/>
        </w:rPr>
        <w:t>A partir de la información que obra en el Expediente, esta SGCAN entiende que los hechos, las actuaciones procesales y las cuestiones controvertidas en sede nacional fueron las siguientes:</w:t>
      </w:r>
    </w:p>
    <w:p w:rsidR="00024CA2" w:rsidRPr="001E05C6" w:rsidRDefault="00024CA2" w:rsidP="001E05C6">
      <w:pPr>
        <w:spacing w:line="240" w:lineRule="auto"/>
        <w:rPr>
          <w:rFonts w:cs="Arial"/>
          <w:bCs/>
          <w:i/>
          <w:snapToGrid w:val="0"/>
          <w:sz w:val="22"/>
          <w:szCs w:val="22"/>
          <w:u w:val="single"/>
        </w:rPr>
      </w:pPr>
    </w:p>
    <w:p w:rsidR="00C11507" w:rsidRPr="001E05C6" w:rsidRDefault="00C11507" w:rsidP="001E05C6">
      <w:pPr>
        <w:pStyle w:val="Prrafodelista"/>
        <w:widowControl/>
        <w:numPr>
          <w:ilvl w:val="0"/>
          <w:numId w:val="26"/>
        </w:numPr>
        <w:adjustRightInd/>
        <w:spacing w:line="240" w:lineRule="auto"/>
        <w:ind w:left="1276" w:hanging="567"/>
        <w:contextualSpacing w:val="0"/>
        <w:textAlignment w:val="auto"/>
        <w:rPr>
          <w:rFonts w:cs="Arial"/>
          <w:b/>
          <w:bCs/>
          <w:i/>
          <w:snapToGrid w:val="0"/>
          <w:sz w:val="22"/>
          <w:szCs w:val="22"/>
        </w:rPr>
      </w:pPr>
      <w:r w:rsidRPr="001E05C6">
        <w:rPr>
          <w:rFonts w:cs="Arial"/>
          <w:b/>
          <w:bCs/>
          <w:i/>
          <w:snapToGrid w:val="0"/>
          <w:sz w:val="22"/>
          <w:szCs w:val="22"/>
        </w:rPr>
        <w:t>Hechos y actuaciones procesales relevantes</w:t>
      </w:r>
      <w:r w:rsidRPr="001E05C6">
        <w:rPr>
          <w:rFonts w:cs="Arial"/>
          <w:b/>
          <w:bCs/>
          <w:snapToGrid w:val="0"/>
          <w:sz w:val="22"/>
          <w:szCs w:val="22"/>
        </w:rPr>
        <w:t>:</w:t>
      </w:r>
    </w:p>
    <w:p w:rsidR="00C11507" w:rsidRPr="001E05C6" w:rsidRDefault="00C11507" w:rsidP="001E05C6">
      <w:pPr>
        <w:widowControl/>
        <w:adjustRightInd/>
        <w:spacing w:line="240" w:lineRule="auto"/>
        <w:textAlignment w:val="auto"/>
        <w:rPr>
          <w:rFonts w:cs="Arial"/>
          <w:bCs/>
          <w:snapToGrid w:val="0"/>
          <w:sz w:val="22"/>
          <w:szCs w:val="22"/>
        </w:rPr>
      </w:pPr>
    </w:p>
    <w:p w:rsidR="00C11507" w:rsidRPr="001E05C6" w:rsidRDefault="00C11507"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1E05C6">
        <w:rPr>
          <w:rFonts w:cs="Arial"/>
          <w:sz w:val="22"/>
          <w:szCs w:val="22"/>
        </w:rPr>
        <w:t xml:space="preserve">La reclamante celebró, en los años 2001 y 2002, contratos con </w:t>
      </w:r>
      <w:r w:rsidR="00AE5059" w:rsidRPr="001E05C6">
        <w:rPr>
          <w:rFonts w:cs="Arial"/>
          <w:sz w:val="22"/>
          <w:szCs w:val="22"/>
        </w:rPr>
        <w:t xml:space="preserve">las siguientes </w:t>
      </w:r>
      <w:r w:rsidRPr="001E05C6">
        <w:rPr>
          <w:rFonts w:cs="Arial"/>
          <w:sz w:val="22"/>
          <w:szCs w:val="22"/>
        </w:rPr>
        <w:t>personas jurídicas</w:t>
      </w:r>
      <w:r w:rsidR="00885D74" w:rsidRPr="001E05C6">
        <w:rPr>
          <w:rStyle w:val="Refdenotaalpie"/>
          <w:rFonts w:cs="Arial"/>
          <w:sz w:val="22"/>
          <w:szCs w:val="22"/>
        </w:rPr>
        <w:footnoteReference w:id="28"/>
      </w:r>
      <w:r w:rsidRPr="001E05C6">
        <w:rPr>
          <w:rFonts w:cs="Arial"/>
          <w:sz w:val="22"/>
          <w:szCs w:val="22"/>
        </w:rPr>
        <w:t xml:space="preserve"> </w:t>
      </w:r>
      <w:r w:rsidR="00AE5059" w:rsidRPr="001E05C6">
        <w:rPr>
          <w:rFonts w:cs="Arial"/>
          <w:sz w:val="22"/>
          <w:szCs w:val="22"/>
        </w:rPr>
        <w:t xml:space="preserve">(consideradas </w:t>
      </w:r>
      <w:r w:rsidRPr="001E05C6">
        <w:rPr>
          <w:rFonts w:cs="Arial"/>
          <w:sz w:val="22"/>
          <w:szCs w:val="22"/>
        </w:rPr>
        <w:t>no domiciliadas conforme a la normativa tributaria peruana</w:t>
      </w:r>
      <w:r w:rsidR="00AE5059" w:rsidRPr="001E05C6">
        <w:rPr>
          <w:rFonts w:cs="Arial"/>
          <w:sz w:val="22"/>
          <w:szCs w:val="22"/>
        </w:rPr>
        <w:t>)</w:t>
      </w:r>
      <w:r w:rsidRPr="001E05C6">
        <w:rPr>
          <w:rFonts w:cs="Arial"/>
          <w:sz w:val="22"/>
          <w:szCs w:val="22"/>
        </w:rPr>
        <w:t>: i) Satélites Mexicanos Sociedad Anónima de C.V. (SATMEX)</w:t>
      </w:r>
      <w:r w:rsidR="007D37FA" w:rsidRPr="001E05C6">
        <w:rPr>
          <w:rStyle w:val="Refdenotaalpie"/>
          <w:rFonts w:cs="Arial"/>
          <w:sz w:val="22"/>
          <w:szCs w:val="22"/>
        </w:rPr>
        <w:footnoteReference w:id="29"/>
      </w:r>
      <w:r w:rsidRPr="001E05C6">
        <w:rPr>
          <w:rFonts w:cs="Arial"/>
          <w:sz w:val="22"/>
          <w:szCs w:val="22"/>
        </w:rPr>
        <w:t xml:space="preserve">; </w:t>
      </w:r>
      <w:proofErr w:type="spellStart"/>
      <w:r w:rsidRPr="001E05C6">
        <w:rPr>
          <w:rFonts w:cs="Arial"/>
          <w:sz w:val="22"/>
          <w:szCs w:val="22"/>
        </w:rPr>
        <w:t>ii</w:t>
      </w:r>
      <w:proofErr w:type="spellEnd"/>
      <w:r w:rsidRPr="001E05C6">
        <w:rPr>
          <w:rFonts w:cs="Arial"/>
          <w:sz w:val="22"/>
          <w:szCs w:val="22"/>
        </w:rPr>
        <w:t xml:space="preserve">) </w:t>
      </w:r>
      <w:proofErr w:type="spellStart"/>
      <w:r w:rsidRPr="001E05C6">
        <w:rPr>
          <w:rFonts w:cs="Arial"/>
          <w:sz w:val="22"/>
          <w:szCs w:val="22"/>
        </w:rPr>
        <w:t>PanAmSat</w:t>
      </w:r>
      <w:proofErr w:type="spellEnd"/>
      <w:r w:rsidR="00885D74" w:rsidRPr="001E05C6">
        <w:rPr>
          <w:rStyle w:val="Refdenotaalpie"/>
          <w:rFonts w:cs="Arial"/>
          <w:sz w:val="22"/>
          <w:szCs w:val="22"/>
        </w:rPr>
        <w:footnoteReference w:id="30"/>
      </w:r>
      <w:r w:rsidRPr="001E05C6">
        <w:rPr>
          <w:rFonts w:cs="Arial"/>
          <w:sz w:val="22"/>
          <w:szCs w:val="22"/>
        </w:rPr>
        <w:t xml:space="preserve">; e, </w:t>
      </w:r>
      <w:proofErr w:type="spellStart"/>
      <w:r w:rsidRPr="001E05C6">
        <w:rPr>
          <w:rFonts w:cs="Arial"/>
          <w:sz w:val="22"/>
          <w:szCs w:val="22"/>
        </w:rPr>
        <w:t>iii</w:t>
      </w:r>
      <w:proofErr w:type="spellEnd"/>
      <w:r w:rsidRPr="001E05C6">
        <w:rPr>
          <w:rFonts w:cs="Arial"/>
          <w:sz w:val="22"/>
          <w:szCs w:val="22"/>
        </w:rPr>
        <w:t xml:space="preserve">) </w:t>
      </w:r>
      <w:proofErr w:type="spellStart"/>
      <w:r w:rsidRPr="001E05C6">
        <w:rPr>
          <w:rFonts w:cs="Arial"/>
          <w:sz w:val="22"/>
          <w:szCs w:val="22"/>
        </w:rPr>
        <w:t>Intelsat</w:t>
      </w:r>
      <w:proofErr w:type="spellEnd"/>
      <w:r w:rsidRPr="001E05C6">
        <w:rPr>
          <w:rFonts w:cs="Arial"/>
          <w:sz w:val="22"/>
          <w:szCs w:val="22"/>
        </w:rPr>
        <w:t xml:space="preserve"> Global &amp; Marketing</w:t>
      </w:r>
      <w:r w:rsidR="00885D74" w:rsidRPr="001E05C6">
        <w:rPr>
          <w:rStyle w:val="Refdenotaalpie"/>
          <w:rFonts w:cs="Arial"/>
          <w:sz w:val="22"/>
          <w:szCs w:val="22"/>
        </w:rPr>
        <w:footnoteReference w:id="31"/>
      </w:r>
      <w:r w:rsidRPr="001E05C6">
        <w:rPr>
          <w:rFonts w:cs="Arial"/>
          <w:sz w:val="22"/>
          <w:szCs w:val="22"/>
        </w:rPr>
        <w:t>.</w:t>
      </w:r>
    </w:p>
    <w:p w:rsidR="00C11507" w:rsidRPr="001E05C6" w:rsidRDefault="00C11507" w:rsidP="001E05C6">
      <w:pPr>
        <w:pStyle w:val="Prrafodelista"/>
        <w:spacing w:line="240" w:lineRule="auto"/>
        <w:rPr>
          <w:rFonts w:cs="Arial"/>
          <w:sz w:val="22"/>
          <w:szCs w:val="22"/>
        </w:rPr>
      </w:pPr>
    </w:p>
    <w:p w:rsidR="00C11507" w:rsidRPr="001E05C6" w:rsidRDefault="00C11507"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1E05C6">
        <w:rPr>
          <w:rFonts w:cs="Arial"/>
          <w:sz w:val="22"/>
          <w:szCs w:val="22"/>
        </w:rPr>
        <w:t>En el año 2005, la Superintendencia Nacional de Aduanas y de Administración Tributaria (en adelante, “SUNAT” o “autoridad tributaria”, indistintamente) inició procedimientos de fiscalización par</w:t>
      </w:r>
      <w:r w:rsidR="00FD2525" w:rsidRPr="001E05C6">
        <w:rPr>
          <w:rFonts w:cs="Arial"/>
          <w:sz w:val="22"/>
          <w:szCs w:val="22"/>
        </w:rPr>
        <w:t>a verificar el cumplimiento de las</w:t>
      </w:r>
      <w:r w:rsidRPr="001E05C6">
        <w:rPr>
          <w:rFonts w:cs="Arial"/>
          <w:sz w:val="22"/>
          <w:szCs w:val="22"/>
        </w:rPr>
        <w:t xml:space="preserve"> obligaciones tributarias</w:t>
      </w:r>
      <w:r w:rsidR="00FD2525" w:rsidRPr="001E05C6">
        <w:rPr>
          <w:rFonts w:cs="Arial"/>
          <w:sz w:val="22"/>
          <w:szCs w:val="22"/>
        </w:rPr>
        <w:t xml:space="preserve"> de la reclamante</w:t>
      </w:r>
      <w:r w:rsidRPr="001E05C6">
        <w:rPr>
          <w:rFonts w:cs="Arial"/>
          <w:sz w:val="22"/>
          <w:szCs w:val="22"/>
        </w:rPr>
        <w:t xml:space="preserve">, y, como consecuencia de ello, emitió Resoluciones de </w:t>
      </w:r>
      <w:r w:rsidR="003212C4" w:rsidRPr="001E05C6">
        <w:rPr>
          <w:rFonts w:cs="Arial"/>
          <w:sz w:val="22"/>
          <w:szCs w:val="22"/>
        </w:rPr>
        <w:t>m</w:t>
      </w:r>
      <w:r w:rsidRPr="001E05C6">
        <w:rPr>
          <w:rFonts w:cs="Arial"/>
          <w:sz w:val="22"/>
          <w:szCs w:val="22"/>
        </w:rPr>
        <w:t>ulta, en las cuales señaló que la reclamante había incumplido con efectuar la retención de impuesto a la renta a personas jurídicas no domiciliadas (referidas en el párrafo precedente) que prestan servicios satelitales.</w:t>
      </w:r>
    </w:p>
    <w:p w:rsidR="00C11507" w:rsidRPr="001E05C6" w:rsidRDefault="00C11507" w:rsidP="001E05C6">
      <w:pPr>
        <w:pStyle w:val="Prrafodelista"/>
        <w:spacing w:line="240" w:lineRule="auto"/>
        <w:rPr>
          <w:rFonts w:cs="Arial"/>
          <w:bCs/>
          <w:snapToGrid w:val="0"/>
          <w:sz w:val="22"/>
          <w:szCs w:val="22"/>
        </w:rPr>
      </w:pPr>
    </w:p>
    <w:p w:rsidR="00C11507" w:rsidRPr="001E05C6" w:rsidRDefault="00C11507"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1E05C6">
        <w:rPr>
          <w:rFonts w:cs="Arial"/>
          <w:bCs/>
          <w:snapToGrid w:val="0"/>
          <w:sz w:val="22"/>
          <w:szCs w:val="22"/>
        </w:rPr>
        <w:t xml:space="preserve">La reclamante inició un procedimiento contencioso </w:t>
      </w:r>
      <w:r w:rsidR="00AF56DB" w:rsidRPr="001E05C6">
        <w:rPr>
          <w:rFonts w:cs="Arial"/>
          <w:bCs/>
          <w:snapToGrid w:val="0"/>
          <w:sz w:val="22"/>
          <w:szCs w:val="22"/>
        </w:rPr>
        <w:t>en sede administrativa</w:t>
      </w:r>
      <w:r w:rsidRPr="001E05C6">
        <w:rPr>
          <w:rFonts w:cs="Arial"/>
          <w:bCs/>
          <w:snapToGrid w:val="0"/>
          <w:sz w:val="22"/>
          <w:szCs w:val="22"/>
        </w:rPr>
        <w:t>, el cual concluyó con la Resolución del Tribunal Fiscal No. 13310-9-2010</w:t>
      </w:r>
      <w:r w:rsidR="00943F67" w:rsidRPr="001E05C6">
        <w:rPr>
          <w:rFonts w:cs="Arial"/>
          <w:bCs/>
          <w:snapToGrid w:val="0"/>
          <w:sz w:val="22"/>
          <w:szCs w:val="22"/>
        </w:rPr>
        <w:t xml:space="preserve"> de 27 de octubre de 2010</w:t>
      </w:r>
      <w:r w:rsidRPr="001E05C6">
        <w:rPr>
          <w:rFonts w:cs="Arial"/>
          <w:bCs/>
          <w:snapToGrid w:val="0"/>
          <w:sz w:val="22"/>
          <w:szCs w:val="22"/>
        </w:rPr>
        <w:t>, mediante la cual el Tribunal Fiscal peruano resolvió revocar las Resoluciones de Multa emitidas por la autoridad tributaria peruana.</w:t>
      </w:r>
    </w:p>
    <w:p w:rsidR="00C11507" w:rsidRPr="001E05C6" w:rsidRDefault="00C11507" w:rsidP="001E05C6">
      <w:pPr>
        <w:pStyle w:val="Prrafodelista"/>
        <w:spacing w:line="240" w:lineRule="auto"/>
        <w:rPr>
          <w:rFonts w:cs="Arial"/>
          <w:bCs/>
          <w:snapToGrid w:val="0"/>
          <w:sz w:val="22"/>
          <w:szCs w:val="22"/>
        </w:rPr>
      </w:pPr>
    </w:p>
    <w:p w:rsidR="00C11507" w:rsidRPr="001E05C6" w:rsidRDefault="00C11507"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1E05C6">
        <w:rPr>
          <w:rFonts w:cs="Arial"/>
          <w:bCs/>
          <w:snapToGrid w:val="0"/>
          <w:sz w:val="22"/>
          <w:szCs w:val="22"/>
        </w:rPr>
        <w:t>La SUNAT interpuso demanda contenciosa administrativa contra el Tribunal Fiscal peruano y la reclamada, solicitando, como pretensión principal, que se declare la nulidad de la Resolución del Tribunal Fiscal No. 13310-9-2010 y, como pretensión accesoria, que se ordene al Tribunal Fiscal emitir una nueva resolución, declarando la validez de las Resoluciones emitidas por la SUNAT.</w:t>
      </w:r>
      <w:r w:rsidRPr="001E05C6">
        <w:rPr>
          <w:rStyle w:val="Refdenotaalpie"/>
          <w:rFonts w:cs="Arial"/>
          <w:bCs/>
          <w:snapToGrid w:val="0"/>
          <w:sz w:val="22"/>
          <w:szCs w:val="22"/>
        </w:rPr>
        <w:footnoteReference w:id="32"/>
      </w:r>
      <w:r w:rsidRPr="001E05C6">
        <w:rPr>
          <w:rFonts w:cs="Arial"/>
          <w:bCs/>
          <w:snapToGrid w:val="0"/>
          <w:sz w:val="22"/>
          <w:szCs w:val="22"/>
        </w:rPr>
        <w:t xml:space="preserve"> </w:t>
      </w:r>
    </w:p>
    <w:p w:rsidR="00C11507" w:rsidRPr="001E05C6" w:rsidRDefault="00C11507" w:rsidP="001E05C6">
      <w:pPr>
        <w:pStyle w:val="Prrafodelista"/>
        <w:spacing w:line="240" w:lineRule="auto"/>
        <w:rPr>
          <w:rFonts w:cs="Arial"/>
          <w:bCs/>
          <w:snapToGrid w:val="0"/>
          <w:sz w:val="22"/>
          <w:szCs w:val="22"/>
        </w:rPr>
      </w:pPr>
    </w:p>
    <w:p w:rsidR="00C11507" w:rsidRPr="001E05C6" w:rsidRDefault="00C11507"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1E05C6">
        <w:rPr>
          <w:rFonts w:cs="Arial"/>
          <w:bCs/>
          <w:snapToGrid w:val="0"/>
          <w:sz w:val="22"/>
          <w:szCs w:val="22"/>
        </w:rPr>
        <w:t xml:space="preserve">El </w:t>
      </w:r>
      <w:r w:rsidR="00943F67" w:rsidRPr="001E05C6">
        <w:rPr>
          <w:rFonts w:cs="Arial"/>
          <w:bCs/>
          <w:snapToGrid w:val="0"/>
          <w:sz w:val="22"/>
          <w:szCs w:val="22"/>
        </w:rPr>
        <w:t xml:space="preserve">Vigésimo </w:t>
      </w:r>
      <w:r w:rsidRPr="001E05C6">
        <w:rPr>
          <w:rFonts w:cs="Arial"/>
          <w:bCs/>
          <w:snapToGrid w:val="0"/>
          <w:sz w:val="22"/>
          <w:szCs w:val="22"/>
        </w:rPr>
        <w:t xml:space="preserve">Segundo Juzgado Especializado en lo Contencioso Administrativo </w:t>
      </w:r>
      <w:r w:rsidR="00943F67" w:rsidRPr="001E05C6">
        <w:rPr>
          <w:rFonts w:cs="Arial"/>
          <w:bCs/>
          <w:snapToGrid w:val="0"/>
          <w:sz w:val="22"/>
          <w:szCs w:val="22"/>
        </w:rPr>
        <w:t xml:space="preserve">con Subespecialidad Tributaria y Aduanera de la Corte Superior de Justicia de Lima </w:t>
      </w:r>
      <w:r w:rsidRPr="001E05C6">
        <w:rPr>
          <w:rFonts w:cs="Arial"/>
          <w:bCs/>
          <w:snapToGrid w:val="0"/>
          <w:sz w:val="22"/>
          <w:szCs w:val="22"/>
        </w:rPr>
        <w:t>declaró infundada la demanda interpuesta por</w:t>
      </w:r>
      <w:r w:rsidR="00351315" w:rsidRPr="001E05C6">
        <w:rPr>
          <w:rFonts w:cs="Arial"/>
          <w:bCs/>
          <w:snapToGrid w:val="0"/>
          <w:sz w:val="22"/>
          <w:szCs w:val="22"/>
        </w:rPr>
        <w:t xml:space="preserve"> la</w:t>
      </w:r>
      <w:r w:rsidRPr="001E05C6">
        <w:rPr>
          <w:rFonts w:cs="Arial"/>
          <w:bCs/>
          <w:snapToGrid w:val="0"/>
          <w:sz w:val="22"/>
          <w:szCs w:val="22"/>
        </w:rPr>
        <w:t xml:space="preserve"> SUNAT, precisando que la reclamante no se encontraba obligada a efectuar las retenciones al impuesto a la renta por los servicios recibidos por las personas jurídicas no domiciliadas.</w:t>
      </w:r>
      <w:r w:rsidRPr="001E05C6">
        <w:rPr>
          <w:rStyle w:val="Refdenotaalpie"/>
          <w:rFonts w:cs="Arial"/>
          <w:bCs/>
          <w:snapToGrid w:val="0"/>
          <w:sz w:val="22"/>
          <w:szCs w:val="22"/>
        </w:rPr>
        <w:footnoteReference w:id="33"/>
      </w:r>
    </w:p>
    <w:p w:rsidR="00C11507" w:rsidRPr="001E05C6" w:rsidRDefault="00C11507" w:rsidP="001E05C6">
      <w:pPr>
        <w:pStyle w:val="Prrafodelista"/>
        <w:spacing w:line="240" w:lineRule="auto"/>
        <w:rPr>
          <w:rFonts w:cs="Arial"/>
          <w:bCs/>
          <w:snapToGrid w:val="0"/>
          <w:sz w:val="22"/>
          <w:szCs w:val="22"/>
        </w:rPr>
      </w:pPr>
    </w:p>
    <w:p w:rsidR="00C11507" w:rsidRPr="001E05C6" w:rsidRDefault="00C11507"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1E05C6">
        <w:rPr>
          <w:rFonts w:cs="Arial"/>
          <w:bCs/>
          <w:snapToGrid w:val="0"/>
          <w:sz w:val="22"/>
          <w:szCs w:val="22"/>
        </w:rPr>
        <w:t xml:space="preserve">La SUNAT interpuso Recurso de Apelación, </w:t>
      </w:r>
      <w:r w:rsidR="00351315" w:rsidRPr="001E05C6">
        <w:rPr>
          <w:rFonts w:cs="Arial"/>
          <w:bCs/>
          <w:snapToGrid w:val="0"/>
          <w:sz w:val="22"/>
          <w:szCs w:val="22"/>
        </w:rPr>
        <w:t>el cual fue declarado fundado</w:t>
      </w:r>
      <w:r w:rsidRPr="001E05C6">
        <w:rPr>
          <w:rFonts w:cs="Arial"/>
          <w:bCs/>
          <w:snapToGrid w:val="0"/>
          <w:sz w:val="22"/>
          <w:szCs w:val="22"/>
        </w:rPr>
        <w:t xml:space="preserve"> por la Sexta Sala Especializada e</w:t>
      </w:r>
      <w:r w:rsidR="00D07FA9" w:rsidRPr="001E05C6">
        <w:rPr>
          <w:rFonts w:cs="Arial"/>
          <w:bCs/>
          <w:snapToGrid w:val="0"/>
          <w:sz w:val="22"/>
          <w:szCs w:val="22"/>
        </w:rPr>
        <w:t>n lo Contencioso Administrativo</w:t>
      </w:r>
      <w:r w:rsidR="00DF5B78" w:rsidRPr="001E05C6">
        <w:rPr>
          <w:rFonts w:cs="Arial"/>
          <w:bCs/>
          <w:snapToGrid w:val="0"/>
          <w:sz w:val="22"/>
          <w:szCs w:val="22"/>
        </w:rPr>
        <w:t xml:space="preserve"> con Subespecialidad en Temas Tributarios y Aduaneros de la Corte Superior de Justicia de Lima</w:t>
      </w:r>
      <w:r w:rsidR="00D07FA9" w:rsidRPr="001E05C6">
        <w:rPr>
          <w:rFonts w:cs="Arial"/>
          <w:bCs/>
          <w:snapToGrid w:val="0"/>
          <w:sz w:val="22"/>
          <w:szCs w:val="22"/>
        </w:rPr>
        <w:t>,</w:t>
      </w:r>
      <w:r w:rsidRPr="001E05C6">
        <w:rPr>
          <w:rFonts w:cs="Arial"/>
          <w:bCs/>
          <w:snapToGrid w:val="0"/>
          <w:sz w:val="22"/>
          <w:szCs w:val="22"/>
        </w:rPr>
        <w:t xml:space="preserve"> revocando la Resolución emitida por la primera instancia, </w:t>
      </w:r>
      <w:r w:rsidR="00D07FA9" w:rsidRPr="001E05C6">
        <w:rPr>
          <w:rFonts w:cs="Arial"/>
          <w:bCs/>
          <w:snapToGrid w:val="0"/>
          <w:sz w:val="22"/>
          <w:szCs w:val="22"/>
        </w:rPr>
        <w:t>y confirmando la validez de las Resoluciones de M</w:t>
      </w:r>
      <w:r w:rsidRPr="001E05C6">
        <w:rPr>
          <w:rFonts w:cs="Arial"/>
          <w:bCs/>
          <w:snapToGrid w:val="0"/>
          <w:sz w:val="22"/>
          <w:szCs w:val="22"/>
        </w:rPr>
        <w:t>ulta emitidas por</w:t>
      </w:r>
      <w:r w:rsidR="00351315" w:rsidRPr="001E05C6">
        <w:rPr>
          <w:rFonts w:cs="Arial"/>
          <w:bCs/>
          <w:snapToGrid w:val="0"/>
          <w:sz w:val="22"/>
          <w:szCs w:val="22"/>
        </w:rPr>
        <w:t xml:space="preserve"> la</w:t>
      </w:r>
      <w:r w:rsidRPr="001E05C6">
        <w:rPr>
          <w:rFonts w:cs="Arial"/>
          <w:bCs/>
          <w:snapToGrid w:val="0"/>
          <w:sz w:val="22"/>
          <w:szCs w:val="22"/>
        </w:rPr>
        <w:t xml:space="preserve"> SUNAT en sede administrativa.</w:t>
      </w:r>
    </w:p>
    <w:p w:rsidR="00C11507" w:rsidRPr="001E05C6" w:rsidRDefault="00C11507" w:rsidP="001E05C6">
      <w:pPr>
        <w:pStyle w:val="Prrafodelista"/>
        <w:spacing w:line="240" w:lineRule="auto"/>
        <w:rPr>
          <w:rFonts w:cs="Arial"/>
          <w:bCs/>
          <w:snapToGrid w:val="0"/>
          <w:sz w:val="22"/>
          <w:szCs w:val="22"/>
        </w:rPr>
      </w:pPr>
    </w:p>
    <w:p w:rsidR="00C11507" w:rsidRPr="001E05C6" w:rsidRDefault="00C11507" w:rsidP="001E05C6">
      <w:pPr>
        <w:pStyle w:val="Prrafodelista"/>
        <w:widowControl/>
        <w:numPr>
          <w:ilvl w:val="0"/>
          <w:numId w:val="2"/>
        </w:numPr>
        <w:adjustRightInd/>
        <w:spacing w:line="240" w:lineRule="auto"/>
        <w:ind w:left="-12" w:hanging="414"/>
        <w:contextualSpacing w:val="0"/>
        <w:textAlignment w:val="auto"/>
        <w:rPr>
          <w:rFonts w:cs="Arial"/>
          <w:bCs/>
          <w:snapToGrid w:val="0"/>
          <w:sz w:val="22"/>
          <w:szCs w:val="22"/>
        </w:rPr>
      </w:pPr>
      <w:r w:rsidRPr="001E05C6">
        <w:rPr>
          <w:rFonts w:cs="Arial"/>
          <w:bCs/>
          <w:snapToGrid w:val="0"/>
          <w:sz w:val="22"/>
          <w:szCs w:val="22"/>
        </w:rPr>
        <w:lastRenderedPageBreak/>
        <w:t>El Tribunal Fiscal y la reclamante interpusieron Recursos de Casación, los cuales fueron declarados infundados mediante la Sentencia Casación No. 474-2016 de fecha 27 de setiembre de 2017.</w:t>
      </w:r>
    </w:p>
    <w:p w:rsidR="00C11507" w:rsidRPr="001E05C6" w:rsidRDefault="00C11507" w:rsidP="001E05C6">
      <w:pPr>
        <w:spacing w:line="240" w:lineRule="auto"/>
        <w:rPr>
          <w:rFonts w:cs="Arial"/>
          <w:bCs/>
          <w:snapToGrid w:val="0"/>
          <w:sz w:val="22"/>
          <w:szCs w:val="22"/>
        </w:rPr>
      </w:pPr>
    </w:p>
    <w:p w:rsidR="00C11507" w:rsidRPr="001E05C6" w:rsidRDefault="00C11507" w:rsidP="001E05C6">
      <w:pPr>
        <w:pStyle w:val="Prrafodelista"/>
        <w:widowControl/>
        <w:numPr>
          <w:ilvl w:val="0"/>
          <w:numId w:val="26"/>
        </w:numPr>
        <w:adjustRightInd/>
        <w:spacing w:line="240" w:lineRule="auto"/>
        <w:ind w:left="1276" w:hanging="567"/>
        <w:contextualSpacing w:val="0"/>
        <w:textAlignment w:val="auto"/>
        <w:rPr>
          <w:rFonts w:cs="Arial"/>
          <w:b/>
          <w:bCs/>
          <w:i/>
          <w:snapToGrid w:val="0"/>
          <w:sz w:val="22"/>
          <w:szCs w:val="22"/>
        </w:rPr>
      </w:pPr>
      <w:r w:rsidRPr="001E05C6">
        <w:rPr>
          <w:rFonts w:cs="Arial"/>
          <w:b/>
          <w:bCs/>
          <w:i/>
          <w:snapToGrid w:val="0"/>
          <w:sz w:val="22"/>
          <w:szCs w:val="22"/>
        </w:rPr>
        <w:t>Cuestión controvertida en sede nacional</w:t>
      </w:r>
      <w:r w:rsidRPr="001E05C6">
        <w:rPr>
          <w:rFonts w:cs="Arial"/>
          <w:b/>
          <w:bCs/>
          <w:snapToGrid w:val="0"/>
          <w:sz w:val="22"/>
          <w:szCs w:val="22"/>
        </w:rPr>
        <w:t>:</w:t>
      </w:r>
    </w:p>
    <w:p w:rsidR="00C11507" w:rsidRPr="001E05C6" w:rsidRDefault="00C11507" w:rsidP="001E05C6">
      <w:pPr>
        <w:pStyle w:val="Prrafodelista"/>
        <w:widowControl/>
        <w:adjustRightInd/>
        <w:spacing w:line="240" w:lineRule="auto"/>
        <w:ind w:left="993"/>
        <w:contextualSpacing w:val="0"/>
        <w:textAlignment w:val="auto"/>
        <w:rPr>
          <w:rFonts w:cs="Arial"/>
          <w:b/>
          <w:bCs/>
          <w:i/>
          <w:snapToGrid w:val="0"/>
          <w:sz w:val="22"/>
          <w:szCs w:val="22"/>
        </w:rPr>
      </w:pPr>
    </w:p>
    <w:p w:rsidR="00C11507" w:rsidRPr="001E05C6" w:rsidRDefault="00AF56DB"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Según</w:t>
      </w:r>
      <w:r w:rsidR="00C11507" w:rsidRPr="001E05C6">
        <w:rPr>
          <w:rFonts w:cs="Arial"/>
          <w:sz w:val="22"/>
          <w:szCs w:val="22"/>
        </w:rPr>
        <w:t xml:space="preserve"> lo señalado por la reclamante, “</w:t>
      </w:r>
      <w:r w:rsidR="00BF2E51" w:rsidRPr="001E05C6">
        <w:rPr>
          <w:rFonts w:cs="Arial"/>
          <w:sz w:val="22"/>
          <w:szCs w:val="22"/>
        </w:rPr>
        <w:t xml:space="preserve">(…) </w:t>
      </w:r>
      <w:r w:rsidR="00C11507" w:rsidRPr="001E05C6">
        <w:rPr>
          <w:rFonts w:cs="Arial"/>
          <w:i/>
          <w:sz w:val="22"/>
          <w:szCs w:val="22"/>
        </w:rPr>
        <w:t xml:space="preserve">la resolución de la controversia pasa por decidir si la capacidad satelital debe ser considerada un servicio prestado fuera del Perú, al tratarse –valga la redundancia- de una prestación de servicios en un espacio distinto al territorio nacional (el espacio exterior ubicado a 36,000 km de distancia de la tierra) y; por tanto, no </w:t>
      </w:r>
      <w:r w:rsidR="00351315" w:rsidRPr="001E05C6">
        <w:rPr>
          <w:rFonts w:cs="Arial"/>
          <w:i/>
          <w:sz w:val="22"/>
          <w:szCs w:val="22"/>
        </w:rPr>
        <w:t>afecto</w:t>
      </w:r>
      <w:r w:rsidR="00C11507" w:rsidRPr="001E05C6">
        <w:rPr>
          <w:rFonts w:cs="Arial"/>
          <w:i/>
          <w:sz w:val="22"/>
          <w:szCs w:val="22"/>
        </w:rPr>
        <w:t xml:space="preserve"> al Impuesto a la Renta; o si, por el contrario, serían una cesión en uso de bienes intangibles utilizados en el país y; en consecuencia correspondería la aplicación del inciso b.- del artículo 9° del TUO de la ley del Impuesto a la Renta</w:t>
      </w:r>
      <w:r w:rsidR="00C11507" w:rsidRPr="001E05C6">
        <w:rPr>
          <w:rFonts w:cs="Arial"/>
          <w:sz w:val="22"/>
          <w:szCs w:val="22"/>
        </w:rPr>
        <w:t>.”</w:t>
      </w:r>
      <w:r w:rsidR="00C11507" w:rsidRPr="001E05C6">
        <w:rPr>
          <w:rStyle w:val="Refdenotaalpie"/>
          <w:rFonts w:cs="Arial"/>
          <w:sz w:val="22"/>
          <w:szCs w:val="22"/>
        </w:rPr>
        <w:footnoteReference w:id="34"/>
      </w:r>
      <w:r w:rsidR="00BF2E51" w:rsidRPr="001E05C6">
        <w:rPr>
          <w:rFonts w:cs="Arial"/>
          <w:sz w:val="22"/>
          <w:szCs w:val="22"/>
        </w:rPr>
        <w:t xml:space="preserve"> (El énfasis del texto original ha sido omitido)</w:t>
      </w:r>
    </w:p>
    <w:p w:rsidR="00305717" w:rsidRPr="001E05C6" w:rsidRDefault="00305717" w:rsidP="001E05C6">
      <w:pPr>
        <w:widowControl/>
        <w:adjustRightInd/>
        <w:spacing w:line="240" w:lineRule="auto"/>
        <w:textAlignment w:val="auto"/>
        <w:rPr>
          <w:rFonts w:cs="Arial"/>
          <w:i/>
          <w:sz w:val="22"/>
          <w:szCs w:val="22"/>
        </w:rPr>
      </w:pPr>
    </w:p>
    <w:p w:rsidR="00C11507" w:rsidRPr="001E05C6" w:rsidRDefault="00C11507" w:rsidP="001E05C6">
      <w:pPr>
        <w:pStyle w:val="Prrafodelista"/>
        <w:widowControl/>
        <w:numPr>
          <w:ilvl w:val="0"/>
          <w:numId w:val="2"/>
        </w:numPr>
        <w:adjustRightInd/>
        <w:spacing w:line="240" w:lineRule="auto"/>
        <w:ind w:left="-12" w:hanging="414"/>
        <w:contextualSpacing w:val="0"/>
        <w:textAlignment w:val="auto"/>
        <w:rPr>
          <w:rFonts w:cs="Arial"/>
          <w:i/>
          <w:sz w:val="22"/>
          <w:szCs w:val="22"/>
        </w:rPr>
      </w:pPr>
      <w:r w:rsidRPr="001E05C6">
        <w:rPr>
          <w:rFonts w:cs="Arial"/>
          <w:sz w:val="22"/>
          <w:szCs w:val="22"/>
        </w:rPr>
        <w:t>Por su parte, la reclamada indica que el proceso en sede nacional “</w:t>
      </w:r>
      <w:r w:rsidR="00583022" w:rsidRPr="001E05C6">
        <w:rPr>
          <w:rFonts w:cs="Arial"/>
          <w:sz w:val="22"/>
          <w:szCs w:val="22"/>
        </w:rPr>
        <w:t xml:space="preserve">(…) </w:t>
      </w:r>
      <w:r w:rsidRPr="001E05C6">
        <w:rPr>
          <w:rFonts w:cs="Arial"/>
          <w:i/>
          <w:sz w:val="22"/>
          <w:szCs w:val="22"/>
        </w:rPr>
        <w:t>tiene como materia controvertida determinar si Telefónica debió o no retener el impuesto a la renta de las transacciones realizadas con las empresas (…).</w:t>
      </w:r>
      <w:r w:rsidRPr="001E05C6">
        <w:rPr>
          <w:rFonts w:cs="Arial"/>
          <w:sz w:val="22"/>
          <w:szCs w:val="22"/>
        </w:rPr>
        <w:t>”</w:t>
      </w:r>
      <w:r w:rsidR="00583022" w:rsidRPr="001E05C6">
        <w:rPr>
          <w:rStyle w:val="Refdenotaalpie"/>
          <w:rFonts w:cs="Arial"/>
          <w:i/>
          <w:sz w:val="22"/>
          <w:szCs w:val="22"/>
        </w:rPr>
        <w:footnoteReference w:id="35"/>
      </w:r>
      <w:r w:rsidRPr="001E05C6">
        <w:rPr>
          <w:rFonts w:cs="Arial"/>
          <w:sz w:val="22"/>
          <w:szCs w:val="22"/>
        </w:rPr>
        <w:t xml:space="preserve"> Asimismo, precisa que la norma pertinente para resolver la materia controvertida es “</w:t>
      </w:r>
      <w:r w:rsidR="007C67DC" w:rsidRPr="001E05C6">
        <w:rPr>
          <w:rFonts w:cs="Arial"/>
          <w:sz w:val="22"/>
          <w:szCs w:val="22"/>
        </w:rPr>
        <w:t xml:space="preserve">(…) </w:t>
      </w:r>
      <w:r w:rsidRPr="001E05C6">
        <w:rPr>
          <w:rFonts w:cs="Arial"/>
          <w:i/>
          <w:sz w:val="22"/>
          <w:szCs w:val="22"/>
        </w:rPr>
        <w:t>de carácter nacional y tributario; a saber, el artículo 177 del Código Tributario y el artículo 9 del Texto Único Ordenado de la Ley del Impuesto a la Renta</w:t>
      </w:r>
      <w:r w:rsidR="007C67DC" w:rsidRPr="001E05C6">
        <w:rPr>
          <w:rFonts w:cs="Arial"/>
          <w:i/>
          <w:sz w:val="22"/>
          <w:szCs w:val="22"/>
        </w:rPr>
        <w:t xml:space="preserve"> </w:t>
      </w:r>
      <w:r w:rsidR="007C67DC" w:rsidRPr="001E05C6">
        <w:rPr>
          <w:rFonts w:cs="Arial"/>
          <w:sz w:val="22"/>
          <w:szCs w:val="22"/>
        </w:rPr>
        <w:t>(…)</w:t>
      </w:r>
      <w:r w:rsidR="00A116A3" w:rsidRPr="001E05C6">
        <w:rPr>
          <w:rFonts w:cs="Arial"/>
          <w:sz w:val="22"/>
          <w:szCs w:val="22"/>
        </w:rPr>
        <w:t>.</w:t>
      </w:r>
      <w:r w:rsidRPr="001E05C6">
        <w:rPr>
          <w:rFonts w:cs="Arial"/>
          <w:i/>
          <w:sz w:val="22"/>
          <w:szCs w:val="22"/>
        </w:rPr>
        <w:t>”</w:t>
      </w:r>
      <w:r w:rsidRPr="001E05C6">
        <w:rPr>
          <w:rStyle w:val="Refdenotaalpie"/>
          <w:rFonts w:cs="Arial"/>
          <w:i/>
          <w:sz w:val="22"/>
          <w:szCs w:val="22"/>
        </w:rPr>
        <w:footnoteReference w:id="36"/>
      </w:r>
    </w:p>
    <w:p w:rsidR="002C4F7A" w:rsidRPr="001E05C6" w:rsidRDefault="002C4F7A" w:rsidP="001E05C6">
      <w:pPr>
        <w:pStyle w:val="Prrafodelista"/>
        <w:spacing w:line="240" w:lineRule="auto"/>
        <w:rPr>
          <w:rFonts w:cs="Arial"/>
          <w:i/>
          <w:sz w:val="22"/>
          <w:szCs w:val="22"/>
        </w:rPr>
      </w:pPr>
    </w:p>
    <w:p w:rsidR="002C4F7A" w:rsidRPr="001E05C6" w:rsidRDefault="002C4F7A" w:rsidP="001E05C6">
      <w:pPr>
        <w:pStyle w:val="Prrafodelista"/>
        <w:widowControl/>
        <w:numPr>
          <w:ilvl w:val="0"/>
          <w:numId w:val="2"/>
        </w:numPr>
        <w:adjustRightInd/>
        <w:spacing w:line="240" w:lineRule="auto"/>
        <w:ind w:left="-12" w:hanging="414"/>
        <w:contextualSpacing w:val="0"/>
        <w:textAlignment w:val="auto"/>
        <w:rPr>
          <w:rFonts w:cs="Arial"/>
          <w:i/>
          <w:sz w:val="22"/>
          <w:szCs w:val="22"/>
        </w:rPr>
      </w:pPr>
      <w:r w:rsidRPr="001E05C6">
        <w:rPr>
          <w:rFonts w:cs="Arial"/>
          <w:sz w:val="22"/>
          <w:szCs w:val="22"/>
        </w:rPr>
        <w:t>Asimismo, de acuerdo con lo señalado en la Sentencia Casación No. 474-2016</w:t>
      </w:r>
      <w:r w:rsidR="00736650" w:rsidRPr="001E05C6">
        <w:rPr>
          <w:rFonts w:cs="Arial"/>
          <w:sz w:val="22"/>
          <w:szCs w:val="22"/>
        </w:rPr>
        <w:t xml:space="preserve"> de la </w:t>
      </w:r>
      <w:r w:rsidR="00233EC3" w:rsidRPr="001E05C6">
        <w:rPr>
          <w:rFonts w:cs="Arial"/>
          <w:sz w:val="22"/>
          <w:szCs w:val="22"/>
        </w:rPr>
        <w:t>Corte Suprema</w:t>
      </w:r>
      <w:r w:rsidRPr="001E05C6">
        <w:rPr>
          <w:rFonts w:cs="Arial"/>
          <w:sz w:val="22"/>
          <w:szCs w:val="22"/>
        </w:rPr>
        <w:t xml:space="preserve">, la cuestión controvertida en sede nacional </w:t>
      </w:r>
      <w:r w:rsidR="00AF56DB" w:rsidRPr="001E05C6">
        <w:rPr>
          <w:rFonts w:cs="Arial"/>
          <w:sz w:val="22"/>
          <w:szCs w:val="22"/>
        </w:rPr>
        <w:t>consistió en lo siguiente</w:t>
      </w:r>
      <w:r w:rsidRPr="001E05C6">
        <w:rPr>
          <w:rFonts w:cs="Arial"/>
          <w:sz w:val="22"/>
          <w:szCs w:val="22"/>
        </w:rPr>
        <w:t>:</w:t>
      </w:r>
    </w:p>
    <w:p w:rsidR="002C4F7A" w:rsidRPr="001E05C6" w:rsidRDefault="002C4F7A" w:rsidP="001E05C6">
      <w:pPr>
        <w:pStyle w:val="Prrafodelista"/>
        <w:spacing w:line="240" w:lineRule="auto"/>
        <w:rPr>
          <w:rFonts w:cs="Arial"/>
          <w:i/>
          <w:sz w:val="22"/>
          <w:szCs w:val="22"/>
        </w:rPr>
      </w:pPr>
    </w:p>
    <w:p w:rsidR="002C4F7A" w:rsidRPr="001E05C6" w:rsidRDefault="002C4F7A" w:rsidP="001E05C6">
      <w:pPr>
        <w:pStyle w:val="Prrafodelista"/>
        <w:widowControl/>
        <w:adjustRightInd/>
        <w:spacing w:line="240" w:lineRule="auto"/>
        <w:ind w:left="1134"/>
        <w:contextualSpacing w:val="0"/>
        <w:textAlignment w:val="auto"/>
        <w:rPr>
          <w:rFonts w:cs="Arial"/>
          <w:i/>
          <w:sz w:val="22"/>
          <w:szCs w:val="22"/>
        </w:rPr>
      </w:pPr>
      <w:r w:rsidRPr="001E05C6">
        <w:rPr>
          <w:rFonts w:cs="Arial"/>
          <w:i/>
          <w:sz w:val="22"/>
          <w:szCs w:val="22"/>
        </w:rPr>
        <w:t>“TERCERO: Cuestión en debate</w:t>
      </w:r>
    </w:p>
    <w:p w:rsidR="002C4F7A" w:rsidRPr="001E05C6" w:rsidRDefault="002C4F7A" w:rsidP="001E05C6">
      <w:pPr>
        <w:pStyle w:val="Prrafodelista"/>
        <w:widowControl/>
        <w:adjustRightInd/>
        <w:spacing w:line="240" w:lineRule="auto"/>
        <w:ind w:left="1134"/>
        <w:contextualSpacing w:val="0"/>
        <w:textAlignment w:val="auto"/>
        <w:rPr>
          <w:rFonts w:cs="Arial"/>
          <w:i/>
          <w:sz w:val="22"/>
          <w:szCs w:val="22"/>
        </w:rPr>
      </w:pPr>
      <w:r w:rsidRPr="001E05C6">
        <w:rPr>
          <w:rFonts w:cs="Arial"/>
          <w:i/>
          <w:sz w:val="22"/>
          <w:szCs w:val="22"/>
        </w:rPr>
        <w:t>La cuestión controvertida consiste en determinar si corresponde que Telefónica del Perú Sociedad Anónima Abierta efectúe la retención del Impuesto a la Renta por concepto de renta gravada de fuente peruana respecto de las personas jurídicas no domiciliadas con las cuales celebró contratos referidos a la provisión de servicios satelitales, ello en aplicación de lo previsto en el inciso b) del artículo 9 del Texto Único Ordenado de la Ley del Impuesto a la Renta, aprobado por Decreto Supremo N° 054-99-EF.”</w:t>
      </w:r>
      <w:r w:rsidRPr="001E05C6">
        <w:rPr>
          <w:rStyle w:val="Refdenotaalpie"/>
          <w:rFonts w:cs="Arial"/>
          <w:i/>
          <w:sz w:val="22"/>
          <w:szCs w:val="22"/>
        </w:rPr>
        <w:footnoteReference w:id="37"/>
      </w:r>
    </w:p>
    <w:p w:rsidR="002C4F7A" w:rsidRPr="001E05C6" w:rsidRDefault="002C4F7A" w:rsidP="001E05C6">
      <w:pPr>
        <w:pStyle w:val="Prrafodelista"/>
        <w:widowControl/>
        <w:adjustRightInd/>
        <w:spacing w:line="240" w:lineRule="auto"/>
        <w:ind w:left="1134"/>
        <w:contextualSpacing w:val="0"/>
        <w:textAlignment w:val="auto"/>
        <w:rPr>
          <w:rFonts w:cs="Arial"/>
          <w:i/>
          <w:sz w:val="22"/>
          <w:szCs w:val="22"/>
        </w:rPr>
      </w:pPr>
    </w:p>
    <w:p w:rsidR="00736650" w:rsidRPr="001E05C6" w:rsidRDefault="002C4F7A" w:rsidP="001E05C6">
      <w:pPr>
        <w:pStyle w:val="Prrafodelista"/>
        <w:widowControl/>
        <w:numPr>
          <w:ilvl w:val="0"/>
          <w:numId w:val="2"/>
        </w:numPr>
        <w:adjustRightInd/>
        <w:spacing w:line="240" w:lineRule="auto"/>
        <w:ind w:left="-12" w:hanging="414"/>
        <w:contextualSpacing w:val="0"/>
        <w:textAlignment w:val="auto"/>
        <w:rPr>
          <w:rFonts w:cs="Arial"/>
          <w:i/>
          <w:sz w:val="22"/>
          <w:szCs w:val="22"/>
        </w:rPr>
      </w:pPr>
      <w:r w:rsidRPr="001E05C6">
        <w:rPr>
          <w:rFonts w:cs="Arial"/>
          <w:sz w:val="22"/>
          <w:szCs w:val="22"/>
        </w:rPr>
        <w:t>Cabe indicar que</w:t>
      </w:r>
      <w:r w:rsidR="00736650" w:rsidRPr="001E05C6">
        <w:rPr>
          <w:rFonts w:cs="Arial"/>
          <w:sz w:val="22"/>
          <w:szCs w:val="22"/>
        </w:rPr>
        <w:t xml:space="preserve"> la </w:t>
      </w:r>
      <w:r w:rsidR="00233EC3" w:rsidRPr="001E05C6">
        <w:rPr>
          <w:rFonts w:cs="Arial"/>
          <w:sz w:val="22"/>
          <w:szCs w:val="22"/>
        </w:rPr>
        <w:t>Corte Suprema</w:t>
      </w:r>
      <w:r w:rsidR="00736650" w:rsidRPr="001E05C6">
        <w:rPr>
          <w:rFonts w:cs="Arial"/>
          <w:sz w:val="22"/>
          <w:szCs w:val="22"/>
        </w:rPr>
        <w:t xml:space="preserve"> resolvió</w:t>
      </w:r>
      <w:r w:rsidR="00AF56DB" w:rsidRPr="001E05C6">
        <w:rPr>
          <w:rStyle w:val="Refdenotaalpie"/>
          <w:rFonts w:cs="Arial"/>
          <w:sz w:val="22"/>
          <w:szCs w:val="22"/>
        </w:rPr>
        <w:footnoteReference w:id="38"/>
      </w:r>
      <w:r w:rsidR="00736650" w:rsidRPr="001E05C6">
        <w:rPr>
          <w:rFonts w:cs="Arial"/>
          <w:sz w:val="22"/>
          <w:szCs w:val="22"/>
        </w:rPr>
        <w:t xml:space="preserve"> la cuesti</w:t>
      </w:r>
      <w:r w:rsidR="00233EC3" w:rsidRPr="001E05C6">
        <w:rPr>
          <w:rFonts w:cs="Arial"/>
          <w:sz w:val="22"/>
          <w:szCs w:val="22"/>
        </w:rPr>
        <w:t xml:space="preserve">ón controvertida, motivando su decisión, </w:t>
      </w:r>
      <w:r w:rsidR="00DA5D12" w:rsidRPr="001E05C6">
        <w:rPr>
          <w:rFonts w:cs="Arial"/>
          <w:sz w:val="22"/>
          <w:szCs w:val="22"/>
        </w:rPr>
        <w:t xml:space="preserve">en los siguientes </w:t>
      </w:r>
      <w:r w:rsidR="00C512FC" w:rsidRPr="001E05C6">
        <w:rPr>
          <w:rFonts w:cs="Arial"/>
          <w:sz w:val="22"/>
          <w:szCs w:val="22"/>
        </w:rPr>
        <w:t>aspectos de fondo</w:t>
      </w:r>
      <w:r w:rsidR="00253649" w:rsidRPr="001E05C6">
        <w:rPr>
          <w:rFonts w:cs="Arial"/>
          <w:sz w:val="22"/>
          <w:szCs w:val="22"/>
        </w:rPr>
        <w:t>:</w:t>
      </w:r>
      <w:r w:rsidR="00DA5D12" w:rsidRPr="001E05C6">
        <w:rPr>
          <w:rStyle w:val="Refdenotaalpie"/>
          <w:rFonts w:cs="Arial"/>
          <w:sz w:val="22"/>
          <w:szCs w:val="22"/>
        </w:rPr>
        <w:footnoteReference w:id="39"/>
      </w:r>
    </w:p>
    <w:p w:rsidR="002C4F7A" w:rsidRPr="001E05C6" w:rsidRDefault="002C4F7A" w:rsidP="001E05C6">
      <w:pPr>
        <w:pStyle w:val="Prrafodelista"/>
        <w:widowControl/>
        <w:adjustRightInd/>
        <w:spacing w:line="240" w:lineRule="auto"/>
        <w:ind w:left="-12"/>
        <w:contextualSpacing w:val="0"/>
        <w:textAlignment w:val="auto"/>
        <w:rPr>
          <w:rFonts w:cs="Arial"/>
          <w:sz w:val="22"/>
          <w:szCs w:val="22"/>
        </w:rPr>
      </w:pPr>
    </w:p>
    <w:p w:rsidR="002C4F7A" w:rsidRPr="001E05C6" w:rsidRDefault="004461BD" w:rsidP="001E05C6">
      <w:pPr>
        <w:pStyle w:val="Prrafodelista"/>
        <w:widowControl/>
        <w:numPr>
          <w:ilvl w:val="0"/>
          <w:numId w:val="44"/>
        </w:numPr>
        <w:adjustRightInd/>
        <w:spacing w:line="240" w:lineRule="auto"/>
        <w:ind w:left="1134" w:hanging="567"/>
        <w:contextualSpacing w:val="0"/>
        <w:textAlignment w:val="auto"/>
        <w:rPr>
          <w:rFonts w:cs="Arial"/>
          <w:i/>
          <w:sz w:val="22"/>
          <w:szCs w:val="22"/>
        </w:rPr>
      </w:pPr>
      <w:r w:rsidRPr="001E05C6">
        <w:rPr>
          <w:rFonts w:cs="Arial"/>
          <w:i/>
          <w:sz w:val="22"/>
          <w:szCs w:val="22"/>
        </w:rPr>
        <w:t>“</w:t>
      </w:r>
      <w:r w:rsidR="00D57C6F" w:rsidRPr="001E05C6">
        <w:rPr>
          <w:rFonts w:cs="Arial"/>
          <w:i/>
          <w:sz w:val="22"/>
          <w:szCs w:val="22"/>
        </w:rPr>
        <w:t xml:space="preserve">10.5. </w:t>
      </w:r>
      <w:r w:rsidRPr="001E05C6">
        <w:rPr>
          <w:rFonts w:cs="Arial"/>
          <w:i/>
          <w:sz w:val="22"/>
          <w:szCs w:val="22"/>
        </w:rPr>
        <w:t>(…)</w:t>
      </w:r>
      <w:r w:rsidR="002C4F7A" w:rsidRPr="001E05C6">
        <w:rPr>
          <w:rFonts w:cs="Arial"/>
          <w:i/>
          <w:sz w:val="22"/>
          <w:szCs w:val="22"/>
        </w:rPr>
        <w:t xml:space="preserve"> se advierte que las empresas SATMEX</w:t>
      </w:r>
      <w:r w:rsidR="00D57C6F" w:rsidRPr="001E05C6">
        <w:rPr>
          <w:rFonts w:cs="Arial"/>
          <w:i/>
          <w:sz w:val="22"/>
          <w:szCs w:val="22"/>
        </w:rPr>
        <w:t xml:space="preserve">, </w:t>
      </w:r>
      <w:proofErr w:type="spellStart"/>
      <w:r w:rsidR="00D57C6F" w:rsidRPr="001E05C6">
        <w:rPr>
          <w:rFonts w:cs="Arial"/>
          <w:i/>
          <w:sz w:val="22"/>
          <w:szCs w:val="22"/>
        </w:rPr>
        <w:t>PanAmSat</w:t>
      </w:r>
      <w:proofErr w:type="spellEnd"/>
      <w:r w:rsidR="00D57C6F" w:rsidRPr="001E05C6">
        <w:rPr>
          <w:rFonts w:cs="Arial"/>
          <w:i/>
          <w:sz w:val="22"/>
          <w:szCs w:val="22"/>
        </w:rPr>
        <w:t xml:space="preserve"> e </w:t>
      </w:r>
      <w:proofErr w:type="spellStart"/>
      <w:r w:rsidR="00D57C6F" w:rsidRPr="001E05C6">
        <w:rPr>
          <w:rFonts w:cs="Arial"/>
          <w:i/>
          <w:sz w:val="22"/>
          <w:szCs w:val="22"/>
        </w:rPr>
        <w:t>Intelsat</w:t>
      </w:r>
      <w:proofErr w:type="spellEnd"/>
      <w:r w:rsidR="00D57C6F" w:rsidRPr="001E05C6">
        <w:rPr>
          <w:rFonts w:cs="Arial"/>
          <w:i/>
          <w:sz w:val="22"/>
          <w:szCs w:val="22"/>
        </w:rPr>
        <w:t xml:space="preserve"> </w:t>
      </w:r>
      <w:r w:rsidR="00D57C6F" w:rsidRPr="001E05C6">
        <w:rPr>
          <w:rFonts w:cs="Arial"/>
          <w:b/>
          <w:i/>
          <w:sz w:val="22"/>
          <w:szCs w:val="22"/>
          <w:u w:val="single"/>
        </w:rPr>
        <w:t>prestan el servicio</w:t>
      </w:r>
      <w:r w:rsidR="00D57C6F" w:rsidRPr="001E05C6">
        <w:rPr>
          <w:rFonts w:cs="Arial"/>
          <w:i/>
          <w:sz w:val="22"/>
          <w:szCs w:val="22"/>
        </w:rPr>
        <w:t xml:space="preserve"> de segmento espacial a Telefónica del Perú, para tal efecto emiten las frecuencias de acceso a sus respectivos satélites, así como sus parámetros de operación respectivos, a fin de que la empresa recurrente pueda </w:t>
      </w:r>
      <w:proofErr w:type="spellStart"/>
      <w:r w:rsidR="00D57C6F" w:rsidRPr="001E05C6">
        <w:rPr>
          <w:rFonts w:cs="Arial"/>
          <w:i/>
          <w:sz w:val="22"/>
          <w:szCs w:val="22"/>
        </w:rPr>
        <w:t>recepcionarlas</w:t>
      </w:r>
      <w:proofErr w:type="spellEnd"/>
      <w:r w:rsidR="00D57C6F" w:rsidRPr="001E05C6">
        <w:rPr>
          <w:rFonts w:cs="Arial"/>
          <w:i/>
          <w:sz w:val="22"/>
          <w:szCs w:val="22"/>
        </w:rPr>
        <w:t xml:space="preserve"> a través de su </w:t>
      </w:r>
      <w:r w:rsidR="00D57C6F" w:rsidRPr="001E05C6">
        <w:rPr>
          <w:rFonts w:cs="Arial"/>
          <w:b/>
          <w:i/>
          <w:sz w:val="22"/>
          <w:szCs w:val="22"/>
          <w:u w:val="single"/>
        </w:rPr>
        <w:t>estación terrena</w:t>
      </w:r>
      <w:r w:rsidR="00D57C6F" w:rsidRPr="001E05C6">
        <w:rPr>
          <w:rFonts w:cs="Arial"/>
          <w:i/>
          <w:sz w:val="22"/>
          <w:szCs w:val="22"/>
        </w:rPr>
        <w:t xml:space="preserve">, utilizando para ello el </w:t>
      </w:r>
      <w:r w:rsidR="00D57C6F" w:rsidRPr="001E05C6">
        <w:rPr>
          <w:rFonts w:cs="Arial"/>
          <w:b/>
          <w:i/>
          <w:sz w:val="22"/>
          <w:szCs w:val="22"/>
          <w:u w:val="single"/>
        </w:rPr>
        <w:t>espectro radioeléctrico</w:t>
      </w:r>
      <w:r w:rsidR="00D57C6F" w:rsidRPr="001E05C6">
        <w:rPr>
          <w:rFonts w:cs="Arial"/>
          <w:i/>
          <w:sz w:val="22"/>
          <w:szCs w:val="22"/>
        </w:rPr>
        <w:t xml:space="preserve"> del país, esto es las frecuencias de ondas de radio electromagnéticas, </w:t>
      </w:r>
      <w:r w:rsidR="00D57C6F" w:rsidRPr="001E05C6">
        <w:rPr>
          <w:rFonts w:cs="Arial"/>
          <w:b/>
          <w:i/>
          <w:sz w:val="22"/>
          <w:szCs w:val="22"/>
          <w:u w:val="single"/>
        </w:rPr>
        <w:t>sin las cuales</w:t>
      </w:r>
      <w:r w:rsidR="00D57C6F" w:rsidRPr="001E05C6">
        <w:rPr>
          <w:rFonts w:cs="Arial"/>
          <w:i/>
          <w:sz w:val="22"/>
          <w:szCs w:val="22"/>
        </w:rPr>
        <w:t xml:space="preserve"> no sería posible la transmisión de la información y por ende SATMEX, </w:t>
      </w:r>
      <w:proofErr w:type="spellStart"/>
      <w:r w:rsidR="00D57C6F" w:rsidRPr="001E05C6">
        <w:rPr>
          <w:rFonts w:cs="Arial"/>
          <w:i/>
          <w:sz w:val="22"/>
          <w:szCs w:val="22"/>
        </w:rPr>
        <w:t>PanAmSat</w:t>
      </w:r>
      <w:proofErr w:type="spellEnd"/>
      <w:r w:rsidR="00D57C6F" w:rsidRPr="001E05C6">
        <w:rPr>
          <w:rFonts w:cs="Arial"/>
          <w:i/>
          <w:sz w:val="22"/>
          <w:szCs w:val="22"/>
        </w:rPr>
        <w:t xml:space="preserve"> e </w:t>
      </w:r>
      <w:proofErr w:type="spellStart"/>
      <w:r w:rsidR="00D57C6F" w:rsidRPr="001E05C6">
        <w:rPr>
          <w:rFonts w:cs="Arial"/>
          <w:i/>
          <w:sz w:val="22"/>
          <w:szCs w:val="22"/>
        </w:rPr>
        <w:t>Intelsat</w:t>
      </w:r>
      <w:proofErr w:type="spellEnd"/>
      <w:r w:rsidR="00D57C6F" w:rsidRPr="001E05C6">
        <w:rPr>
          <w:rFonts w:cs="Arial"/>
          <w:i/>
          <w:sz w:val="22"/>
          <w:szCs w:val="22"/>
        </w:rPr>
        <w:t xml:space="preserve"> </w:t>
      </w:r>
      <w:r w:rsidR="00D57C6F" w:rsidRPr="001E05C6">
        <w:rPr>
          <w:rFonts w:cs="Arial"/>
          <w:b/>
          <w:i/>
          <w:sz w:val="22"/>
          <w:szCs w:val="22"/>
          <w:u w:val="single"/>
        </w:rPr>
        <w:t>no podrían brindar</w:t>
      </w:r>
      <w:r w:rsidR="00D57C6F" w:rsidRPr="001E05C6">
        <w:rPr>
          <w:rFonts w:cs="Arial"/>
          <w:i/>
          <w:sz w:val="22"/>
          <w:szCs w:val="22"/>
        </w:rPr>
        <w:t xml:space="preserve"> el </w:t>
      </w:r>
      <w:r w:rsidR="00D57C6F" w:rsidRPr="001E05C6">
        <w:rPr>
          <w:rFonts w:cs="Arial"/>
          <w:b/>
          <w:i/>
          <w:sz w:val="22"/>
          <w:szCs w:val="22"/>
          <w:u w:val="single"/>
        </w:rPr>
        <w:t>servicio</w:t>
      </w:r>
      <w:r w:rsidR="00D57C6F" w:rsidRPr="001E05C6">
        <w:rPr>
          <w:rFonts w:cs="Arial"/>
          <w:i/>
          <w:sz w:val="22"/>
          <w:szCs w:val="22"/>
        </w:rPr>
        <w:t xml:space="preserve"> de segmento espacial a Telefónica del Perú.”</w:t>
      </w:r>
      <w:r w:rsidRPr="001E05C6">
        <w:rPr>
          <w:rFonts w:cs="Arial"/>
          <w:i/>
          <w:sz w:val="22"/>
          <w:szCs w:val="22"/>
        </w:rPr>
        <w:t xml:space="preserve"> </w:t>
      </w:r>
      <w:r w:rsidRPr="001E05C6">
        <w:rPr>
          <w:rFonts w:cs="Arial"/>
          <w:sz w:val="22"/>
          <w:szCs w:val="22"/>
        </w:rPr>
        <w:t>(Énfasis agregado)</w:t>
      </w:r>
    </w:p>
    <w:p w:rsidR="00D57C6F" w:rsidRPr="001E05C6" w:rsidRDefault="00D57C6F" w:rsidP="001E05C6">
      <w:pPr>
        <w:pStyle w:val="Prrafodelista"/>
        <w:widowControl/>
        <w:adjustRightInd/>
        <w:spacing w:line="240" w:lineRule="auto"/>
        <w:ind w:left="1134" w:hanging="567"/>
        <w:contextualSpacing w:val="0"/>
        <w:textAlignment w:val="auto"/>
        <w:rPr>
          <w:rFonts w:cs="Arial"/>
          <w:i/>
          <w:sz w:val="22"/>
          <w:szCs w:val="22"/>
        </w:rPr>
      </w:pPr>
    </w:p>
    <w:p w:rsidR="00D046F5" w:rsidRPr="001E05C6" w:rsidRDefault="004461BD" w:rsidP="001E05C6">
      <w:pPr>
        <w:pStyle w:val="Prrafodelista"/>
        <w:widowControl/>
        <w:numPr>
          <w:ilvl w:val="0"/>
          <w:numId w:val="44"/>
        </w:numPr>
        <w:adjustRightInd/>
        <w:spacing w:line="240" w:lineRule="auto"/>
        <w:ind w:left="1134" w:hanging="567"/>
        <w:contextualSpacing w:val="0"/>
        <w:textAlignment w:val="auto"/>
        <w:rPr>
          <w:rFonts w:cs="Arial"/>
          <w:i/>
          <w:sz w:val="22"/>
          <w:szCs w:val="22"/>
        </w:rPr>
      </w:pPr>
      <w:r w:rsidRPr="001E05C6">
        <w:rPr>
          <w:rFonts w:cs="Arial"/>
          <w:i/>
          <w:sz w:val="22"/>
          <w:szCs w:val="22"/>
        </w:rPr>
        <w:lastRenderedPageBreak/>
        <w:t xml:space="preserve">“10.7. </w:t>
      </w:r>
      <w:r w:rsidR="00D57C6F" w:rsidRPr="001E05C6">
        <w:rPr>
          <w:rFonts w:cs="Arial"/>
          <w:i/>
          <w:sz w:val="22"/>
          <w:szCs w:val="22"/>
        </w:rPr>
        <w:t xml:space="preserve">(…), de los informes presentados durante el procedimiento administrativo, así como de la revisión de los contratos suscritos, se colige que </w:t>
      </w:r>
      <w:r w:rsidR="00D57C6F" w:rsidRPr="001E05C6">
        <w:rPr>
          <w:rFonts w:cs="Arial"/>
          <w:b/>
          <w:i/>
          <w:sz w:val="22"/>
          <w:szCs w:val="22"/>
          <w:u w:val="single"/>
        </w:rPr>
        <w:t>para llevarse a cabo la operación de segmento espacial se utiliza el espectro radioeléctrico</w:t>
      </w:r>
      <w:r w:rsidR="00D57C6F" w:rsidRPr="001E05C6">
        <w:rPr>
          <w:rFonts w:cs="Arial"/>
          <w:i/>
          <w:sz w:val="22"/>
          <w:szCs w:val="22"/>
        </w:rPr>
        <w:t xml:space="preserve"> del país, así </w:t>
      </w:r>
      <w:r w:rsidR="00D57C6F" w:rsidRPr="001E05C6">
        <w:rPr>
          <w:rFonts w:cs="Arial"/>
          <w:b/>
          <w:i/>
          <w:sz w:val="22"/>
          <w:szCs w:val="22"/>
          <w:u w:val="single"/>
        </w:rPr>
        <w:t>como las estaciones terrenas ubicadas en el territorio nacional</w:t>
      </w:r>
      <w:r w:rsidR="00D57C6F" w:rsidRPr="001E05C6">
        <w:rPr>
          <w:rFonts w:cs="Arial"/>
          <w:i/>
          <w:sz w:val="22"/>
          <w:szCs w:val="22"/>
        </w:rPr>
        <w:t>, (…)</w:t>
      </w:r>
      <w:r w:rsidRPr="001E05C6">
        <w:rPr>
          <w:rFonts w:cs="Arial"/>
          <w:i/>
          <w:sz w:val="22"/>
          <w:szCs w:val="22"/>
        </w:rPr>
        <w:t xml:space="preserve">.” </w:t>
      </w:r>
      <w:r w:rsidRPr="001E05C6">
        <w:rPr>
          <w:rFonts w:cs="Arial"/>
          <w:sz w:val="22"/>
          <w:szCs w:val="22"/>
        </w:rPr>
        <w:t>(Énfasis agregado)</w:t>
      </w:r>
    </w:p>
    <w:p w:rsidR="00D046F5" w:rsidRPr="001E05C6" w:rsidRDefault="00D046F5" w:rsidP="001E05C6">
      <w:pPr>
        <w:pStyle w:val="Prrafodelista"/>
        <w:spacing w:line="240" w:lineRule="auto"/>
        <w:ind w:left="1134" w:hanging="567"/>
        <w:rPr>
          <w:rFonts w:cs="Arial"/>
          <w:i/>
          <w:sz w:val="22"/>
          <w:szCs w:val="22"/>
        </w:rPr>
      </w:pPr>
    </w:p>
    <w:p w:rsidR="00D57C6F" w:rsidRPr="001E05C6" w:rsidRDefault="00D046F5" w:rsidP="001E05C6">
      <w:pPr>
        <w:pStyle w:val="Prrafodelista"/>
        <w:widowControl/>
        <w:numPr>
          <w:ilvl w:val="0"/>
          <w:numId w:val="44"/>
        </w:numPr>
        <w:adjustRightInd/>
        <w:spacing w:line="240" w:lineRule="auto"/>
        <w:ind w:left="1134" w:hanging="567"/>
        <w:contextualSpacing w:val="0"/>
        <w:textAlignment w:val="auto"/>
        <w:rPr>
          <w:rFonts w:cs="Arial"/>
          <w:i/>
          <w:sz w:val="22"/>
          <w:szCs w:val="22"/>
        </w:rPr>
      </w:pPr>
      <w:r w:rsidRPr="001E05C6">
        <w:rPr>
          <w:rFonts w:cs="Arial"/>
          <w:i/>
          <w:sz w:val="22"/>
          <w:szCs w:val="22"/>
        </w:rPr>
        <w:t xml:space="preserve">“10.8. </w:t>
      </w:r>
      <w:r w:rsidR="00D57C6F" w:rsidRPr="001E05C6">
        <w:rPr>
          <w:rFonts w:cs="Arial"/>
          <w:i/>
          <w:sz w:val="22"/>
          <w:szCs w:val="22"/>
        </w:rPr>
        <w:t xml:space="preserve">Debiéndose agregar que </w:t>
      </w:r>
      <w:r w:rsidR="00D57C6F" w:rsidRPr="001E05C6">
        <w:rPr>
          <w:rFonts w:cs="Arial"/>
          <w:b/>
          <w:i/>
          <w:sz w:val="22"/>
          <w:szCs w:val="22"/>
          <w:u w:val="single"/>
        </w:rPr>
        <w:t>al utilizarse la estación terrena ubicada en el país, así como, el espectro radioeléctrico nacional</w:t>
      </w:r>
      <w:r w:rsidR="00D57C6F" w:rsidRPr="001E05C6">
        <w:rPr>
          <w:rFonts w:cs="Arial"/>
          <w:i/>
          <w:sz w:val="22"/>
          <w:szCs w:val="22"/>
        </w:rPr>
        <w:t xml:space="preserve">, respecto del cual el estado peruano es soberano en su aprovechamiento, </w:t>
      </w:r>
      <w:r w:rsidR="00D57C6F" w:rsidRPr="001E05C6">
        <w:rPr>
          <w:rFonts w:cs="Arial"/>
          <w:b/>
          <w:i/>
          <w:sz w:val="22"/>
          <w:szCs w:val="22"/>
          <w:u w:val="single"/>
        </w:rPr>
        <w:t>la operación satelital no termin</w:t>
      </w:r>
      <w:r w:rsidR="0009138E" w:rsidRPr="001E05C6">
        <w:rPr>
          <w:rFonts w:cs="Arial"/>
          <w:b/>
          <w:i/>
          <w:sz w:val="22"/>
          <w:szCs w:val="22"/>
          <w:u w:val="single"/>
        </w:rPr>
        <w:t>a</w:t>
      </w:r>
      <w:r w:rsidR="00D57C6F" w:rsidRPr="001E05C6">
        <w:rPr>
          <w:rFonts w:cs="Arial"/>
          <w:b/>
          <w:i/>
          <w:sz w:val="22"/>
          <w:szCs w:val="22"/>
          <w:u w:val="single"/>
        </w:rPr>
        <w:t xml:space="preserve"> o concluye en el espacio exterior</w:t>
      </w:r>
      <w:r w:rsidR="00D57C6F" w:rsidRPr="001E05C6">
        <w:rPr>
          <w:rFonts w:cs="Arial"/>
          <w:i/>
          <w:sz w:val="22"/>
          <w:szCs w:val="22"/>
        </w:rPr>
        <w:t xml:space="preserve">, sino que </w:t>
      </w:r>
      <w:r w:rsidR="00D57C6F" w:rsidRPr="001E05C6">
        <w:rPr>
          <w:rFonts w:cs="Arial"/>
          <w:b/>
          <w:i/>
          <w:sz w:val="22"/>
          <w:szCs w:val="22"/>
          <w:u w:val="single"/>
        </w:rPr>
        <w:t>parte de ella se realiza en el territorio nacional</w:t>
      </w:r>
      <w:r w:rsidR="00D57C6F" w:rsidRPr="001E05C6">
        <w:rPr>
          <w:rFonts w:cs="Arial"/>
          <w:i/>
          <w:sz w:val="22"/>
          <w:szCs w:val="22"/>
        </w:rPr>
        <w:t xml:space="preserve">, con la </w:t>
      </w:r>
      <w:r w:rsidR="00D57C6F" w:rsidRPr="001E05C6">
        <w:rPr>
          <w:rFonts w:cs="Arial"/>
          <w:b/>
          <w:i/>
          <w:sz w:val="22"/>
          <w:szCs w:val="22"/>
          <w:u w:val="single"/>
        </w:rPr>
        <w:t>utilización de bienes en el país</w:t>
      </w:r>
      <w:r w:rsidR="00D57C6F" w:rsidRPr="001E05C6">
        <w:rPr>
          <w:rFonts w:cs="Arial"/>
          <w:i/>
          <w:sz w:val="22"/>
          <w:szCs w:val="22"/>
        </w:rPr>
        <w:t>.</w:t>
      </w:r>
      <w:r w:rsidR="004461BD" w:rsidRPr="001E05C6">
        <w:rPr>
          <w:rFonts w:cs="Arial"/>
          <w:i/>
          <w:sz w:val="22"/>
          <w:szCs w:val="22"/>
        </w:rPr>
        <w:t>"</w:t>
      </w:r>
      <w:r w:rsidR="004461BD" w:rsidRPr="001E05C6">
        <w:rPr>
          <w:rFonts w:cs="Arial"/>
          <w:sz w:val="22"/>
          <w:szCs w:val="22"/>
        </w:rPr>
        <w:t xml:space="preserve"> (Énfasis agregado)</w:t>
      </w:r>
    </w:p>
    <w:p w:rsidR="00D57C6F" w:rsidRPr="001E05C6" w:rsidRDefault="00D57C6F" w:rsidP="001E05C6">
      <w:pPr>
        <w:pStyle w:val="Prrafodelista"/>
        <w:widowControl/>
        <w:adjustRightInd/>
        <w:spacing w:line="240" w:lineRule="auto"/>
        <w:ind w:left="1134" w:hanging="567"/>
        <w:contextualSpacing w:val="0"/>
        <w:textAlignment w:val="auto"/>
        <w:rPr>
          <w:rFonts w:cs="Arial"/>
          <w:i/>
          <w:sz w:val="22"/>
          <w:szCs w:val="22"/>
        </w:rPr>
      </w:pPr>
    </w:p>
    <w:p w:rsidR="00D57C6F" w:rsidRPr="001E05C6" w:rsidRDefault="00D57C6F" w:rsidP="001E05C6">
      <w:pPr>
        <w:pStyle w:val="Prrafodelista"/>
        <w:widowControl/>
        <w:numPr>
          <w:ilvl w:val="0"/>
          <w:numId w:val="44"/>
        </w:numPr>
        <w:adjustRightInd/>
        <w:spacing w:line="240" w:lineRule="auto"/>
        <w:ind w:left="1134" w:hanging="567"/>
        <w:contextualSpacing w:val="0"/>
        <w:textAlignment w:val="auto"/>
        <w:rPr>
          <w:rFonts w:cs="Arial"/>
          <w:i/>
          <w:sz w:val="22"/>
          <w:szCs w:val="22"/>
        </w:rPr>
      </w:pPr>
      <w:r w:rsidRPr="001E05C6">
        <w:rPr>
          <w:rFonts w:cs="Arial"/>
          <w:i/>
          <w:sz w:val="22"/>
          <w:szCs w:val="22"/>
        </w:rPr>
        <w:t>“</w:t>
      </w:r>
      <w:r w:rsidR="003C2FC7" w:rsidRPr="001E05C6">
        <w:rPr>
          <w:rFonts w:cs="Arial"/>
          <w:i/>
          <w:sz w:val="22"/>
          <w:szCs w:val="22"/>
        </w:rPr>
        <w:t xml:space="preserve">11.1. </w:t>
      </w:r>
      <w:r w:rsidRPr="001E05C6">
        <w:rPr>
          <w:rFonts w:cs="Arial"/>
          <w:i/>
          <w:sz w:val="22"/>
          <w:szCs w:val="22"/>
        </w:rPr>
        <w:t xml:space="preserve">El inciso b) del artículo 9° del Texto Único Ordenado de </w:t>
      </w:r>
      <w:r w:rsidR="00D046F5" w:rsidRPr="001E05C6">
        <w:rPr>
          <w:rFonts w:cs="Arial"/>
          <w:i/>
          <w:sz w:val="22"/>
          <w:szCs w:val="22"/>
        </w:rPr>
        <w:t xml:space="preserve">la Ley del Impuesto a la Renta </w:t>
      </w:r>
      <w:r w:rsidRPr="001E05C6">
        <w:rPr>
          <w:rFonts w:cs="Arial"/>
          <w:i/>
          <w:sz w:val="22"/>
          <w:szCs w:val="22"/>
        </w:rPr>
        <w:t>(…) señala: ‘En general y cualquiera se</w:t>
      </w:r>
      <w:r w:rsidR="00707DCE" w:rsidRPr="001E05C6">
        <w:rPr>
          <w:rFonts w:cs="Arial"/>
          <w:i/>
          <w:sz w:val="22"/>
          <w:szCs w:val="22"/>
        </w:rPr>
        <w:t>a la</w:t>
      </w:r>
      <w:r w:rsidRPr="001E05C6">
        <w:rPr>
          <w:rFonts w:cs="Arial"/>
          <w:i/>
          <w:sz w:val="22"/>
          <w:szCs w:val="22"/>
        </w:rPr>
        <w:t xml:space="preserve"> nacionalidad o domicilio de las partes que intervengan en las operaciones </w:t>
      </w:r>
      <w:r w:rsidR="00D046F5" w:rsidRPr="001E05C6">
        <w:rPr>
          <w:rFonts w:cs="Arial"/>
          <w:i/>
          <w:sz w:val="22"/>
          <w:szCs w:val="22"/>
        </w:rPr>
        <w:t>(…)</w:t>
      </w:r>
      <w:r w:rsidRPr="001E05C6">
        <w:rPr>
          <w:rFonts w:cs="Arial"/>
          <w:i/>
          <w:sz w:val="22"/>
          <w:szCs w:val="22"/>
        </w:rPr>
        <w:t xml:space="preserve"> se considera </w:t>
      </w:r>
      <w:r w:rsidRPr="001E05C6">
        <w:rPr>
          <w:rFonts w:cs="Arial"/>
          <w:b/>
          <w:i/>
          <w:sz w:val="22"/>
          <w:szCs w:val="22"/>
          <w:u w:val="single"/>
        </w:rPr>
        <w:t>rentas de fuente peruana</w:t>
      </w:r>
      <w:r w:rsidRPr="001E05C6">
        <w:rPr>
          <w:rFonts w:cs="Arial"/>
          <w:i/>
          <w:sz w:val="22"/>
          <w:szCs w:val="22"/>
        </w:rPr>
        <w:t xml:space="preserve">: Las producidas por capitales, </w:t>
      </w:r>
      <w:r w:rsidRPr="001E05C6">
        <w:rPr>
          <w:rFonts w:cs="Arial"/>
          <w:b/>
          <w:i/>
          <w:sz w:val="22"/>
          <w:szCs w:val="22"/>
          <w:u w:val="single"/>
        </w:rPr>
        <w:t>bienes</w:t>
      </w:r>
      <w:r w:rsidRPr="001E05C6">
        <w:rPr>
          <w:rFonts w:cs="Arial"/>
          <w:i/>
          <w:sz w:val="22"/>
          <w:szCs w:val="22"/>
        </w:rPr>
        <w:t xml:space="preserve"> o derechos (…) </w:t>
      </w:r>
      <w:r w:rsidRPr="001E05C6">
        <w:rPr>
          <w:rFonts w:cs="Arial"/>
          <w:b/>
          <w:i/>
          <w:sz w:val="22"/>
          <w:szCs w:val="22"/>
          <w:u w:val="single"/>
        </w:rPr>
        <w:t>situados físicamente o colocados o utilizados económicamente en el país</w:t>
      </w:r>
      <w:r w:rsidR="00707DCE" w:rsidRPr="001E05C6">
        <w:rPr>
          <w:rFonts w:cs="Arial"/>
          <w:i/>
          <w:sz w:val="22"/>
          <w:szCs w:val="22"/>
        </w:rPr>
        <w:t xml:space="preserve"> (…)’</w:t>
      </w:r>
      <w:r w:rsidRPr="001E05C6">
        <w:rPr>
          <w:rFonts w:cs="Arial"/>
          <w:i/>
          <w:sz w:val="22"/>
          <w:szCs w:val="22"/>
        </w:rPr>
        <w:t>”</w:t>
      </w:r>
      <w:r w:rsidR="00A06060" w:rsidRPr="001E05C6">
        <w:rPr>
          <w:rFonts w:cs="Arial"/>
          <w:sz w:val="22"/>
          <w:szCs w:val="22"/>
        </w:rPr>
        <w:t xml:space="preserve"> (Énfasis agregado)</w:t>
      </w:r>
    </w:p>
    <w:p w:rsidR="00D57C6F" w:rsidRPr="001E05C6" w:rsidRDefault="00D57C6F" w:rsidP="001E05C6">
      <w:pPr>
        <w:widowControl/>
        <w:adjustRightInd/>
        <w:spacing w:line="240" w:lineRule="auto"/>
        <w:textAlignment w:val="auto"/>
        <w:rPr>
          <w:rFonts w:cs="Arial"/>
          <w:i/>
          <w:sz w:val="22"/>
          <w:szCs w:val="22"/>
        </w:rPr>
      </w:pPr>
    </w:p>
    <w:p w:rsidR="00D57C6F" w:rsidRPr="001E05C6" w:rsidRDefault="00A06060" w:rsidP="001E05C6">
      <w:pPr>
        <w:pStyle w:val="Prrafodelista"/>
        <w:widowControl/>
        <w:numPr>
          <w:ilvl w:val="0"/>
          <w:numId w:val="44"/>
        </w:numPr>
        <w:adjustRightInd/>
        <w:spacing w:line="240" w:lineRule="auto"/>
        <w:ind w:left="1134" w:hanging="567"/>
        <w:contextualSpacing w:val="0"/>
        <w:textAlignment w:val="auto"/>
        <w:rPr>
          <w:rFonts w:cs="Arial"/>
          <w:i/>
          <w:sz w:val="22"/>
          <w:szCs w:val="22"/>
        </w:rPr>
      </w:pPr>
      <w:r w:rsidRPr="001E05C6">
        <w:rPr>
          <w:rFonts w:cs="Arial"/>
          <w:i/>
          <w:sz w:val="22"/>
          <w:szCs w:val="22"/>
        </w:rPr>
        <w:t>“</w:t>
      </w:r>
      <w:r w:rsidR="003C2FC7" w:rsidRPr="001E05C6">
        <w:rPr>
          <w:rFonts w:cs="Arial"/>
          <w:i/>
          <w:sz w:val="22"/>
          <w:szCs w:val="22"/>
        </w:rPr>
        <w:t xml:space="preserve">11.12. </w:t>
      </w:r>
      <w:r w:rsidRPr="001E05C6">
        <w:rPr>
          <w:rFonts w:cs="Arial"/>
          <w:i/>
          <w:sz w:val="22"/>
          <w:szCs w:val="22"/>
        </w:rPr>
        <w:t>(…)</w:t>
      </w:r>
      <w:r w:rsidR="003C2FC7" w:rsidRPr="001E05C6">
        <w:rPr>
          <w:rFonts w:cs="Arial"/>
          <w:i/>
          <w:sz w:val="22"/>
          <w:szCs w:val="22"/>
        </w:rPr>
        <w:t xml:space="preserve"> </w:t>
      </w:r>
      <w:r w:rsidR="003C2FC7" w:rsidRPr="001E05C6">
        <w:rPr>
          <w:rFonts w:cs="Arial"/>
          <w:b/>
          <w:i/>
          <w:sz w:val="22"/>
          <w:szCs w:val="22"/>
          <w:u w:val="single"/>
        </w:rPr>
        <w:t>los bienes – espectro radioeléctrico y estación terrena- fueron utilizados económicamente en el país</w:t>
      </w:r>
      <w:r w:rsidR="003C2FC7" w:rsidRPr="001E05C6">
        <w:rPr>
          <w:rFonts w:cs="Arial"/>
          <w:i/>
          <w:sz w:val="22"/>
          <w:szCs w:val="22"/>
        </w:rPr>
        <w:t xml:space="preserve"> para que se lleve a cabo la actividad económica que realizó Telefónica del Perú con las empresas no domiciliadas, entendiéndose por actividad económica en el presente caso al </w:t>
      </w:r>
      <w:r w:rsidR="003C2FC7" w:rsidRPr="001E05C6">
        <w:rPr>
          <w:rFonts w:cs="Arial"/>
          <w:b/>
          <w:i/>
          <w:sz w:val="22"/>
          <w:szCs w:val="22"/>
          <w:u w:val="single"/>
        </w:rPr>
        <w:t>servicio de capacidad satelital</w:t>
      </w:r>
      <w:r w:rsidR="003C2FC7" w:rsidRPr="001E05C6">
        <w:rPr>
          <w:rFonts w:cs="Arial"/>
          <w:i/>
          <w:sz w:val="22"/>
          <w:szCs w:val="22"/>
        </w:rPr>
        <w:t xml:space="preserve"> recibido por la empresa recurrente, en consecuencia el pago realizado por Telefónica del Perú a SATMEX, </w:t>
      </w:r>
      <w:proofErr w:type="spellStart"/>
      <w:r w:rsidR="003C2FC7" w:rsidRPr="001E05C6">
        <w:rPr>
          <w:rFonts w:cs="Arial"/>
          <w:i/>
          <w:sz w:val="22"/>
          <w:szCs w:val="22"/>
        </w:rPr>
        <w:t>PanAmSat</w:t>
      </w:r>
      <w:proofErr w:type="spellEnd"/>
      <w:r w:rsidR="003C2FC7" w:rsidRPr="001E05C6">
        <w:rPr>
          <w:rFonts w:cs="Arial"/>
          <w:i/>
          <w:sz w:val="22"/>
          <w:szCs w:val="22"/>
        </w:rPr>
        <w:t xml:space="preserve"> e INTELSAT por concepto de la operación de capacidad satelital </w:t>
      </w:r>
      <w:r w:rsidR="003C2FC7" w:rsidRPr="001E05C6">
        <w:rPr>
          <w:rFonts w:cs="Arial"/>
          <w:b/>
          <w:i/>
          <w:sz w:val="22"/>
          <w:szCs w:val="22"/>
          <w:u w:val="single"/>
        </w:rPr>
        <w:t>constituye renta de fuente peruana</w:t>
      </w:r>
      <w:r w:rsidR="003C2FC7" w:rsidRPr="001E05C6">
        <w:rPr>
          <w:rFonts w:cs="Arial"/>
          <w:i/>
          <w:sz w:val="22"/>
          <w:szCs w:val="22"/>
        </w:rPr>
        <w:t>.</w:t>
      </w:r>
      <w:r w:rsidR="004461BD" w:rsidRPr="001E05C6">
        <w:rPr>
          <w:rFonts w:cs="Arial"/>
          <w:i/>
          <w:sz w:val="22"/>
          <w:szCs w:val="22"/>
        </w:rPr>
        <w:t>”</w:t>
      </w:r>
      <w:r w:rsidRPr="001E05C6">
        <w:rPr>
          <w:rFonts w:cs="Arial"/>
          <w:sz w:val="22"/>
          <w:szCs w:val="22"/>
        </w:rPr>
        <w:t xml:space="preserve"> (Énfasis agregado)</w:t>
      </w:r>
    </w:p>
    <w:p w:rsidR="002C4F7A" w:rsidRPr="001E05C6" w:rsidRDefault="002C4F7A" w:rsidP="001E05C6">
      <w:pPr>
        <w:pStyle w:val="Prrafodelista"/>
        <w:widowControl/>
        <w:adjustRightInd/>
        <w:spacing w:line="240" w:lineRule="auto"/>
        <w:ind w:left="-12"/>
        <w:contextualSpacing w:val="0"/>
        <w:textAlignment w:val="auto"/>
        <w:rPr>
          <w:rFonts w:cs="Arial"/>
          <w:sz w:val="22"/>
          <w:szCs w:val="22"/>
        </w:rPr>
      </w:pPr>
    </w:p>
    <w:p w:rsidR="004461BD" w:rsidRPr="001E05C6" w:rsidRDefault="00AF56DB"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Nótese que</w:t>
      </w:r>
      <w:r w:rsidR="0009138E" w:rsidRPr="001E05C6">
        <w:rPr>
          <w:rFonts w:cs="Arial"/>
          <w:sz w:val="22"/>
          <w:szCs w:val="22"/>
        </w:rPr>
        <w:t xml:space="preserve"> en la Sentencia Casación No. 474-2016</w:t>
      </w:r>
      <w:r w:rsidR="001954CD" w:rsidRPr="001E05C6">
        <w:rPr>
          <w:rFonts w:cs="Arial"/>
          <w:sz w:val="22"/>
          <w:szCs w:val="22"/>
        </w:rPr>
        <w:t>,</w:t>
      </w:r>
      <w:r w:rsidR="005D1F9E" w:rsidRPr="001E05C6">
        <w:rPr>
          <w:rFonts w:cs="Arial"/>
          <w:sz w:val="22"/>
          <w:szCs w:val="22"/>
        </w:rPr>
        <w:t xml:space="preserve"> la Corte Suprema no </w:t>
      </w:r>
      <w:r w:rsidR="005215E6" w:rsidRPr="001E05C6">
        <w:rPr>
          <w:rFonts w:cs="Arial"/>
          <w:sz w:val="22"/>
          <w:szCs w:val="22"/>
        </w:rPr>
        <w:t xml:space="preserve">niega ni contradice que la provisión de capacidad satelital se trate de un servicio; </w:t>
      </w:r>
      <w:r w:rsidR="001954CD" w:rsidRPr="001E05C6">
        <w:rPr>
          <w:rFonts w:cs="Arial"/>
          <w:sz w:val="22"/>
          <w:szCs w:val="22"/>
        </w:rPr>
        <w:t xml:space="preserve">sino, </w:t>
      </w:r>
      <w:r w:rsidR="005215E6" w:rsidRPr="001E05C6">
        <w:rPr>
          <w:rFonts w:cs="Arial"/>
          <w:sz w:val="22"/>
          <w:szCs w:val="22"/>
        </w:rPr>
        <w:t xml:space="preserve">la Corte Suprema </w:t>
      </w:r>
      <w:r w:rsidR="001954CD" w:rsidRPr="001E05C6">
        <w:rPr>
          <w:rFonts w:cs="Arial"/>
          <w:sz w:val="22"/>
          <w:szCs w:val="22"/>
        </w:rPr>
        <w:t>señala</w:t>
      </w:r>
      <w:r w:rsidR="005215E6" w:rsidRPr="001E05C6">
        <w:rPr>
          <w:rFonts w:cs="Arial"/>
          <w:sz w:val="22"/>
          <w:szCs w:val="22"/>
        </w:rPr>
        <w:t xml:space="preserve"> </w:t>
      </w:r>
      <w:r w:rsidR="001954CD" w:rsidRPr="001E05C6">
        <w:rPr>
          <w:rFonts w:cs="Arial"/>
          <w:sz w:val="22"/>
          <w:szCs w:val="22"/>
        </w:rPr>
        <w:t>que dicha operación</w:t>
      </w:r>
      <w:r w:rsidR="005215E6" w:rsidRPr="001E05C6">
        <w:rPr>
          <w:rFonts w:cs="Arial"/>
          <w:sz w:val="22"/>
          <w:szCs w:val="22"/>
        </w:rPr>
        <w:t xml:space="preserve"> involucra </w:t>
      </w:r>
      <w:r w:rsidR="004461BD" w:rsidRPr="001E05C6">
        <w:rPr>
          <w:rFonts w:cs="Arial"/>
          <w:sz w:val="22"/>
          <w:szCs w:val="22"/>
        </w:rPr>
        <w:t xml:space="preserve">bienes </w:t>
      </w:r>
      <w:r w:rsidR="008B113D" w:rsidRPr="001E05C6">
        <w:rPr>
          <w:rFonts w:cs="Arial"/>
          <w:sz w:val="22"/>
          <w:szCs w:val="22"/>
        </w:rPr>
        <w:t>(</w:t>
      </w:r>
      <w:r w:rsidR="004461BD" w:rsidRPr="001E05C6">
        <w:rPr>
          <w:rFonts w:cs="Arial"/>
          <w:sz w:val="22"/>
          <w:szCs w:val="22"/>
        </w:rPr>
        <w:t>como el espectro radioeléctrico y las estaciones terrenas</w:t>
      </w:r>
      <w:r w:rsidR="008B113D" w:rsidRPr="001E05C6">
        <w:rPr>
          <w:rFonts w:cs="Arial"/>
          <w:sz w:val="22"/>
          <w:szCs w:val="22"/>
        </w:rPr>
        <w:t>)</w:t>
      </w:r>
      <w:r w:rsidR="004461BD" w:rsidRPr="001E05C6">
        <w:rPr>
          <w:rFonts w:cs="Arial"/>
          <w:sz w:val="22"/>
          <w:szCs w:val="22"/>
        </w:rPr>
        <w:t xml:space="preserve"> </w:t>
      </w:r>
      <w:r w:rsidRPr="001E05C6">
        <w:rPr>
          <w:rFonts w:cs="Arial"/>
          <w:sz w:val="22"/>
          <w:szCs w:val="22"/>
        </w:rPr>
        <w:t xml:space="preserve">que son </w:t>
      </w:r>
      <w:r w:rsidR="001954CD" w:rsidRPr="001E05C6">
        <w:rPr>
          <w:rFonts w:cs="Arial"/>
          <w:sz w:val="22"/>
          <w:szCs w:val="22"/>
        </w:rPr>
        <w:t>utilizados</w:t>
      </w:r>
      <w:r w:rsidR="004461BD" w:rsidRPr="001E05C6">
        <w:rPr>
          <w:rFonts w:cs="Arial"/>
          <w:sz w:val="22"/>
          <w:szCs w:val="22"/>
        </w:rPr>
        <w:t xml:space="preserve"> económicamente en el país</w:t>
      </w:r>
      <w:r w:rsidR="001954CD" w:rsidRPr="001E05C6">
        <w:rPr>
          <w:rFonts w:cs="Arial"/>
          <w:sz w:val="22"/>
          <w:szCs w:val="22"/>
        </w:rPr>
        <w:t>,</w:t>
      </w:r>
      <w:r w:rsidR="004461BD" w:rsidRPr="001E05C6">
        <w:rPr>
          <w:rFonts w:cs="Arial"/>
          <w:sz w:val="22"/>
          <w:szCs w:val="22"/>
        </w:rPr>
        <w:t xml:space="preserve"> y que</w:t>
      </w:r>
      <w:r w:rsidR="001954CD" w:rsidRPr="001E05C6">
        <w:rPr>
          <w:rFonts w:cs="Arial"/>
          <w:sz w:val="22"/>
          <w:szCs w:val="22"/>
        </w:rPr>
        <w:t>,</w:t>
      </w:r>
      <w:r w:rsidR="004461BD" w:rsidRPr="001E05C6">
        <w:rPr>
          <w:rFonts w:cs="Arial"/>
          <w:sz w:val="22"/>
          <w:szCs w:val="22"/>
        </w:rPr>
        <w:t xml:space="preserve"> debido a ello, la operación se en</w:t>
      </w:r>
      <w:r w:rsidR="001954CD" w:rsidRPr="001E05C6">
        <w:rPr>
          <w:rFonts w:cs="Arial"/>
          <w:sz w:val="22"/>
          <w:szCs w:val="22"/>
        </w:rPr>
        <w:t>cuentra</w:t>
      </w:r>
      <w:r w:rsidR="004461BD" w:rsidRPr="001E05C6">
        <w:rPr>
          <w:rFonts w:cs="Arial"/>
          <w:sz w:val="22"/>
          <w:szCs w:val="22"/>
        </w:rPr>
        <w:t xml:space="preserve"> gravada con impuesto a la renta, conforme a lo dispuesto en la normativa nacional peruana.</w:t>
      </w:r>
      <w:r w:rsidR="00B4283C" w:rsidRPr="001E05C6">
        <w:rPr>
          <w:rStyle w:val="Refdenotaalpie"/>
          <w:rFonts w:cs="Arial"/>
          <w:sz w:val="22"/>
          <w:szCs w:val="22"/>
        </w:rPr>
        <w:footnoteReference w:id="40"/>
      </w:r>
      <w:r w:rsidR="004461BD" w:rsidRPr="001E05C6">
        <w:rPr>
          <w:rFonts w:cs="Arial"/>
          <w:sz w:val="22"/>
          <w:szCs w:val="22"/>
        </w:rPr>
        <w:t xml:space="preserve"> </w:t>
      </w:r>
    </w:p>
    <w:p w:rsidR="00311EE2" w:rsidRPr="001E05C6" w:rsidRDefault="00311EE2" w:rsidP="001E05C6">
      <w:pPr>
        <w:pStyle w:val="Prrafodelista"/>
        <w:widowControl/>
        <w:adjustRightInd/>
        <w:spacing w:line="240" w:lineRule="auto"/>
        <w:ind w:left="-12"/>
        <w:contextualSpacing w:val="0"/>
        <w:textAlignment w:val="auto"/>
        <w:rPr>
          <w:rFonts w:cs="Arial"/>
          <w:i/>
          <w:sz w:val="22"/>
          <w:szCs w:val="22"/>
        </w:rPr>
      </w:pPr>
    </w:p>
    <w:p w:rsidR="00C11507" w:rsidRPr="001E05C6" w:rsidRDefault="00D6170A" w:rsidP="001E05C6">
      <w:pPr>
        <w:pStyle w:val="Prrafodelista"/>
        <w:widowControl/>
        <w:adjustRightInd/>
        <w:spacing w:line="240" w:lineRule="auto"/>
        <w:ind w:left="709" w:hanging="425"/>
        <w:textAlignment w:val="auto"/>
        <w:rPr>
          <w:rFonts w:cs="Arial"/>
          <w:b/>
          <w:sz w:val="22"/>
          <w:szCs w:val="22"/>
        </w:rPr>
      </w:pPr>
      <w:r w:rsidRPr="001E05C6">
        <w:rPr>
          <w:rFonts w:cs="Arial"/>
          <w:b/>
          <w:sz w:val="22"/>
          <w:szCs w:val="22"/>
        </w:rPr>
        <w:t xml:space="preserve">b. </w:t>
      </w:r>
      <w:r w:rsidRPr="001E05C6">
        <w:rPr>
          <w:rFonts w:cs="Arial"/>
          <w:b/>
          <w:sz w:val="22"/>
          <w:szCs w:val="22"/>
        </w:rPr>
        <w:tab/>
      </w:r>
      <w:r w:rsidR="00C11507" w:rsidRPr="001E05C6">
        <w:rPr>
          <w:rFonts w:cs="Arial"/>
          <w:b/>
          <w:sz w:val="22"/>
          <w:szCs w:val="22"/>
        </w:rPr>
        <w:t xml:space="preserve">Respecto a si la Tercera Sala de Derecho Constitucional y Social de la Corte Suprema </w:t>
      </w:r>
      <w:r w:rsidR="002B02BF" w:rsidRPr="001E05C6">
        <w:rPr>
          <w:rFonts w:cs="Arial"/>
          <w:b/>
          <w:sz w:val="22"/>
          <w:szCs w:val="22"/>
        </w:rPr>
        <w:t>de Justicia</w:t>
      </w:r>
      <w:r w:rsidR="00C11507" w:rsidRPr="001E05C6">
        <w:rPr>
          <w:rFonts w:cs="Arial"/>
          <w:b/>
          <w:sz w:val="22"/>
          <w:szCs w:val="22"/>
        </w:rPr>
        <w:t xml:space="preserve"> se encontraba obligada a solicitar la interpretación prejudicial:</w:t>
      </w:r>
    </w:p>
    <w:p w:rsidR="00EB7431" w:rsidRPr="001E05C6" w:rsidRDefault="00EB7431" w:rsidP="001E05C6">
      <w:pPr>
        <w:widowControl/>
        <w:adjustRightInd/>
        <w:spacing w:line="240" w:lineRule="auto"/>
        <w:textAlignment w:val="auto"/>
        <w:rPr>
          <w:rFonts w:cs="Arial"/>
          <w:b/>
          <w:sz w:val="22"/>
          <w:szCs w:val="22"/>
        </w:rPr>
      </w:pPr>
    </w:p>
    <w:p w:rsidR="00FB48C0" w:rsidRPr="001E05C6" w:rsidRDefault="00FB48C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En el caso bajo análisis el acto supuestamente infractor (la ausencia de solicitud prejudicial) habría sido incurrido por la Sala de Derecho Constitucional y Social Transitoria de la Corte Suprema de Justicia, con motivo de la expedición de la Sentencia Casación No. 474-2016, sin que previamente dicha Sala haya solicitado interpretación prejudicial obligatoria.</w:t>
      </w:r>
    </w:p>
    <w:p w:rsidR="00FB48C0" w:rsidRPr="001E05C6" w:rsidRDefault="00FB48C0" w:rsidP="001E05C6">
      <w:pPr>
        <w:pStyle w:val="Prrafodelista"/>
        <w:widowControl/>
        <w:adjustRightInd/>
        <w:spacing w:line="240" w:lineRule="auto"/>
        <w:ind w:left="-12"/>
        <w:contextualSpacing w:val="0"/>
        <w:textAlignment w:val="auto"/>
        <w:rPr>
          <w:rFonts w:cs="Arial"/>
          <w:sz w:val="22"/>
          <w:szCs w:val="22"/>
        </w:rPr>
      </w:pPr>
    </w:p>
    <w:p w:rsidR="00097FE7" w:rsidRPr="001E05C6" w:rsidRDefault="00FB48C0"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lastRenderedPageBreak/>
        <w:t>Al respecto, de acuerdo con el artículo 123 del de la Decisión 500, el juez nacional que conozca de un proceso en el cual la sentencia fuera de única o última instancia, que no fuere susceptible de recursos en derecho interno, deberá suspender el procedimiento y solicitar la interpretación al Tribunal.</w:t>
      </w:r>
    </w:p>
    <w:p w:rsidR="00097FE7" w:rsidRPr="001E05C6" w:rsidRDefault="00097FE7" w:rsidP="001E05C6">
      <w:pPr>
        <w:pStyle w:val="Prrafodelista"/>
        <w:widowControl/>
        <w:adjustRightInd/>
        <w:spacing w:line="240" w:lineRule="auto"/>
        <w:ind w:left="-12"/>
        <w:contextualSpacing w:val="0"/>
        <w:textAlignment w:val="auto"/>
        <w:rPr>
          <w:rFonts w:cs="Arial"/>
          <w:sz w:val="22"/>
          <w:szCs w:val="22"/>
        </w:rPr>
      </w:pPr>
    </w:p>
    <w:p w:rsidR="006440E3" w:rsidRPr="001E05C6" w:rsidRDefault="00474798"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E</w:t>
      </w:r>
      <w:r w:rsidR="00FB48C0" w:rsidRPr="001E05C6">
        <w:rPr>
          <w:rFonts w:cs="Arial"/>
          <w:sz w:val="22"/>
          <w:szCs w:val="22"/>
        </w:rPr>
        <w:t xml:space="preserve">n reiterada jurisprudencia, </w:t>
      </w:r>
      <w:r w:rsidR="006440E3" w:rsidRPr="001E05C6">
        <w:rPr>
          <w:rFonts w:cs="Arial"/>
          <w:sz w:val="22"/>
          <w:szCs w:val="22"/>
        </w:rPr>
        <w:t>el TJCA</w:t>
      </w:r>
      <w:r w:rsidR="00847FA9" w:rsidRPr="001E05C6">
        <w:rPr>
          <w:rStyle w:val="Refdenotaalpie"/>
          <w:rFonts w:cs="Arial"/>
          <w:sz w:val="22"/>
          <w:szCs w:val="22"/>
        </w:rPr>
        <w:footnoteReference w:id="41"/>
      </w:r>
      <w:r w:rsidR="006440E3" w:rsidRPr="001E05C6">
        <w:rPr>
          <w:rFonts w:cs="Arial"/>
          <w:sz w:val="22"/>
          <w:szCs w:val="22"/>
        </w:rPr>
        <w:t xml:space="preserve"> ha señalado </w:t>
      </w:r>
      <w:r w:rsidR="00862AA7" w:rsidRPr="001E05C6">
        <w:rPr>
          <w:rFonts w:cs="Arial"/>
          <w:sz w:val="22"/>
          <w:szCs w:val="22"/>
        </w:rPr>
        <w:t>lo siguiente</w:t>
      </w:r>
      <w:r w:rsidR="006440E3" w:rsidRPr="001E05C6">
        <w:rPr>
          <w:rFonts w:cs="Arial"/>
          <w:sz w:val="22"/>
          <w:szCs w:val="22"/>
        </w:rPr>
        <w:t>:</w:t>
      </w:r>
    </w:p>
    <w:p w:rsidR="006440E3" w:rsidRPr="001E05C6" w:rsidRDefault="006440E3" w:rsidP="001E05C6">
      <w:pPr>
        <w:pStyle w:val="Prrafodelista"/>
        <w:widowControl/>
        <w:adjustRightInd/>
        <w:spacing w:line="240" w:lineRule="auto"/>
        <w:ind w:left="-12"/>
        <w:contextualSpacing w:val="0"/>
        <w:textAlignment w:val="auto"/>
        <w:rPr>
          <w:rFonts w:cs="Arial"/>
          <w:sz w:val="22"/>
          <w:szCs w:val="22"/>
        </w:rPr>
      </w:pPr>
    </w:p>
    <w:p w:rsidR="00862AA7" w:rsidRPr="001E05C6" w:rsidRDefault="00862AA7" w:rsidP="001E05C6">
      <w:pPr>
        <w:pStyle w:val="qowt-stl-normal"/>
        <w:shd w:val="clear" w:color="auto" w:fill="FFFFFF"/>
        <w:spacing w:before="0" w:beforeAutospacing="0" w:after="0" w:afterAutospacing="0"/>
        <w:ind w:left="1134"/>
        <w:jc w:val="both"/>
        <w:rPr>
          <w:rFonts w:ascii="Arial" w:hAnsi="Arial" w:cs="Arial"/>
          <w:i/>
          <w:color w:val="000000"/>
          <w:sz w:val="22"/>
          <w:szCs w:val="22"/>
        </w:rPr>
      </w:pPr>
      <w:r w:rsidRPr="001E05C6">
        <w:rPr>
          <w:rFonts w:ascii="Arial" w:hAnsi="Arial" w:cs="Arial"/>
          <w:i/>
          <w:sz w:val="22"/>
          <w:szCs w:val="22"/>
        </w:rPr>
        <w:t>“</w:t>
      </w:r>
      <w:r w:rsidRPr="001E05C6">
        <w:rPr>
          <w:rFonts w:ascii="Arial" w:hAnsi="Arial" w:cs="Arial"/>
          <w:i/>
          <w:iCs/>
          <w:color w:val="000000"/>
          <w:sz w:val="22"/>
          <w:szCs w:val="22"/>
        </w:rPr>
        <w:t xml:space="preserve">En consecuencia, </w:t>
      </w:r>
      <w:r w:rsidRPr="001E05C6">
        <w:rPr>
          <w:rFonts w:ascii="Arial" w:hAnsi="Arial" w:cs="Arial"/>
          <w:b/>
          <w:i/>
          <w:iCs/>
          <w:color w:val="000000"/>
          <w:sz w:val="22"/>
          <w:szCs w:val="22"/>
          <w:u w:val="single"/>
        </w:rPr>
        <w:t>el juez nacional, en este caso la Sala de Derecho Constitucional y Social Permanente de la Corte Suprema de Justicia de la República de Perú, debe actuar como juez comunitario andino</w:t>
      </w:r>
      <w:r w:rsidRPr="001E05C6">
        <w:rPr>
          <w:rFonts w:ascii="Arial" w:hAnsi="Arial" w:cs="Arial"/>
          <w:i/>
          <w:iCs/>
          <w:color w:val="000000"/>
          <w:sz w:val="22"/>
          <w:szCs w:val="22"/>
        </w:rPr>
        <w:t xml:space="preserve"> y, en efecto, desempeñarse como el garante, en colaboración con el Tribunal de Justicia de la Comunidad Andina, del ordenamiento subregional, lo que implica, por supuesto básico, su correcta y uniforme aplicación.</w:t>
      </w:r>
    </w:p>
    <w:p w:rsidR="00862AA7" w:rsidRPr="001E05C6" w:rsidRDefault="00862AA7" w:rsidP="001E05C6">
      <w:pPr>
        <w:widowControl/>
        <w:shd w:val="clear" w:color="auto" w:fill="FFFFFF"/>
        <w:adjustRightInd/>
        <w:spacing w:line="240" w:lineRule="auto"/>
        <w:ind w:left="1134"/>
        <w:textAlignment w:val="auto"/>
        <w:rPr>
          <w:rFonts w:cs="Arial"/>
          <w:i/>
          <w:color w:val="000000"/>
          <w:sz w:val="22"/>
          <w:szCs w:val="22"/>
        </w:rPr>
      </w:pPr>
    </w:p>
    <w:p w:rsidR="00862AA7" w:rsidRPr="001E05C6" w:rsidRDefault="00862AA7" w:rsidP="001E05C6">
      <w:pPr>
        <w:pStyle w:val="qowt-stl-normal"/>
        <w:shd w:val="clear" w:color="auto" w:fill="FFFFFF"/>
        <w:spacing w:before="0" w:beforeAutospacing="0" w:after="0" w:afterAutospacing="0"/>
        <w:ind w:left="1134"/>
        <w:jc w:val="both"/>
        <w:rPr>
          <w:rFonts w:ascii="Arial" w:hAnsi="Arial" w:cs="Arial"/>
          <w:i/>
          <w:color w:val="000000"/>
          <w:sz w:val="22"/>
          <w:szCs w:val="22"/>
        </w:rPr>
      </w:pPr>
      <w:r w:rsidRPr="001E05C6">
        <w:rPr>
          <w:rFonts w:ascii="Arial" w:hAnsi="Arial" w:cs="Arial"/>
          <w:i/>
          <w:iCs/>
          <w:color w:val="000000"/>
          <w:sz w:val="22"/>
          <w:szCs w:val="22"/>
        </w:rPr>
        <w:t xml:space="preserve">En este orden de ideas, </w:t>
      </w:r>
      <w:r w:rsidRPr="001E05C6">
        <w:rPr>
          <w:rFonts w:ascii="Arial" w:hAnsi="Arial" w:cs="Arial"/>
          <w:b/>
          <w:i/>
          <w:iCs/>
          <w:color w:val="000000"/>
          <w:sz w:val="22"/>
          <w:szCs w:val="22"/>
          <w:u w:val="single"/>
        </w:rPr>
        <w:t>el juez que conozca un recurso extraordinario en las circunstancias anteriormente mencionadas, por encima de las limitaciones formales de su normativa interna,</w:t>
      </w:r>
      <w:r w:rsidRPr="001E05C6">
        <w:rPr>
          <w:rStyle w:val="PrrafodelistaCar"/>
          <w:rFonts w:ascii="Arial" w:hAnsi="Arial" w:cs="Arial"/>
          <w:b/>
          <w:i/>
          <w:iCs/>
          <w:color w:val="000000"/>
          <w:sz w:val="22"/>
          <w:szCs w:val="22"/>
          <w:u w:val="single"/>
        </w:rPr>
        <w:t xml:space="preserve"> </w:t>
      </w:r>
      <w:r w:rsidRPr="001E05C6">
        <w:rPr>
          <w:rFonts w:ascii="Arial" w:hAnsi="Arial" w:cs="Arial"/>
          <w:b/>
          <w:i/>
          <w:iCs/>
          <w:color w:val="000000"/>
          <w:sz w:val="22"/>
          <w:szCs w:val="22"/>
          <w:u w:val="single"/>
        </w:rPr>
        <w:t>tiene que hacer primar el orden comunitario andino</w:t>
      </w:r>
      <w:r w:rsidRPr="001E05C6">
        <w:rPr>
          <w:rFonts w:ascii="Arial" w:hAnsi="Arial" w:cs="Arial"/>
          <w:i/>
          <w:iCs/>
          <w:color w:val="000000"/>
          <w:sz w:val="22"/>
          <w:szCs w:val="22"/>
        </w:rPr>
        <w:t xml:space="preserve">, lo que implica que debe declarar la nulidad de la sentencia que no cuente con la correspondiente interpretación prejudicial, generando con esto que todos los operadores jurídicos se inserten en el sistema jurídico comunitario de una manera adecuada. </w:t>
      </w:r>
      <w:r w:rsidRPr="001E05C6">
        <w:rPr>
          <w:rFonts w:ascii="Arial" w:hAnsi="Arial" w:cs="Arial"/>
          <w:b/>
          <w:i/>
          <w:iCs/>
          <w:color w:val="000000"/>
          <w:sz w:val="22"/>
          <w:szCs w:val="22"/>
          <w:u w:val="single"/>
        </w:rPr>
        <w:t>Este juez nacional, independientemente de las causales que haya esgrimido el recurrente, está investido de todas las prerrogativas para salvaguardar el orden supranacional comunitario</w:t>
      </w:r>
      <w:r w:rsidRPr="001E05C6">
        <w:rPr>
          <w:rFonts w:ascii="Arial" w:hAnsi="Arial" w:cs="Arial"/>
          <w:i/>
          <w:iCs/>
          <w:color w:val="000000"/>
          <w:sz w:val="22"/>
          <w:szCs w:val="22"/>
        </w:rPr>
        <w:t xml:space="preserve"> y, por lo tanto, su primera función es examinar si el juez de última instancia cumplió con su misión de solicitar la interpretación prejudicial al Tribunal de Justicia de la Comunidad Andina. El juez que conozca un recurso extraordinario siempre debe tener presente que la consulta prejudicial es esencial, básica y angular para el funcionamiento del sistema de integración subregional; por esta razón, se justifica la acción de anular la sentencia que no cuente con este requisito toral.</w:t>
      </w:r>
    </w:p>
    <w:p w:rsidR="00862AA7" w:rsidRPr="001E05C6" w:rsidRDefault="00862AA7" w:rsidP="001E05C6">
      <w:pPr>
        <w:widowControl/>
        <w:shd w:val="clear" w:color="auto" w:fill="FFFFFF"/>
        <w:adjustRightInd/>
        <w:spacing w:line="240" w:lineRule="auto"/>
        <w:ind w:left="1134"/>
        <w:textAlignment w:val="auto"/>
        <w:rPr>
          <w:rFonts w:cs="Arial"/>
          <w:i/>
          <w:color w:val="000000"/>
          <w:sz w:val="22"/>
          <w:szCs w:val="22"/>
        </w:rPr>
      </w:pPr>
    </w:p>
    <w:p w:rsidR="00862AA7" w:rsidRPr="001E05C6" w:rsidRDefault="00862AA7" w:rsidP="001E05C6">
      <w:pPr>
        <w:widowControl/>
        <w:shd w:val="clear" w:color="auto" w:fill="FFFFFF"/>
        <w:adjustRightInd/>
        <w:spacing w:line="240" w:lineRule="auto"/>
        <w:ind w:left="1134"/>
        <w:textAlignment w:val="auto"/>
        <w:rPr>
          <w:rFonts w:cs="Arial"/>
          <w:i/>
          <w:color w:val="000000"/>
          <w:sz w:val="22"/>
          <w:szCs w:val="22"/>
        </w:rPr>
      </w:pPr>
      <w:r w:rsidRPr="001E05C6">
        <w:rPr>
          <w:rFonts w:cs="Arial"/>
          <w:i/>
          <w:iCs/>
          <w:color w:val="000000"/>
          <w:sz w:val="22"/>
          <w:szCs w:val="22"/>
        </w:rPr>
        <w:t xml:space="preserve">También es muy importante tener en cuenta que </w:t>
      </w:r>
      <w:r w:rsidRPr="001E05C6">
        <w:rPr>
          <w:rFonts w:cs="Arial"/>
          <w:b/>
          <w:i/>
          <w:iCs/>
          <w:color w:val="000000"/>
          <w:sz w:val="22"/>
          <w:szCs w:val="22"/>
          <w:u w:val="single"/>
        </w:rPr>
        <w:t>el juez extraordinario debe consultar al Tribunal</w:t>
      </w:r>
      <w:r w:rsidRPr="001E05C6">
        <w:rPr>
          <w:rFonts w:cs="Arial"/>
          <w:i/>
          <w:iCs/>
          <w:color w:val="000000"/>
          <w:sz w:val="22"/>
          <w:szCs w:val="22"/>
        </w:rPr>
        <w:t>, tanto por las normas comunitarias que se refieren a la interpretación prejudicial obligatoria, como por las normas comunitarias alegadas por el recurrente. (…).”</w:t>
      </w:r>
      <w:r w:rsidRPr="001E05C6">
        <w:rPr>
          <w:rFonts w:cs="Arial"/>
          <w:iCs/>
          <w:color w:val="000000"/>
          <w:sz w:val="22"/>
          <w:szCs w:val="22"/>
        </w:rPr>
        <w:t xml:space="preserve"> (Énfasis agregado)</w:t>
      </w:r>
    </w:p>
    <w:p w:rsidR="00862AA7" w:rsidRPr="001E05C6" w:rsidRDefault="00862AA7" w:rsidP="001E05C6">
      <w:pPr>
        <w:widowControl/>
        <w:adjustRightInd/>
        <w:spacing w:line="240" w:lineRule="auto"/>
        <w:textAlignment w:val="auto"/>
        <w:rPr>
          <w:rFonts w:cs="Arial"/>
          <w:sz w:val="22"/>
          <w:szCs w:val="22"/>
        </w:rPr>
      </w:pPr>
    </w:p>
    <w:p w:rsidR="00862AA7" w:rsidRPr="001E05C6" w:rsidRDefault="00862AA7"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 xml:space="preserve">En vista </w:t>
      </w:r>
      <w:r w:rsidR="00B77CCE" w:rsidRPr="001E05C6">
        <w:rPr>
          <w:rFonts w:cs="Arial"/>
          <w:sz w:val="22"/>
          <w:szCs w:val="22"/>
        </w:rPr>
        <w:t>a lo señalado por el TJCA</w:t>
      </w:r>
      <w:r w:rsidRPr="001E05C6">
        <w:rPr>
          <w:rFonts w:cs="Arial"/>
          <w:sz w:val="22"/>
          <w:szCs w:val="22"/>
        </w:rPr>
        <w:t xml:space="preserve">, el juez extraordinario, </w:t>
      </w:r>
      <w:r w:rsidR="00B77CCE" w:rsidRPr="001E05C6">
        <w:rPr>
          <w:rFonts w:cs="Arial"/>
          <w:sz w:val="22"/>
          <w:szCs w:val="22"/>
        </w:rPr>
        <w:t xml:space="preserve">en su calidad de juez nacional, </w:t>
      </w:r>
      <w:r w:rsidRPr="001E05C6">
        <w:rPr>
          <w:rFonts w:cs="Arial"/>
          <w:sz w:val="22"/>
          <w:szCs w:val="22"/>
        </w:rPr>
        <w:t xml:space="preserve">tiene el deber de hacer primar el orden comunitario andino </w:t>
      </w:r>
      <w:r w:rsidR="009F3CB5" w:rsidRPr="001E05C6">
        <w:rPr>
          <w:rFonts w:cs="Arial"/>
          <w:sz w:val="22"/>
          <w:szCs w:val="22"/>
        </w:rPr>
        <w:t>por encima de las limitaciones formales de su normativa interna</w:t>
      </w:r>
      <w:r w:rsidR="00200B03" w:rsidRPr="001E05C6">
        <w:rPr>
          <w:rFonts w:cs="Arial"/>
          <w:sz w:val="22"/>
          <w:szCs w:val="22"/>
        </w:rPr>
        <w:t>,</w:t>
      </w:r>
      <w:r w:rsidR="009F3CB5" w:rsidRPr="001E05C6">
        <w:rPr>
          <w:rFonts w:cs="Arial"/>
          <w:sz w:val="22"/>
          <w:szCs w:val="22"/>
        </w:rPr>
        <w:t xml:space="preserve"> </w:t>
      </w:r>
      <w:r w:rsidR="00B77CCE" w:rsidRPr="001E05C6">
        <w:rPr>
          <w:rFonts w:cs="Arial"/>
          <w:sz w:val="22"/>
          <w:szCs w:val="22"/>
        </w:rPr>
        <w:t xml:space="preserve">por tanto, </w:t>
      </w:r>
      <w:r w:rsidR="00FF354F" w:rsidRPr="001E05C6">
        <w:rPr>
          <w:rFonts w:cs="Arial"/>
          <w:sz w:val="22"/>
          <w:szCs w:val="22"/>
        </w:rPr>
        <w:t xml:space="preserve">dicho juez </w:t>
      </w:r>
      <w:r w:rsidRPr="001E05C6">
        <w:rPr>
          <w:rFonts w:cs="Arial"/>
          <w:sz w:val="22"/>
          <w:szCs w:val="22"/>
        </w:rPr>
        <w:t>debe solicitar interpretación prejudicial al TJCA</w:t>
      </w:r>
      <w:r w:rsidR="00847FA9" w:rsidRPr="001E05C6">
        <w:rPr>
          <w:rFonts w:cs="Arial"/>
          <w:sz w:val="22"/>
          <w:szCs w:val="22"/>
        </w:rPr>
        <w:t xml:space="preserve"> cuando corresponda. </w:t>
      </w:r>
    </w:p>
    <w:p w:rsidR="00847FA9" w:rsidRPr="001E05C6" w:rsidRDefault="00847FA9" w:rsidP="001E05C6">
      <w:pPr>
        <w:pStyle w:val="Prrafodelista"/>
        <w:widowControl/>
        <w:adjustRightInd/>
        <w:spacing w:line="240" w:lineRule="auto"/>
        <w:ind w:left="-12"/>
        <w:contextualSpacing w:val="0"/>
        <w:textAlignment w:val="auto"/>
        <w:rPr>
          <w:rFonts w:cs="Arial"/>
          <w:sz w:val="22"/>
          <w:szCs w:val="22"/>
        </w:rPr>
      </w:pPr>
    </w:p>
    <w:p w:rsidR="00EB7431" w:rsidRPr="001E05C6" w:rsidRDefault="00B77CCE"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Ahora bien</w:t>
      </w:r>
      <w:r w:rsidR="00FD3E11" w:rsidRPr="001E05C6">
        <w:rPr>
          <w:rFonts w:cs="Arial"/>
          <w:sz w:val="22"/>
          <w:szCs w:val="22"/>
        </w:rPr>
        <w:t>,</w:t>
      </w:r>
      <w:r w:rsidR="00847FA9" w:rsidRPr="001E05C6">
        <w:rPr>
          <w:rFonts w:cs="Arial"/>
          <w:sz w:val="22"/>
          <w:szCs w:val="22"/>
        </w:rPr>
        <w:t xml:space="preserve"> de acuerdo con lo expuesto por </w:t>
      </w:r>
      <w:r w:rsidR="007E5DC1" w:rsidRPr="001E05C6">
        <w:rPr>
          <w:rFonts w:cs="Arial"/>
          <w:sz w:val="22"/>
          <w:szCs w:val="22"/>
        </w:rPr>
        <w:t xml:space="preserve">el TJCA en el Proceso 01-AI-2015, </w:t>
      </w:r>
      <w:r w:rsidR="00847FA9" w:rsidRPr="001E05C6">
        <w:rPr>
          <w:rFonts w:cs="Arial"/>
          <w:sz w:val="22"/>
          <w:szCs w:val="22"/>
        </w:rPr>
        <w:t xml:space="preserve">a fin de conocer con certeza si </w:t>
      </w:r>
      <w:r w:rsidR="00847FA9" w:rsidRPr="001E05C6">
        <w:rPr>
          <w:rFonts w:cs="Arial"/>
          <w:bCs/>
          <w:color w:val="000000"/>
          <w:sz w:val="22"/>
          <w:szCs w:val="22"/>
        </w:rPr>
        <w:t xml:space="preserve">un </w:t>
      </w:r>
      <w:r w:rsidRPr="001E05C6">
        <w:rPr>
          <w:rFonts w:cs="Arial"/>
          <w:bCs/>
          <w:color w:val="000000"/>
          <w:sz w:val="22"/>
          <w:szCs w:val="22"/>
        </w:rPr>
        <w:t>j</w:t>
      </w:r>
      <w:r w:rsidR="00847FA9" w:rsidRPr="001E05C6">
        <w:rPr>
          <w:rFonts w:cs="Arial"/>
          <w:bCs/>
          <w:color w:val="000000"/>
          <w:sz w:val="22"/>
          <w:szCs w:val="22"/>
        </w:rPr>
        <w:t xml:space="preserve">uez nacional está obligado a solicitar la interpretación prejudicial, deben </w:t>
      </w:r>
      <w:r w:rsidR="00EB7431" w:rsidRPr="001E05C6">
        <w:rPr>
          <w:rFonts w:cs="Arial"/>
          <w:sz w:val="22"/>
          <w:szCs w:val="22"/>
        </w:rPr>
        <w:t>observar</w:t>
      </w:r>
      <w:r w:rsidR="007E5DC1" w:rsidRPr="001E05C6">
        <w:rPr>
          <w:rFonts w:cs="Arial"/>
          <w:sz w:val="22"/>
          <w:szCs w:val="22"/>
        </w:rPr>
        <w:t>se</w:t>
      </w:r>
      <w:r w:rsidR="00847FA9" w:rsidRPr="001E05C6">
        <w:rPr>
          <w:rFonts w:cs="Arial"/>
          <w:sz w:val="22"/>
          <w:szCs w:val="22"/>
        </w:rPr>
        <w:t xml:space="preserve"> los siguientes parámetros:</w:t>
      </w:r>
    </w:p>
    <w:p w:rsidR="00EB7431" w:rsidRPr="001E05C6" w:rsidRDefault="00EB7431" w:rsidP="001E05C6">
      <w:pPr>
        <w:widowControl/>
        <w:adjustRightInd/>
        <w:spacing w:line="240" w:lineRule="auto"/>
        <w:ind w:left="1134"/>
        <w:textAlignment w:val="auto"/>
        <w:rPr>
          <w:rFonts w:cs="Arial"/>
          <w:bCs/>
          <w:i/>
          <w:color w:val="000000"/>
          <w:sz w:val="22"/>
          <w:szCs w:val="22"/>
        </w:rPr>
      </w:pPr>
    </w:p>
    <w:p w:rsidR="00EB7431" w:rsidRPr="001E05C6" w:rsidRDefault="00EB7431" w:rsidP="001E05C6">
      <w:pPr>
        <w:pStyle w:val="Prrafodelista"/>
        <w:widowControl/>
        <w:numPr>
          <w:ilvl w:val="0"/>
          <w:numId w:val="42"/>
        </w:numPr>
        <w:adjustRightInd/>
        <w:spacing w:line="240" w:lineRule="auto"/>
        <w:ind w:left="426" w:hanging="426"/>
        <w:textAlignment w:val="auto"/>
        <w:rPr>
          <w:rFonts w:cs="Arial"/>
          <w:bCs/>
          <w:color w:val="000000"/>
          <w:sz w:val="22"/>
          <w:szCs w:val="22"/>
        </w:rPr>
      </w:pPr>
      <w:r w:rsidRPr="001E05C6">
        <w:rPr>
          <w:rFonts w:cs="Arial"/>
          <w:bCs/>
          <w:color w:val="000000"/>
          <w:sz w:val="22"/>
          <w:szCs w:val="22"/>
        </w:rPr>
        <w:t>Que cualquiera de las partes en el proceso nacional haya invocado una norma andina como sustento de sus alegaciones o que cualquier de las partes en el proceso nacional controvierta la interpretación o aplicación de dicha norma andina, o de otras normas andinas, como sustento de sus alegaciones.</w:t>
      </w:r>
    </w:p>
    <w:p w:rsidR="00EB7431" w:rsidRPr="001E05C6" w:rsidRDefault="00EB7431" w:rsidP="001E05C6">
      <w:pPr>
        <w:pStyle w:val="Prrafodelista"/>
        <w:widowControl/>
        <w:adjustRightInd/>
        <w:spacing w:line="240" w:lineRule="auto"/>
        <w:ind w:left="426" w:hanging="426"/>
        <w:textAlignment w:val="auto"/>
        <w:rPr>
          <w:rFonts w:cs="Arial"/>
          <w:bCs/>
          <w:color w:val="000000"/>
          <w:sz w:val="22"/>
          <w:szCs w:val="22"/>
        </w:rPr>
      </w:pPr>
    </w:p>
    <w:p w:rsidR="007E5DC1" w:rsidRPr="001E05C6" w:rsidRDefault="00EB7431" w:rsidP="001E05C6">
      <w:pPr>
        <w:pStyle w:val="Prrafodelista"/>
        <w:widowControl/>
        <w:numPr>
          <w:ilvl w:val="0"/>
          <w:numId w:val="42"/>
        </w:numPr>
        <w:adjustRightInd/>
        <w:spacing w:line="240" w:lineRule="auto"/>
        <w:ind w:left="426" w:hanging="426"/>
        <w:textAlignment w:val="auto"/>
        <w:rPr>
          <w:rFonts w:cs="Arial"/>
          <w:bCs/>
          <w:color w:val="000000"/>
          <w:sz w:val="22"/>
          <w:szCs w:val="22"/>
        </w:rPr>
      </w:pPr>
      <w:r w:rsidRPr="001E05C6">
        <w:rPr>
          <w:rFonts w:cs="Arial"/>
          <w:bCs/>
          <w:color w:val="000000"/>
          <w:sz w:val="22"/>
          <w:szCs w:val="22"/>
        </w:rPr>
        <w:lastRenderedPageBreak/>
        <w:t>Que el juez nacional que va a resolver la causa necesariamente tenga que aplicar una norma andina para fallar el asunto, más allá de si fue o no invocada o controvertida por cualquiera de las partes.</w:t>
      </w:r>
      <w:r w:rsidRPr="001E05C6">
        <w:rPr>
          <w:rStyle w:val="Refdenotaalpie"/>
          <w:rFonts w:cs="Arial"/>
          <w:bCs/>
          <w:color w:val="000000"/>
          <w:sz w:val="22"/>
          <w:szCs w:val="22"/>
        </w:rPr>
        <w:t xml:space="preserve"> </w:t>
      </w:r>
    </w:p>
    <w:p w:rsidR="007E5DC1" w:rsidRPr="001E05C6" w:rsidRDefault="007E5DC1" w:rsidP="001E05C6">
      <w:pPr>
        <w:pStyle w:val="Prrafodelista"/>
        <w:widowControl/>
        <w:adjustRightInd/>
        <w:spacing w:line="240" w:lineRule="auto"/>
        <w:ind w:left="-12"/>
        <w:contextualSpacing w:val="0"/>
        <w:textAlignment w:val="auto"/>
        <w:rPr>
          <w:rFonts w:cs="Arial"/>
          <w:i/>
          <w:sz w:val="22"/>
          <w:szCs w:val="22"/>
        </w:rPr>
      </w:pPr>
    </w:p>
    <w:p w:rsidR="00B77CCE" w:rsidRPr="001E05C6" w:rsidRDefault="00B77CCE"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Cabe mencionar que dichos parámetros no son concurrentes, pero el último será necesario para establecer la obligatoriedad de la solicitud de interpretación prejudicial.</w:t>
      </w:r>
    </w:p>
    <w:p w:rsidR="00B77CCE" w:rsidRPr="001E05C6" w:rsidRDefault="00B77CCE" w:rsidP="001E05C6">
      <w:pPr>
        <w:pStyle w:val="Prrafodelista"/>
        <w:widowControl/>
        <w:adjustRightInd/>
        <w:spacing w:line="240" w:lineRule="auto"/>
        <w:ind w:left="-12"/>
        <w:contextualSpacing w:val="0"/>
        <w:textAlignment w:val="auto"/>
        <w:rPr>
          <w:rFonts w:cs="Arial"/>
          <w:sz w:val="22"/>
          <w:szCs w:val="22"/>
        </w:rPr>
      </w:pPr>
    </w:p>
    <w:p w:rsidR="00970AB1" w:rsidRPr="001E05C6" w:rsidRDefault="00B77CCE"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T</w:t>
      </w:r>
      <w:r w:rsidR="00970AB1" w:rsidRPr="001E05C6">
        <w:rPr>
          <w:rFonts w:cs="Arial"/>
          <w:sz w:val="22"/>
          <w:szCs w:val="22"/>
        </w:rPr>
        <w:t xml:space="preserve">omando en consideración </w:t>
      </w:r>
      <w:r w:rsidRPr="001E05C6">
        <w:rPr>
          <w:rFonts w:cs="Arial"/>
          <w:sz w:val="22"/>
          <w:szCs w:val="22"/>
        </w:rPr>
        <w:t>los referidos parámetros</w:t>
      </w:r>
      <w:r w:rsidR="00847FA9" w:rsidRPr="001E05C6">
        <w:rPr>
          <w:rFonts w:cs="Arial"/>
          <w:sz w:val="22"/>
          <w:szCs w:val="22"/>
        </w:rPr>
        <w:t xml:space="preserve">, en las siguientes líneas se verifica </w:t>
      </w:r>
      <w:r w:rsidR="00970AB1" w:rsidRPr="001E05C6">
        <w:rPr>
          <w:rFonts w:cs="Arial"/>
          <w:sz w:val="22"/>
          <w:szCs w:val="22"/>
        </w:rPr>
        <w:t xml:space="preserve">si la Sala de Derecho Constitucional y Social </w:t>
      </w:r>
      <w:r w:rsidRPr="001E05C6">
        <w:rPr>
          <w:rFonts w:cs="Arial"/>
          <w:sz w:val="22"/>
          <w:szCs w:val="22"/>
        </w:rPr>
        <w:t>Transitoria</w:t>
      </w:r>
      <w:r w:rsidR="00970AB1" w:rsidRPr="001E05C6">
        <w:rPr>
          <w:rFonts w:cs="Arial"/>
          <w:sz w:val="22"/>
          <w:szCs w:val="22"/>
        </w:rPr>
        <w:t xml:space="preserve"> de la Corte Suprema de Justicia de la República de Perú se encontraba</w:t>
      </w:r>
      <w:r w:rsidR="00200B03" w:rsidRPr="001E05C6">
        <w:rPr>
          <w:rFonts w:cs="Arial"/>
          <w:sz w:val="22"/>
          <w:szCs w:val="22"/>
        </w:rPr>
        <w:t xml:space="preserve"> o no</w:t>
      </w:r>
      <w:r w:rsidR="00970AB1" w:rsidRPr="001E05C6">
        <w:rPr>
          <w:rFonts w:cs="Arial"/>
          <w:sz w:val="22"/>
          <w:szCs w:val="22"/>
        </w:rPr>
        <w:t xml:space="preserve"> obligada a </w:t>
      </w:r>
      <w:r w:rsidR="00970AB1" w:rsidRPr="001E05C6">
        <w:rPr>
          <w:rFonts w:cs="Arial"/>
          <w:bCs/>
          <w:color w:val="000000"/>
          <w:sz w:val="22"/>
          <w:szCs w:val="22"/>
        </w:rPr>
        <w:t>solicitar la interpretación prejudicial</w:t>
      </w:r>
      <w:r w:rsidR="00B93875" w:rsidRPr="001E05C6">
        <w:rPr>
          <w:rFonts w:cs="Arial"/>
          <w:bCs/>
          <w:color w:val="000000"/>
          <w:sz w:val="22"/>
          <w:szCs w:val="22"/>
        </w:rPr>
        <w:t xml:space="preserve"> al TJCA.</w:t>
      </w:r>
    </w:p>
    <w:p w:rsidR="00EB7431" w:rsidRPr="001E05C6" w:rsidRDefault="00EB7431" w:rsidP="001E05C6">
      <w:pPr>
        <w:widowControl/>
        <w:adjustRightInd/>
        <w:spacing w:line="240" w:lineRule="auto"/>
        <w:textAlignment w:val="auto"/>
        <w:rPr>
          <w:rFonts w:cs="Arial"/>
          <w:b/>
          <w:sz w:val="22"/>
          <w:szCs w:val="22"/>
        </w:rPr>
      </w:pPr>
    </w:p>
    <w:p w:rsidR="00CA61DA" w:rsidRPr="001E05C6" w:rsidRDefault="00D6170A" w:rsidP="001E05C6">
      <w:pPr>
        <w:pStyle w:val="Prrafodelista"/>
        <w:widowControl/>
        <w:adjustRightInd/>
        <w:spacing w:line="240" w:lineRule="auto"/>
        <w:ind w:left="1276" w:hanging="567"/>
        <w:contextualSpacing w:val="0"/>
        <w:textAlignment w:val="auto"/>
        <w:rPr>
          <w:rFonts w:cs="Arial"/>
          <w:b/>
          <w:sz w:val="22"/>
          <w:szCs w:val="22"/>
        </w:rPr>
      </w:pPr>
      <w:r w:rsidRPr="001E05C6">
        <w:rPr>
          <w:rFonts w:cs="Arial"/>
          <w:b/>
          <w:sz w:val="22"/>
          <w:szCs w:val="22"/>
        </w:rPr>
        <w:t xml:space="preserve">(i) </w:t>
      </w:r>
      <w:r w:rsidRPr="001E05C6">
        <w:rPr>
          <w:rFonts w:cs="Arial"/>
          <w:b/>
          <w:sz w:val="22"/>
          <w:szCs w:val="22"/>
        </w:rPr>
        <w:tab/>
      </w:r>
      <w:r w:rsidR="005C3A17" w:rsidRPr="001E05C6">
        <w:rPr>
          <w:rFonts w:cs="Arial"/>
          <w:b/>
          <w:i/>
          <w:sz w:val="22"/>
          <w:szCs w:val="22"/>
        </w:rPr>
        <w:t xml:space="preserve">Respecto a que </w:t>
      </w:r>
      <w:r w:rsidR="005C3A17" w:rsidRPr="001E05C6">
        <w:rPr>
          <w:rFonts w:cs="Arial"/>
          <w:b/>
          <w:bCs/>
          <w:i/>
          <w:color w:val="000000"/>
          <w:sz w:val="22"/>
          <w:szCs w:val="22"/>
        </w:rPr>
        <w:t>cualquiera de las partes en el proceso nacional haya invocado una norma andina co</w:t>
      </w:r>
      <w:r w:rsidR="00CA61DA" w:rsidRPr="001E05C6">
        <w:rPr>
          <w:rFonts w:cs="Arial"/>
          <w:b/>
          <w:bCs/>
          <w:i/>
          <w:color w:val="000000"/>
          <w:sz w:val="22"/>
          <w:szCs w:val="22"/>
        </w:rPr>
        <w:t xml:space="preserve">mo sustento de sus alegaciones, o que se haya </w:t>
      </w:r>
      <w:r w:rsidR="00CA61DA" w:rsidRPr="001E05C6">
        <w:rPr>
          <w:rFonts w:cs="Arial"/>
          <w:b/>
          <w:i/>
          <w:sz w:val="22"/>
          <w:szCs w:val="22"/>
        </w:rPr>
        <w:t>controvertido la interpretación o aplicación de una norma andina como sustento de las alegaciones de las partes</w:t>
      </w:r>
      <w:r w:rsidR="00CA61DA" w:rsidRPr="001E05C6">
        <w:rPr>
          <w:rFonts w:cs="Arial"/>
          <w:b/>
          <w:sz w:val="22"/>
          <w:szCs w:val="22"/>
        </w:rPr>
        <w:t>:</w:t>
      </w:r>
    </w:p>
    <w:p w:rsidR="001922D2" w:rsidRPr="001E05C6" w:rsidRDefault="001922D2" w:rsidP="001E05C6">
      <w:pPr>
        <w:widowControl/>
        <w:adjustRightInd/>
        <w:spacing w:line="240" w:lineRule="auto"/>
        <w:textAlignment w:val="auto"/>
        <w:rPr>
          <w:rFonts w:cs="Arial"/>
          <w:sz w:val="22"/>
          <w:szCs w:val="22"/>
        </w:rPr>
      </w:pPr>
    </w:p>
    <w:p w:rsidR="00D6170A" w:rsidRPr="001E05C6" w:rsidRDefault="005F7C0C"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Sobre el particular, no obra en el Expediente prueba alguna que permita verificar que la reclamante haya fundamentado sus escritos durante la etapa administrativa o judicial</w:t>
      </w:r>
      <w:r w:rsidR="00E0215B" w:rsidRPr="001E05C6">
        <w:rPr>
          <w:rFonts w:cs="Arial"/>
          <w:sz w:val="22"/>
          <w:szCs w:val="22"/>
        </w:rPr>
        <w:t xml:space="preserve"> en</w:t>
      </w:r>
      <w:r w:rsidRPr="001E05C6">
        <w:rPr>
          <w:rFonts w:cs="Arial"/>
          <w:sz w:val="22"/>
          <w:szCs w:val="22"/>
        </w:rPr>
        <w:t xml:space="preserve"> una posible indebida aplicación, falta de aplicación o errónea interpretación de normas del ordenamiento jurídico de la Comunidad Andina.</w:t>
      </w:r>
    </w:p>
    <w:p w:rsidR="00D6170A" w:rsidRPr="001E05C6" w:rsidRDefault="00D6170A" w:rsidP="001E05C6">
      <w:pPr>
        <w:pStyle w:val="Prrafodelista"/>
        <w:widowControl/>
        <w:adjustRightInd/>
        <w:spacing w:line="240" w:lineRule="auto"/>
        <w:ind w:left="-12"/>
        <w:contextualSpacing w:val="0"/>
        <w:textAlignment w:val="auto"/>
        <w:rPr>
          <w:rFonts w:cs="Arial"/>
          <w:sz w:val="22"/>
          <w:szCs w:val="22"/>
        </w:rPr>
      </w:pPr>
    </w:p>
    <w:p w:rsidR="000C1FE8" w:rsidRPr="001E05C6" w:rsidRDefault="005F7C0C"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Por el contrario, a</w:t>
      </w:r>
      <w:r w:rsidR="000C1FE8" w:rsidRPr="001E05C6">
        <w:rPr>
          <w:rFonts w:cs="Arial"/>
          <w:sz w:val="22"/>
          <w:szCs w:val="22"/>
        </w:rPr>
        <w:t xml:space="preserve"> partir de la revisión de la Resolución No. 3 SCST de fecha 23 de abril de 2018, </w:t>
      </w:r>
      <w:r w:rsidR="006317CB" w:rsidRPr="001E05C6">
        <w:rPr>
          <w:rFonts w:cs="Arial"/>
          <w:sz w:val="22"/>
          <w:szCs w:val="22"/>
        </w:rPr>
        <w:t xml:space="preserve">de la Tercera Sala de Derecho Constitucional y Social Transitoria de la Corte Suprema de la República del Perú, </w:t>
      </w:r>
      <w:r w:rsidR="000C1FE8" w:rsidRPr="001E05C6">
        <w:rPr>
          <w:rFonts w:cs="Arial"/>
          <w:sz w:val="22"/>
          <w:szCs w:val="22"/>
        </w:rPr>
        <w:t>presentada como medio probatorio por la reclamante</w:t>
      </w:r>
      <w:r w:rsidR="00B62887" w:rsidRPr="001E05C6">
        <w:rPr>
          <w:rStyle w:val="Refdenotaalpie"/>
          <w:rFonts w:cs="Arial"/>
          <w:sz w:val="22"/>
          <w:szCs w:val="22"/>
        </w:rPr>
        <w:footnoteReference w:id="42"/>
      </w:r>
      <w:r w:rsidR="00B62887" w:rsidRPr="001E05C6">
        <w:rPr>
          <w:rFonts w:cs="Arial"/>
          <w:sz w:val="22"/>
          <w:szCs w:val="22"/>
        </w:rPr>
        <w:t xml:space="preserve">, se observa que </w:t>
      </w:r>
      <w:r w:rsidR="00CC52BA" w:rsidRPr="001E05C6">
        <w:rPr>
          <w:rFonts w:cs="Arial"/>
          <w:sz w:val="22"/>
          <w:szCs w:val="22"/>
        </w:rPr>
        <w:t xml:space="preserve">dicha </w:t>
      </w:r>
      <w:r w:rsidR="000C1FE8" w:rsidRPr="001E05C6">
        <w:rPr>
          <w:rFonts w:cs="Arial"/>
          <w:sz w:val="22"/>
          <w:szCs w:val="22"/>
        </w:rPr>
        <w:t>Sala indicó lo siguiente:</w:t>
      </w:r>
    </w:p>
    <w:p w:rsidR="000C1FE8" w:rsidRPr="001E05C6" w:rsidRDefault="000C1FE8" w:rsidP="001E05C6">
      <w:pPr>
        <w:widowControl/>
        <w:adjustRightInd/>
        <w:spacing w:line="240" w:lineRule="auto"/>
        <w:textAlignment w:val="auto"/>
        <w:rPr>
          <w:rFonts w:cs="Arial"/>
          <w:sz w:val="22"/>
          <w:szCs w:val="22"/>
        </w:rPr>
      </w:pPr>
    </w:p>
    <w:p w:rsidR="005F7C0C" w:rsidRPr="001E05C6" w:rsidRDefault="000C1FE8" w:rsidP="001E05C6">
      <w:pPr>
        <w:widowControl/>
        <w:adjustRightInd/>
        <w:spacing w:line="240" w:lineRule="auto"/>
        <w:ind w:left="1134"/>
        <w:textAlignment w:val="auto"/>
        <w:rPr>
          <w:rFonts w:cs="Arial"/>
          <w:i/>
          <w:sz w:val="22"/>
          <w:szCs w:val="22"/>
        </w:rPr>
      </w:pPr>
      <w:r w:rsidRPr="001E05C6">
        <w:rPr>
          <w:rFonts w:cs="Arial"/>
          <w:i/>
          <w:sz w:val="22"/>
          <w:szCs w:val="22"/>
        </w:rPr>
        <w:t xml:space="preserve">“CUARTO.- evaluando el pedido de remitir los autos al Tribunal de Justicia de la Comunidad Andina, se advierte de la revisión de los autos, </w:t>
      </w:r>
      <w:r w:rsidRPr="001E05C6">
        <w:rPr>
          <w:rFonts w:cs="Arial"/>
          <w:b/>
          <w:i/>
          <w:sz w:val="22"/>
          <w:szCs w:val="22"/>
          <w:u w:val="single"/>
        </w:rPr>
        <w:t>que ninguna de las partes ha denunciado normas relacionadas a la comunidad andina, ni durante la etapa administrativa, ni durante la etapa judicial</w:t>
      </w:r>
      <w:r w:rsidRPr="001E05C6">
        <w:rPr>
          <w:rFonts w:cs="Arial"/>
          <w:i/>
          <w:sz w:val="22"/>
          <w:szCs w:val="22"/>
        </w:rPr>
        <w:t xml:space="preserve">, tanto en primera como en segunda instancia, </w:t>
      </w:r>
      <w:r w:rsidRPr="001E05C6">
        <w:rPr>
          <w:rFonts w:cs="Arial"/>
          <w:b/>
          <w:i/>
          <w:sz w:val="22"/>
          <w:szCs w:val="22"/>
          <w:u w:val="single"/>
        </w:rPr>
        <w:t>no se han invocado en el petitorio o durante la tramitación de los procesos, normas que merezcan interpretación</w:t>
      </w:r>
      <w:r w:rsidRPr="001E05C6">
        <w:rPr>
          <w:rFonts w:cs="Arial"/>
          <w:i/>
          <w:sz w:val="22"/>
          <w:szCs w:val="22"/>
        </w:rPr>
        <w:t xml:space="preserve"> alguna por este Tribunal de Justicia, por lo tanto no corresponde la suspensión ni remisión de los autos, tal como solicita el recurrente.”</w:t>
      </w:r>
      <w:r w:rsidR="00B62887" w:rsidRPr="001E05C6">
        <w:rPr>
          <w:rFonts w:cs="Arial"/>
          <w:i/>
          <w:sz w:val="22"/>
          <w:szCs w:val="22"/>
        </w:rPr>
        <w:t xml:space="preserve"> </w:t>
      </w:r>
      <w:r w:rsidR="00B62887" w:rsidRPr="001E05C6">
        <w:rPr>
          <w:rFonts w:cs="Arial"/>
          <w:sz w:val="22"/>
          <w:szCs w:val="22"/>
        </w:rPr>
        <w:t>(Énfasis agregado)</w:t>
      </w:r>
    </w:p>
    <w:p w:rsidR="005F7C0C" w:rsidRPr="001E05C6" w:rsidRDefault="005F7C0C" w:rsidP="001E05C6">
      <w:pPr>
        <w:widowControl/>
        <w:adjustRightInd/>
        <w:spacing w:line="240" w:lineRule="auto"/>
        <w:ind w:left="1134"/>
        <w:textAlignment w:val="auto"/>
        <w:rPr>
          <w:rFonts w:cs="Arial"/>
          <w:i/>
          <w:sz w:val="22"/>
          <w:szCs w:val="22"/>
        </w:rPr>
      </w:pPr>
    </w:p>
    <w:p w:rsidR="00B27E21" w:rsidRPr="001E05C6" w:rsidRDefault="006D5841"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En ese sentido</w:t>
      </w:r>
      <w:r w:rsidR="00B62887" w:rsidRPr="001E05C6">
        <w:rPr>
          <w:rFonts w:cs="Arial"/>
          <w:sz w:val="22"/>
          <w:szCs w:val="22"/>
        </w:rPr>
        <w:t>, esta Secretaría</w:t>
      </w:r>
      <w:r w:rsidR="00CC52BA" w:rsidRPr="001E05C6">
        <w:rPr>
          <w:rFonts w:cs="Arial"/>
          <w:sz w:val="22"/>
          <w:szCs w:val="22"/>
        </w:rPr>
        <w:t xml:space="preserve"> General </w:t>
      </w:r>
      <w:r w:rsidR="00B62887" w:rsidRPr="001E05C6">
        <w:rPr>
          <w:rFonts w:cs="Arial"/>
          <w:sz w:val="22"/>
          <w:szCs w:val="22"/>
        </w:rPr>
        <w:t xml:space="preserve">entiende que </w:t>
      </w:r>
      <w:r w:rsidR="00E806FF" w:rsidRPr="001E05C6">
        <w:rPr>
          <w:rFonts w:cs="Arial"/>
          <w:sz w:val="22"/>
          <w:szCs w:val="22"/>
        </w:rPr>
        <w:t>las</w:t>
      </w:r>
      <w:r w:rsidR="00E0215B" w:rsidRPr="001E05C6">
        <w:rPr>
          <w:rFonts w:cs="Arial"/>
          <w:sz w:val="22"/>
          <w:szCs w:val="22"/>
        </w:rPr>
        <w:t xml:space="preserve"> disposiciones contenidas en las</w:t>
      </w:r>
      <w:r w:rsidR="00E806FF" w:rsidRPr="001E05C6">
        <w:rPr>
          <w:rFonts w:cs="Arial"/>
          <w:sz w:val="22"/>
          <w:szCs w:val="22"/>
        </w:rPr>
        <w:t xml:space="preserve"> Decisiones 462 y 707 </w:t>
      </w:r>
      <w:r w:rsidR="005773B0" w:rsidRPr="001E05C6">
        <w:rPr>
          <w:rFonts w:cs="Arial"/>
          <w:sz w:val="22"/>
          <w:szCs w:val="22"/>
        </w:rPr>
        <w:t xml:space="preserve">recién </w:t>
      </w:r>
      <w:r w:rsidR="00E806FF" w:rsidRPr="001E05C6">
        <w:rPr>
          <w:rFonts w:cs="Arial"/>
          <w:sz w:val="22"/>
          <w:szCs w:val="22"/>
        </w:rPr>
        <w:t>fueron invocadas con la solicitud de interpretación prejudicial</w:t>
      </w:r>
      <w:r w:rsidR="005773B0" w:rsidRPr="001E05C6">
        <w:rPr>
          <w:rFonts w:cs="Arial"/>
          <w:sz w:val="22"/>
          <w:szCs w:val="22"/>
        </w:rPr>
        <w:t xml:space="preserve"> de fecha </w:t>
      </w:r>
      <w:r w:rsidR="005773B0" w:rsidRPr="001E05C6">
        <w:rPr>
          <w:rFonts w:cs="Arial"/>
          <w:sz w:val="22"/>
          <w:szCs w:val="22"/>
          <w:u w:val="single"/>
        </w:rPr>
        <w:t>4 y 16 de abril de 2018</w:t>
      </w:r>
      <w:r w:rsidRPr="001E05C6">
        <w:rPr>
          <w:rStyle w:val="Refdenotaalpie"/>
          <w:rFonts w:cs="Arial"/>
          <w:sz w:val="22"/>
          <w:szCs w:val="22"/>
        </w:rPr>
        <w:footnoteReference w:id="43"/>
      </w:r>
      <w:r w:rsidR="00F93A80" w:rsidRPr="001E05C6">
        <w:rPr>
          <w:rFonts w:cs="Arial"/>
          <w:sz w:val="22"/>
          <w:szCs w:val="22"/>
        </w:rPr>
        <w:t>,</w:t>
      </w:r>
      <w:r w:rsidR="00E806FF" w:rsidRPr="001E05C6">
        <w:rPr>
          <w:rFonts w:cs="Arial"/>
          <w:sz w:val="22"/>
          <w:szCs w:val="22"/>
        </w:rPr>
        <w:t xml:space="preserve"> </w:t>
      </w:r>
      <w:r w:rsidR="00CC52BA" w:rsidRPr="001E05C6">
        <w:rPr>
          <w:rFonts w:cs="Arial"/>
          <w:sz w:val="22"/>
          <w:szCs w:val="22"/>
        </w:rPr>
        <w:t xml:space="preserve">esto es </w:t>
      </w:r>
      <w:r w:rsidR="00E806FF" w:rsidRPr="001E05C6">
        <w:rPr>
          <w:rFonts w:cs="Arial"/>
          <w:sz w:val="22"/>
          <w:szCs w:val="22"/>
        </w:rPr>
        <w:t>presentada</w:t>
      </w:r>
      <w:r w:rsidR="00B62887" w:rsidRPr="001E05C6">
        <w:rPr>
          <w:rFonts w:cs="Arial"/>
          <w:sz w:val="22"/>
          <w:szCs w:val="22"/>
        </w:rPr>
        <w:t xml:space="preserve"> con posterioridad a la adopción de la Sentencia de Casación</w:t>
      </w:r>
      <w:r w:rsidR="005773B0" w:rsidRPr="001E05C6">
        <w:rPr>
          <w:rFonts w:cs="Arial"/>
          <w:sz w:val="22"/>
          <w:szCs w:val="22"/>
        </w:rPr>
        <w:t xml:space="preserve"> del </w:t>
      </w:r>
      <w:r w:rsidR="005773B0" w:rsidRPr="001E05C6">
        <w:rPr>
          <w:rFonts w:cs="Arial"/>
          <w:sz w:val="22"/>
          <w:szCs w:val="22"/>
          <w:u w:val="single"/>
        </w:rPr>
        <w:t>27 de setiembre de 2017 materia de cuestionamiento,</w:t>
      </w:r>
      <w:r w:rsidR="00B62887" w:rsidRPr="001E05C6">
        <w:rPr>
          <w:rFonts w:cs="Arial"/>
          <w:sz w:val="22"/>
          <w:szCs w:val="22"/>
        </w:rPr>
        <w:t xml:space="preserve"> </w:t>
      </w:r>
      <w:r w:rsidR="00225694" w:rsidRPr="001E05C6">
        <w:rPr>
          <w:rFonts w:cs="Arial"/>
          <w:sz w:val="22"/>
          <w:szCs w:val="22"/>
        </w:rPr>
        <w:t>(</w:t>
      </w:r>
      <w:r w:rsidR="006C0A88" w:rsidRPr="001E05C6">
        <w:rPr>
          <w:rFonts w:cs="Arial"/>
          <w:sz w:val="22"/>
          <w:szCs w:val="22"/>
        </w:rPr>
        <w:t>La Tercera Sala de Derecho Constitucional y Social Transitoria señala en las Resoluciones N°- 3 SCST de 23 de abril de 2018 y S/N – 3 SCST de 8 de mayo de 2018,</w:t>
      </w:r>
      <w:r w:rsidR="00070446" w:rsidRPr="001E05C6">
        <w:rPr>
          <w:rFonts w:cs="Arial"/>
          <w:sz w:val="22"/>
          <w:szCs w:val="22"/>
        </w:rPr>
        <w:t xml:space="preserve"> medio probatorio presentado por la reclamante</w:t>
      </w:r>
      <w:r w:rsidR="00070446" w:rsidRPr="001E05C6">
        <w:rPr>
          <w:rStyle w:val="Refdenotaalpie"/>
          <w:rFonts w:cs="Arial"/>
          <w:sz w:val="22"/>
          <w:szCs w:val="22"/>
        </w:rPr>
        <w:footnoteReference w:id="44"/>
      </w:r>
      <w:r w:rsidR="00070446" w:rsidRPr="001E05C6">
        <w:rPr>
          <w:rFonts w:cs="Arial"/>
          <w:sz w:val="22"/>
          <w:szCs w:val="22"/>
        </w:rPr>
        <w:t>,</w:t>
      </w:r>
      <w:r w:rsidR="006C0A88" w:rsidRPr="001E05C6">
        <w:rPr>
          <w:rFonts w:cs="Arial"/>
          <w:sz w:val="22"/>
          <w:szCs w:val="22"/>
        </w:rPr>
        <w:t xml:space="preserve"> que </w:t>
      </w:r>
      <w:r w:rsidR="006C0A88" w:rsidRPr="001E05C6">
        <w:rPr>
          <w:rFonts w:cs="Arial"/>
          <w:sz w:val="22"/>
          <w:szCs w:val="22"/>
          <w:u w:val="single"/>
        </w:rPr>
        <w:t xml:space="preserve">el proceso se encuentra resuelto desde la fecha </w:t>
      </w:r>
      <w:r w:rsidR="00D85484" w:rsidRPr="001E05C6">
        <w:rPr>
          <w:rFonts w:cs="Arial"/>
          <w:sz w:val="22"/>
          <w:szCs w:val="22"/>
          <w:u w:val="single"/>
        </w:rPr>
        <w:t>de la vista</w:t>
      </w:r>
      <w:r w:rsidR="006C0A88" w:rsidRPr="001E05C6">
        <w:rPr>
          <w:rFonts w:cs="Arial"/>
          <w:sz w:val="22"/>
          <w:szCs w:val="22"/>
          <w:u w:val="single"/>
        </w:rPr>
        <w:t xml:space="preserve"> de la causa</w:t>
      </w:r>
      <w:r w:rsidR="00D85484" w:rsidRPr="001E05C6">
        <w:rPr>
          <w:rFonts w:cs="Arial"/>
          <w:sz w:val="22"/>
          <w:szCs w:val="22"/>
        </w:rPr>
        <w:t xml:space="preserve">, esto es </w:t>
      </w:r>
      <w:r w:rsidR="00D85484" w:rsidRPr="001E05C6">
        <w:rPr>
          <w:rFonts w:cs="Arial"/>
          <w:sz w:val="22"/>
          <w:szCs w:val="22"/>
          <w:u w:val="single"/>
        </w:rPr>
        <w:t xml:space="preserve">el </w:t>
      </w:r>
      <w:r w:rsidR="00225694" w:rsidRPr="001E05C6">
        <w:rPr>
          <w:rFonts w:cs="Arial"/>
          <w:sz w:val="22"/>
          <w:szCs w:val="22"/>
          <w:u w:val="single"/>
        </w:rPr>
        <w:t>27 de se</w:t>
      </w:r>
      <w:r w:rsidR="00F93A80" w:rsidRPr="001E05C6">
        <w:rPr>
          <w:rFonts w:cs="Arial"/>
          <w:sz w:val="22"/>
          <w:szCs w:val="22"/>
          <w:u w:val="single"/>
        </w:rPr>
        <w:t>p</w:t>
      </w:r>
      <w:r w:rsidR="00225694" w:rsidRPr="001E05C6">
        <w:rPr>
          <w:rFonts w:cs="Arial"/>
          <w:sz w:val="22"/>
          <w:szCs w:val="22"/>
          <w:u w:val="single"/>
        </w:rPr>
        <w:t>tiembre de 2017</w:t>
      </w:r>
      <w:r w:rsidR="00225694" w:rsidRPr="001E05C6">
        <w:rPr>
          <w:rFonts w:cs="Arial"/>
          <w:sz w:val="22"/>
          <w:szCs w:val="22"/>
        </w:rPr>
        <w:t>).</w:t>
      </w:r>
    </w:p>
    <w:p w:rsidR="00B27E21" w:rsidRPr="001E05C6" w:rsidRDefault="00B27E21" w:rsidP="001E05C6">
      <w:pPr>
        <w:pStyle w:val="Prrafodelista"/>
        <w:widowControl/>
        <w:adjustRightInd/>
        <w:spacing w:line="240" w:lineRule="auto"/>
        <w:ind w:left="0"/>
        <w:contextualSpacing w:val="0"/>
        <w:textAlignment w:val="auto"/>
        <w:rPr>
          <w:rFonts w:cs="Arial"/>
          <w:sz w:val="22"/>
          <w:szCs w:val="22"/>
        </w:rPr>
      </w:pPr>
    </w:p>
    <w:p w:rsidR="00C52B7B" w:rsidRPr="001E05C6" w:rsidRDefault="00F66C3C"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En virtud a ello, </w:t>
      </w:r>
      <w:r w:rsidR="000C1FE8" w:rsidRPr="001E05C6">
        <w:rPr>
          <w:rFonts w:cs="Arial"/>
          <w:sz w:val="22"/>
          <w:szCs w:val="22"/>
        </w:rPr>
        <w:t>esta Secretaría considera que</w:t>
      </w:r>
      <w:r w:rsidR="00F64B95" w:rsidRPr="001E05C6">
        <w:rPr>
          <w:rFonts w:cs="Arial"/>
          <w:sz w:val="22"/>
          <w:szCs w:val="22"/>
        </w:rPr>
        <w:t xml:space="preserve"> </w:t>
      </w:r>
      <w:r w:rsidR="00225694" w:rsidRPr="001E05C6">
        <w:rPr>
          <w:rFonts w:cs="Arial"/>
          <w:sz w:val="22"/>
          <w:szCs w:val="22"/>
        </w:rPr>
        <w:t>no se invocó ni se controvirtió</w:t>
      </w:r>
      <w:r w:rsidR="00F64B95" w:rsidRPr="001E05C6">
        <w:rPr>
          <w:rFonts w:cs="Arial"/>
          <w:sz w:val="22"/>
          <w:szCs w:val="22"/>
        </w:rPr>
        <w:t xml:space="preserve"> </w:t>
      </w:r>
      <w:r w:rsidR="00B27E21" w:rsidRPr="001E05C6">
        <w:rPr>
          <w:rFonts w:cs="Arial"/>
          <w:sz w:val="22"/>
          <w:szCs w:val="22"/>
        </w:rPr>
        <w:t>(entendiéndose por ello que haya existido una discusión extensa y detenida, con opiniones contrapuestas, sobre normas</w:t>
      </w:r>
      <w:r w:rsidR="00225694" w:rsidRPr="001E05C6">
        <w:rPr>
          <w:rFonts w:cs="Arial"/>
          <w:sz w:val="22"/>
          <w:szCs w:val="22"/>
        </w:rPr>
        <w:t xml:space="preserve"> andinas</w:t>
      </w:r>
      <w:r w:rsidR="00B27E21" w:rsidRPr="001E05C6">
        <w:rPr>
          <w:rStyle w:val="Refdenotaalpie"/>
          <w:rFonts w:cs="Arial"/>
          <w:sz w:val="22"/>
          <w:szCs w:val="22"/>
        </w:rPr>
        <w:footnoteReference w:id="45"/>
      </w:r>
      <w:r w:rsidR="00B27E21" w:rsidRPr="001E05C6">
        <w:rPr>
          <w:rFonts w:cs="Arial"/>
          <w:sz w:val="22"/>
          <w:szCs w:val="22"/>
        </w:rPr>
        <w:t xml:space="preserve">) </w:t>
      </w:r>
      <w:r w:rsidR="00C52B7B" w:rsidRPr="001E05C6">
        <w:rPr>
          <w:rFonts w:cs="Arial"/>
          <w:sz w:val="22"/>
          <w:szCs w:val="22"/>
        </w:rPr>
        <w:t xml:space="preserve">la interpretación o aplicación de una norma </w:t>
      </w:r>
      <w:r w:rsidR="00E0215B" w:rsidRPr="001E05C6">
        <w:rPr>
          <w:rFonts w:cs="Arial"/>
          <w:sz w:val="22"/>
          <w:szCs w:val="22"/>
        </w:rPr>
        <w:t>del ordenamiento jurídico andino,</w:t>
      </w:r>
      <w:r w:rsidR="00C52B7B" w:rsidRPr="001E05C6">
        <w:rPr>
          <w:rFonts w:cs="Arial"/>
          <w:sz w:val="22"/>
          <w:szCs w:val="22"/>
        </w:rPr>
        <w:t xml:space="preserve"> como sustento </w:t>
      </w:r>
      <w:r w:rsidR="00225694" w:rsidRPr="001E05C6">
        <w:rPr>
          <w:rFonts w:cs="Arial"/>
          <w:sz w:val="22"/>
          <w:szCs w:val="22"/>
        </w:rPr>
        <w:t xml:space="preserve">de las </w:t>
      </w:r>
      <w:r w:rsidR="00E0215B" w:rsidRPr="001E05C6">
        <w:rPr>
          <w:rFonts w:cs="Arial"/>
          <w:sz w:val="22"/>
          <w:szCs w:val="22"/>
        </w:rPr>
        <w:t>alegaciones</w:t>
      </w:r>
      <w:r w:rsidR="00225694" w:rsidRPr="001E05C6">
        <w:rPr>
          <w:rFonts w:cs="Arial"/>
          <w:sz w:val="22"/>
          <w:szCs w:val="22"/>
        </w:rPr>
        <w:t xml:space="preserve"> de las partes del proceso nacional.</w:t>
      </w:r>
    </w:p>
    <w:p w:rsidR="00C52B7B" w:rsidRPr="001E05C6" w:rsidRDefault="00C52B7B" w:rsidP="001E05C6">
      <w:pPr>
        <w:pStyle w:val="Prrafodelista"/>
        <w:spacing w:line="240" w:lineRule="auto"/>
        <w:rPr>
          <w:rFonts w:cs="Arial"/>
          <w:sz w:val="22"/>
          <w:szCs w:val="22"/>
        </w:rPr>
      </w:pPr>
    </w:p>
    <w:p w:rsidR="00790A71" w:rsidRPr="001E05C6" w:rsidRDefault="00A07C9A"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No obstante</w:t>
      </w:r>
      <w:r w:rsidR="00790A71" w:rsidRPr="001E05C6">
        <w:rPr>
          <w:rFonts w:cs="Arial"/>
          <w:sz w:val="22"/>
          <w:szCs w:val="22"/>
        </w:rPr>
        <w:t xml:space="preserve">, es </w:t>
      </w:r>
      <w:r w:rsidR="00441C1F" w:rsidRPr="001E05C6">
        <w:rPr>
          <w:rFonts w:cs="Arial"/>
          <w:sz w:val="22"/>
          <w:szCs w:val="22"/>
        </w:rPr>
        <w:t>menester precisar que</w:t>
      </w:r>
      <w:r w:rsidR="00790A71" w:rsidRPr="001E05C6">
        <w:rPr>
          <w:rFonts w:cs="Arial"/>
          <w:sz w:val="22"/>
          <w:szCs w:val="22"/>
        </w:rPr>
        <w:t xml:space="preserve">, conforme </w:t>
      </w:r>
      <w:r w:rsidR="00225694" w:rsidRPr="001E05C6">
        <w:rPr>
          <w:rFonts w:cs="Arial"/>
          <w:sz w:val="22"/>
          <w:szCs w:val="22"/>
        </w:rPr>
        <w:t>h</w:t>
      </w:r>
      <w:r w:rsidR="00790A71" w:rsidRPr="001E05C6">
        <w:rPr>
          <w:rFonts w:cs="Arial"/>
          <w:sz w:val="22"/>
          <w:szCs w:val="22"/>
        </w:rPr>
        <w:t xml:space="preserve">a dispuesto el TJCA, </w:t>
      </w:r>
      <w:r w:rsidR="005F7C0C" w:rsidRPr="001E05C6">
        <w:rPr>
          <w:rFonts w:cs="Arial"/>
          <w:sz w:val="22"/>
          <w:szCs w:val="22"/>
        </w:rPr>
        <w:t>aun</w:t>
      </w:r>
      <w:r w:rsidR="00790A71" w:rsidRPr="001E05C6">
        <w:rPr>
          <w:rFonts w:cs="Arial"/>
          <w:sz w:val="22"/>
          <w:szCs w:val="22"/>
        </w:rPr>
        <w:t xml:space="preserve"> cuando la norma andina no haya sido invocada o controvertida por las partes</w:t>
      </w:r>
      <w:r w:rsidR="006E036A" w:rsidRPr="001E05C6">
        <w:rPr>
          <w:rFonts w:cs="Arial"/>
          <w:sz w:val="22"/>
          <w:szCs w:val="22"/>
        </w:rPr>
        <w:t xml:space="preserve"> en el proceso nacional</w:t>
      </w:r>
      <w:r w:rsidR="00DC7EC5" w:rsidRPr="001E05C6">
        <w:rPr>
          <w:rFonts w:cs="Arial"/>
          <w:sz w:val="22"/>
          <w:szCs w:val="22"/>
        </w:rPr>
        <w:t>, el juez nacional debe solicitar</w:t>
      </w:r>
      <w:r w:rsidR="00B359C4" w:rsidRPr="001E05C6">
        <w:rPr>
          <w:rFonts w:cs="Arial"/>
          <w:sz w:val="22"/>
          <w:szCs w:val="22"/>
        </w:rPr>
        <w:t>, de oficio o a petición de parte,</w:t>
      </w:r>
      <w:r w:rsidR="00DC7EC5" w:rsidRPr="001E05C6">
        <w:rPr>
          <w:rFonts w:cs="Arial"/>
          <w:sz w:val="22"/>
          <w:szCs w:val="22"/>
        </w:rPr>
        <w:t xml:space="preserve"> interpretación prejudicial cuando advierta que para resolver la causa </w:t>
      </w:r>
      <w:r w:rsidR="006E036A" w:rsidRPr="001E05C6">
        <w:rPr>
          <w:rFonts w:cs="Arial"/>
          <w:bCs/>
          <w:color w:val="000000"/>
          <w:sz w:val="22"/>
          <w:szCs w:val="22"/>
        </w:rPr>
        <w:t>es necesario</w:t>
      </w:r>
      <w:r w:rsidR="00790A71" w:rsidRPr="001E05C6">
        <w:rPr>
          <w:rFonts w:cs="Arial"/>
          <w:bCs/>
          <w:color w:val="000000"/>
          <w:sz w:val="22"/>
          <w:szCs w:val="22"/>
        </w:rPr>
        <w:t xml:space="preserve"> aplicar </w:t>
      </w:r>
      <w:r w:rsidR="00096EC2" w:rsidRPr="001E05C6">
        <w:rPr>
          <w:rFonts w:cs="Arial"/>
          <w:bCs/>
          <w:color w:val="000000"/>
          <w:sz w:val="22"/>
          <w:szCs w:val="22"/>
        </w:rPr>
        <w:t>dicha norma</w:t>
      </w:r>
      <w:r w:rsidR="00B359C4" w:rsidRPr="001E05C6">
        <w:rPr>
          <w:rFonts w:cs="Arial"/>
          <w:bCs/>
          <w:color w:val="000000"/>
          <w:sz w:val="22"/>
          <w:szCs w:val="22"/>
        </w:rPr>
        <w:t xml:space="preserve"> andina</w:t>
      </w:r>
      <w:r w:rsidR="00D06894" w:rsidRPr="001E05C6">
        <w:rPr>
          <w:rFonts w:cs="Arial"/>
          <w:bCs/>
          <w:color w:val="000000"/>
          <w:sz w:val="22"/>
          <w:szCs w:val="22"/>
        </w:rPr>
        <w:t>. Sobre este punto,</w:t>
      </w:r>
      <w:r w:rsidR="00096EC2" w:rsidRPr="001E05C6">
        <w:rPr>
          <w:rFonts w:cs="Arial"/>
          <w:bCs/>
          <w:color w:val="000000"/>
          <w:sz w:val="22"/>
          <w:szCs w:val="22"/>
        </w:rPr>
        <w:t xml:space="preserve"> </w:t>
      </w:r>
      <w:r w:rsidR="00D06894" w:rsidRPr="001E05C6">
        <w:rPr>
          <w:rFonts w:cs="Arial"/>
          <w:bCs/>
          <w:color w:val="000000"/>
          <w:sz w:val="22"/>
          <w:szCs w:val="22"/>
        </w:rPr>
        <w:t>se evalúa</w:t>
      </w:r>
      <w:r w:rsidR="00096EC2" w:rsidRPr="001E05C6">
        <w:rPr>
          <w:rFonts w:cs="Arial"/>
          <w:bCs/>
          <w:color w:val="000000"/>
          <w:sz w:val="22"/>
          <w:szCs w:val="22"/>
        </w:rPr>
        <w:t xml:space="preserve"> en el siguiente numeral.</w:t>
      </w:r>
    </w:p>
    <w:p w:rsidR="00484249" w:rsidRPr="001E05C6" w:rsidRDefault="00484249" w:rsidP="001E05C6">
      <w:pPr>
        <w:widowControl/>
        <w:adjustRightInd/>
        <w:spacing w:line="240" w:lineRule="auto"/>
        <w:textAlignment w:val="auto"/>
        <w:rPr>
          <w:rFonts w:cs="Arial"/>
          <w:b/>
          <w:sz w:val="22"/>
          <w:szCs w:val="22"/>
        </w:rPr>
      </w:pPr>
    </w:p>
    <w:p w:rsidR="00273688" w:rsidRPr="001E05C6" w:rsidRDefault="00C07602" w:rsidP="001E05C6">
      <w:pPr>
        <w:pStyle w:val="Prrafodelista"/>
        <w:widowControl/>
        <w:adjustRightInd/>
        <w:spacing w:line="240" w:lineRule="auto"/>
        <w:ind w:left="1276" w:hanging="567"/>
        <w:contextualSpacing w:val="0"/>
        <w:textAlignment w:val="auto"/>
        <w:rPr>
          <w:rFonts w:cs="Arial"/>
          <w:b/>
          <w:i/>
          <w:sz w:val="22"/>
          <w:szCs w:val="22"/>
        </w:rPr>
      </w:pPr>
      <w:r w:rsidRPr="001E05C6">
        <w:rPr>
          <w:rFonts w:cs="Arial"/>
          <w:b/>
          <w:sz w:val="22"/>
          <w:szCs w:val="22"/>
        </w:rPr>
        <w:t xml:space="preserve">(ii) </w:t>
      </w:r>
      <w:r w:rsidRPr="001E05C6">
        <w:rPr>
          <w:rFonts w:cs="Arial"/>
          <w:b/>
          <w:sz w:val="22"/>
          <w:szCs w:val="22"/>
        </w:rPr>
        <w:tab/>
      </w:r>
      <w:r w:rsidR="001C55AF" w:rsidRPr="001E05C6">
        <w:rPr>
          <w:rFonts w:cs="Arial"/>
          <w:b/>
          <w:i/>
          <w:sz w:val="22"/>
          <w:szCs w:val="22"/>
        </w:rPr>
        <w:t xml:space="preserve">Respecto a que el </w:t>
      </w:r>
      <w:r w:rsidR="00846557" w:rsidRPr="001E05C6">
        <w:rPr>
          <w:rFonts w:cs="Arial"/>
          <w:b/>
          <w:i/>
          <w:sz w:val="22"/>
          <w:szCs w:val="22"/>
        </w:rPr>
        <w:t xml:space="preserve">juez nacional </w:t>
      </w:r>
      <w:r w:rsidR="001C55AF" w:rsidRPr="001E05C6">
        <w:rPr>
          <w:rFonts w:cs="Arial"/>
          <w:b/>
          <w:i/>
          <w:sz w:val="22"/>
          <w:szCs w:val="22"/>
        </w:rPr>
        <w:t>deb</w:t>
      </w:r>
      <w:r w:rsidR="007F2AD3" w:rsidRPr="001E05C6">
        <w:rPr>
          <w:rFonts w:cs="Arial"/>
          <w:b/>
          <w:i/>
          <w:sz w:val="22"/>
          <w:szCs w:val="22"/>
        </w:rPr>
        <w:t>ía</w:t>
      </w:r>
      <w:r w:rsidR="00846557" w:rsidRPr="001E05C6">
        <w:rPr>
          <w:rFonts w:cs="Arial"/>
          <w:b/>
          <w:i/>
          <w:sz w:val="22"/>
          <w:szCs w:val="22"/>
        </w:rPr>
        <w:t xml:space="preserve"> necesariamente aplicar </w:t>
      </w:r>
      <w:r w:rsidR="00653BF7" w:rsidRPr="001E05C6">
        <w:rPr>
          <w:rFonts w:cs="Arial"/>
          <w:b/>
          <w:i/>
          <w:sz w:val="22"/>
          <w:szCs w:val="22"/>
        </w:rPr>
        <w:t xml:space="preserve">normas </w:t>
      </w:r>
      <w:r w:rsidR="00846557" w:rsidRPr="001E05C6">
        <w:rPr>
          <w:rFonts w:cs="Arial"/>
          <w:b/>
          <w:i/>
          <w:sz w:val="22"/>
          <w:szCs w:val="22"/>
        </w:rPr>
        <w:t>andina</w:t>
      </w:r>
      <w:r w:rsidR="00653BF7" w:rsidRPr="001E05C6">
        <w:rPr>
          <w:rFonts w:cs="Arial"/>
          <w:b/>
          <w:i/>
          <w:sz w:val="22"/>
          <w:szCs w:val="22"/>
        </w:rPr>
        <w:t>s</w:t>
      </w:r>
      <w:r w:rsidR="00846557" w:rsidRPr="001E05C6">
        <w:rPr>
          <w:rFonts w:cs="Arial"/>
          <w:b/>
          <w:i/>
          <w:sz w:val="22"/>
          <w:szCs w:val="22"/>
        </w:rPr>
        <w:t xml:space="preserve"> para fallar el asunto, más allá de si fue o no invocada o controvert</w:t>
      </w:r>
      <w:r w:rsidR="00691EAD" w:rsidRPr="001E05C6">
        <w:rPr>
          <w:rFonts w:cs="Arial"/>
          <w:b/>
          <w:i/>
          <w:sz w:val="22"/>
          <w:szCs w:val="22"/>
        </w:rPr>
        <w:t>ida por cualquier</w:t>
      </w:r>
      <w:r w:rsidR="008251CC" w:rsidRPr="001E05C6">
        <w:rPr>
          <w:rFonts w:cs="Arial"/>
          <w:b/>
          <w:i/>
          <w:sz w:val="22"/>
          <w:szCs w:val="22"/>
        </w:rPr>
        <w:t>a</w:t>
      </w:r>
      <w:r w:rsidR="00691EAD" w:rsidRPr="001E05C6">
        <w:rPr>
          <w:rFonts w:cs="Arial"/>
          <w:b/>
          <w:i/>
          <w:sz w:val="22"/>
          <w:szCs w:val="22"/>
        </w:rPr>
        <w:t xml:space="preserve"> de las partes</w:t>
      </w:r>
      <w:r w:rsidR="00691EAD" w:rsidRPr="001E05C6">
        <w:rPr>
          <w:rFonts w:cs="Arial"/>
          <w:b/>
          <w:sz w:val="22"/>
          <w:szCs w:val="22"/>
        </w:rPr>
        <w:t>:</w:t>
      </w:r>
    </w:p>
    <w:p w:rsidR="002A4127" w:rsidRPr="001E05C6" w:rsidRDefault="002A4127" w:rsidP="001E05C6">
      <w:pPr>
        <w:widowControl/>
        <w:adjustRightInd/>
        <w:spacing w:line="240" w:lineRule="auto"/>
        <w:textAlignment w:val="auto"/>
        <w:rPr>
          <w:rFonts w:cs="Arial"/>
          <w:i/>
          <w:sz w:val="22"/>
          <w:szCs w:val="22"/>
          <w:u w:val="single"/>
        </w:rPr>
      </w:pPr>
    </w:p>
    <w:p w:rsidR="002A4127" w:rsidRPr="001E05C6" w:rsidRDefault="002A4127" w:rsidP="001E05C6">
      <w:pPr>
        <w:widowControl/>
        <w:adjustRightInd/>
        <w:spacing w:line="240" w:lineRule="auto"/>
        <w:textAlignment w:val="auto"/>
        <w:rPr>
          <w:rFonts w:cs="Arial"/>
          <w:i/>
          <w:sz w:val="22"/>
          <w:szCs w:val="22"/>
          <w:u w:val="single"/>
        </w:rPr>
      </w:pPr>
      <w:r w:rsidRPr="001E05C6">
        <w:rPr>
          <w:rFonts w:cs="Arial"/>
          <w:i/>
          <w:sz w:val="22"/>
          <w:szCs w:val="22"/>
          <w:u w:val="single"/>
        </w:rPr>
        <w:t>Alegatos de la reclamante</w:t>
      </w:r>
    </w:p>
    <w:p w:rsidR="00A715AE" w:rsidRPr="001E05C6" w:rsidRDefault="00A715AE" w:rsidP="001E05C6">
      <w:pPr>
        <w:widowControl/>
        <w:adjustRightInd/>
        <w:spacing w:line="240" w:lineRule="auto"/>
        <w:ind w:hanging="426"/>
        <w:textAlignment w:val="auto"/>
        <w:rPr>
          <w:rFonts w:cs="Arial"/>
          <w:sz w:val="22"/>
          <w:szCs w:val="22"/>
        </w:rPr>
      </w:pPr>
    </w:p>
    <w:p w:rsidR="008A117E" w:rsidRPr="001E05C6" w:rsidRDefault="00D77667" w:rsidP="001E05C6">
      <w:pPr>
        <w:pStyle w:val="Prrafodelista"/>
        <w:widowControl/>
        <w:numPr>
          <w:ilvl w:val="0"/>
          <w:numId w:val="2"/>
        </w:numPr>
        <w:adjustRightInd/>
        <w:spacing w:line="240" w:lineRule="auto"/>
        <w:ind w:left="0" w:hanging="426"/>
        <w:contextualSpacing w:val="0"/>
        <w:textAlignment w:val="auto"/>
        <w:rPr>
          <w:rFonts w:cs="Arial"/>
          <w:bCs/>
          <w:snapToGrid w:val="0"/>
          <w:sz w:val="22"/>
          <w:szCs w:val="22"/>
        </w:rPr>
      </w:pPr>
      <w:r w:rsidRPr="001E05C6">
        <w:rPr>
          <w:rFonts w:cs="Arial"/>
          <w:bCs/>
          <w:snapToGrid w:val="0"/>
          <w:sz w:val="22"/>
          <w:szCs w:val="22"/>
        </w:rPr>
        <w:t>Sobre el particular, l</w:t>
      </w:r>
      <w:r w:rsidR="005C54A6" w:rsidRPr="001E05C6">
        <w:rPr>
          <w:rFonts w:cs="Arial"/>
          <w:bCs/>
          <w:snapToGrid w:val="0"/>
          <w:sz w:val="22"/>
          <w:szCs w:val="22"/>
        </w:rPr>
        <w:t>a</w:t>
      </w:r>
      <w:r w:rsidRPr="001E05C6">
        <w:rPr>
          <w:rFonts w:cs="Arial"/>
          <w:bCs/>
          <w:snapToGrid w:val="0"/>
          <w:sz w:val="22"/>
          <w:szCs w:val="22"/>
        </w:rPr>
        <w:t xml:space="preserve"> reclamante ha señalado que</w:t>
      </w:r>
      <w:r w:rsidR="005D4045" w:rsidRPr="001E05C6">
        <w:rPr>
          <w:rFonts w:cs="Arial"/>
          <w:bCs/>
          <w:snapToGrid w:val="0"/>
          <w:sz w:val="22"/>
          <w:szCs w:val="22"/>
        </w:rPr>
        <w:t xml:space="preserve"> </w:t>
      </w:r>
      <w:r w:rsidR="008A117E" w:rsidRPr="001E05C6">
        <w:rPr>
          <w:rFonts w:cs="Arial"/>
          <w:i/>
          <w:sz w:val="22"/>
          <w:szCs w:val="22"/>
        </w:rPr>
        <w:t>“(…)</w:t>
      </w:r>
      <w:r w:rsidR="00B45639" w:rsidRPr="001E05C6">
        <w:rPr>
          <w:rFonts w:cs="Arial"/>
          <w:i/>
          <w:sz w:val="22"/>
          <w:szCs w:val="22"/>
        </w:rPr>
        <w:t xml:space="preserve"> </w:t>
      </w:r>
      <w:r w:rsidR="008A117E" w:rsidRPr="001E05C6">
        <w:rPr>
          <w:rFonts w:cs="Arial"/>
          <w:i/>
          <w:sz w:val="22"/>
          <w:szCs w:val="22"/>
        </w:rPr>
        <w:t xml:space="preserve">para resolver la controversia era necesario que el TJCA emitiera su concepto prejudicial acerca de la aplicación uniforme de los artículos 1, 2 y 3 de la Decisión 462 y de los artículos 1 y 5 de la Decisión 707, </w:t>
      </w:r>
      <w:r w:rsidR="0048431E" w:rsidRPr="001E05C6">
        <w:rPr>
          <w:rFonts w:cs="Arial"/>
          <w:i/>
          <w:sz w:val="22"/>
          <w:szCs w:val="22"/>
        </w:rPr>
        <w:t>(…)</w:t>
      </w:r>
      <w:r w:rsidR="008A117E" w:rsidRPr="001E05C6">
        <w:rPr>
          <w:rFonts w:cs="Arial"/>
          <w:i/>
          <w:sz w:val="22"/>
          <w:szCs w:val="22"/>
        </w:rPr>
        <w:t>.</w:t>
      </w:r>
      <w:r w:rsidR="008A117E" w:rsidRPr="001E05C6">
        <w:rPr>
          <w:rFonts w:cs="Arial"/>
          <w:sz w:val="22"/>
          <w:szCs w:val="22"/>
        </w:rPr>
        <w:t>”</w:t>
      </w:r>
      <w:r w:rsidR="008A117E" w:rsidRPr="001E05C6">
        <w:rPr>
          <w:rStyle w:val="Refdenotaalpie"/>
          <w:rFonts w:cs="Arial"/>
          <w:sz w:val="22"/>
          <w:szCs w:val="22"/>
        </w:rPr>
        <w:footnoteReference w:id="46"/>
      </w:r>
      <w:r w:rsidR="005D4045" w:rsidRPr="001E05C6">
        <w:rPr>
          <w:rFonts w:cs="Arial"/>
          <w:sz w:val="22"/>
          <w:szCs w:val="22"/>
        </w:rPr>
        <w:t xml:space="preserve"> </w:t>
      </w:r>
    </w:p>
    <w:p w:rsidR="00057F0E" w:rsidRPr="001E05C6" w:rsidRDefault="00057F0E" w:rsidP="001E05C6">
      <w:pPr>
        <w:widowControl/>
        <w:adjustRightInd/>
        <w:spacing w:line="240" w:lineRule="auto"/>
        <w:textAlignment w:val="auto"/>
        <w:rPr>
          <w:rFonts w:cs="Arial"/>
          <w:sz w:val="22"/>
          <w:szCs w:val="22"/>
        </w:rPr>
      </w:pPr>
    </w:p>
    <w:p w:rsidR="00D77667" w:rsidRPr="001E05C6" w:rsidRDefault="00751637"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L</w:t>
      </w:r>
      <w:r w:rsidR="00D77667" w:rsidRPr="001E05C6">
        <w:rPr>
          <w:rFonts w:cs="Arial"/>
          <w:sz w:val="22"/>
          <w:szCs w:val="22"/>
        </w:rPr>
        <w:t xml:space="preserve">a reclamante sostiene que, a partir de lo </w:t>
      </w:r>
      <w:r w:rsidR="00120A0E" w:rsidRPr="001E05C6">
        <w:rPr>
          <w:rFonts w:cs="Arial"/>
          <w:sz w:val="22"/>
          <w:szCs w:val="22"/>
        </w:rPr>
        <w:t>establecido</w:t>
      </w:r>
      <w:r w:rsidR="00D77667" w:rsidRPr="001E05C6">
        <w:rPr>
          <w:rFonts w:cs="Arial"/>
          <w:sz w:val="22"/>
          <w:szCs w:val="22"/>
        </w:rPr>
        <w:t xml:space="preserve"> en los artículos 1 y 3 de la Decisión 462, así como lo señalado por el TJCA en la Sentencia 89-IP-2013, lo regulado en dicha Decisión aplica a los servicios de </w:t>
      </w:r>
      <w:r w:rsidR="00120A0E" w:rsidRPr="001E05C6">
        <w:rPr>
          <w:rFonts w:cs="Arial"/>
          <w:sz w:val="22"/>
          <w:szCs w:val="22"/>
        </w:rPr>
        <w:t xml:space="preserve">provisión de </w:t>
      </w:r>
      <w:r w:rsidR="00D77667" w:rsidRPr="001E05C6">
        <w:rPr>
          <w:rFonts w:cs="Arial"/>
          <w:sz w:val="22"/>
          <w:szCs w:val="22"/>
        </w:rPr>
        <w:t>capacidad satelital.</w:t>
      </w:r>
      <w:r w:rsidR="00120A0E" w:rsidRPr="001E05C6">
        <w:rPr>
          <w:rStyle w:val="Refdenotaalpie"/>
          <w:rFonts w:cs="Arial"/>
          <w:sz w:val="22"/>
          <w:szCs w:val="22"/>
        </w:rPr>
        <w:footnoteReference w:id="47"/>
      </w:r>
    </w:p>
    <w:p w:rsidR="00D77667" w:rsidRPr="001E05C6" w:rsidRDefault="00D77667" w:rsidP="001E05C6">
      <w:pPr>
        <w:pStyle w:val="Prrafodelista"/>
        <w:widowControl/>
        <w:adjustRightInd/>
        <w:spacing w:line="240" w:lineRule="auto"/>
        <w:ind w:left="0" w:hanging="426"/>
        <w:contextualSpacing w:val="0"/>
        <w:textAlignment w:val="auto"/>
        <w:rPr>
          <w:rFonts w:cs="Arial"/>
          <w:sz w:val="22"/>
          <w:szCs w:val="22"/>
        </w:rPr>
      </w:pPr>
    </w:p>
    <w:p w:rsidR="00FB1231" w:rsidRPr="001E05C6" w:rsidRDefault="00D77667"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Asimismo, respecto al </w:t>
      </w:r>
      <w:r w:rsidR="00D0280D" w:rsidRPr="001E05C6">
        <w:rPr>
          <w:rFonts w:cs="Arial"/>
          <w:sz w:val="22"/>
          <w:szCs w:val="22"/>
        </w:rPr>
        <w:t xml:space="preserve">artículo </w:t>
      </w:r>
      <w:r w:rsidR="00B3004B" w:rsidRPr="001E05C6">
        <w:rPr>
          <w:rFonts w:cs="Arial"/>
          <w:sz w:val="22"/>
          <w:szCs w:val="22"/>
        </w:rPr>
        <w:t>2 de la Decisión 462</w:t>
      </w:r>
      <w:r w:rsidRPr="001E05C6">
        <w:rPr>
          <w:rFonts w:cs="Arial"/>
          <w:sz w:val="22"/>
          <w:szCs w:val="22"/>
        </w:rPr>
        <w:t>,</w:t>
      </w:r>
      <w:r w:rsidR="00B3004B" w:rsidRPr="001E05C6">
        <w:rPr>
          <w:rFonts w:cs="Arial"/>
          <w:sz w:val="22"/>
          <w:szCs w:val="22"/>
        </w:rPr>
        <w:t xml:space="preserve"> la reclamante señala que</w:t>
      </w:r>
      <w:r w:rsidRPr="001E05C6">
        <w:rPr>
          <w:rFonts w:cs="Arial"/>
          <w:sz w:val="22"/>
          <w:szCs w:val="22"/>
        </w:rPr>
        <w:t>,</w:t>
      </w:r>
      <w:r w:rsidR="00B3004B" w:rsidRPr="001E05C6">
        <w:rPr>
          <w:rFonts w:cs="Arial"/>
          <w:sz w:val="22"/>
          <w:szCs w:val="22"/>
        </w:rPr>
        <w:t xml:space="preserve"> </w:t>
      </w:r>
      <w:r w:rsidR="003C00D6" w:rsidRPr="001E05C6">
        <w:rPr>
          <w:rFonts w:cs="Arial"/>
          <w:sz w:val="22"/>
          <w:szCs w:val="22"/>
        </w:rPr>
        <w:t>de las definiciones de “telecomunicaciones” y “servicios de telecomunicaciones” se concluye que:</w:t>
      </w:r>
      <w:r w:rsidRPr="001E05C6">
        <w:rPr>
          <w:rFonts w:cs="Arial"/>
          <w:sz w:val="22"/>
          <w:szCs w:val="22"/>
        </w:rPr>
        <w:t xml:space="preserve"> </w:t>
      </w:r>
      <w:r w:rsidR="003C00D6" w:rsidRPr="001E05C6">
        <w:rPr>
          <w:rFonts w:cs="Arial"/>
          <w:i/>
          <w:sz w:val="22"/>
          <w:szCs w:val="22"/>
        </w:rPr>
        <w:t>“</w:t>
      </w:r>
      <w:r w:rsidR="00FA1BBF" w:rsidRPr="001E05C6">
        <w:rPr>
          <w:rFonts w:cs="Arial"/>
          <w:i/>
          <w:sz w:val="22"/>
          <w:szCs w:val="22"/>
        </w:rPr>
        <w:t xml:space="preserve">(…) </w:t>
      </w:r>
      <w:r w:rsidR="003C00D6" w:rsidRPr="001E05C6">
        <w:rPr>
          <w:rFonts w:cs="Arial"/>
          <w:i/>
          <w:sz w:val="22"/>
          <w:szCs w:val="22"/>
        </w:rPr>
        <w:t>los contratos para el suministro de servicios de capacidad satelital por corresponder a un conjunto de funciones (</w:t>
      </w:r>
      <w:r w:rsidR="00545996" w:rsidRPr="001E05C6">
        <w:rPr>
          <w:rFonts w:cs="Arial"/>
          <w:i/>
          <w:sz w:val="22"/>
          <w:szCs w:val="22"/>
        </w:rPr>
        <w:t>..</w:t>
      </w:r>
      <w:r w:rsidR="003C00D6" w:rsidRPr="001E05C6">
        <w:rPr>
          <w:rFonts w:cs="Arial"/>
          <w:i/>
          <w:sz w:val="22"/>
          <w:szCs w:val="22"/>
        </w:rPr>
        <w:t>.) ofrecidas por un Proveedor (</w:t>
      </w:r>
      <w:r w:rsidR="00545996" w:rsidRPr="001E05C6">
        <w:rPr>
          <w:rFonts w:cs="Arial"/>
          <w:i/>
          <w:sz w:val="22"/>
          <w:szCs w:val="22"/>
        </w:rPr>
        <w:t>…</w:t>
      </w:r>
      <w:r w:rsidR="003C00D6" w:rsidRPr="001E05C6">
        <w:rPr>
          <w:rFonts w:cs="Arial"/>
          <w:i/>
          <w:sz w:val="22"/>
          <w:szCs w:val="22"/>
        </w:rPr>
        <w:t>) que se soporta en redes de telecomunicaciones (</w:t>
      </w:r>
      <w:r w:rsidR="00545996" w:rsidRPr="001E05C6">
        <w:rPr>
          <w:rFonts w:cs="Arial"/>
          <w:i/>
          <w:sz w:val="22"/>
          <w:szCs w:val="22"/>
        </w:rPr>
        <w:t>…</w:t>
      </w:r>
      <w:r w:rsidR="003C00D6" w:rsidRPr="001E05C6">
        <w:rPr>
          <w:rFonts w:cs="Arial"/>
          <w:i/>
          <w:sz w:val="22"/>
          <w:szCs w:val="22"/>
        </w:rPr>
        <w:t>), son contratos de servicios.</w:t>
      </w:r>
      <w:r w:rsidR="00FA1BBF" w:rsidRPr="001E05C6">
        <w:rPr>
          <w:rFonts w:cs="Arial"/>
          <w:i/>
          <w:sz w:val="22"/>
          <w:szCs w:val="22"/>
        </w:rPr>
        <w:t>”</w:t>
      </w:r>
      <w:r w:rsidR="003C00D6" w:rsidRPr="001E05C6">
        <w:rPr>
          <w:rStyle w:val="Refdenotaalpie"/>
          <w:rFonts w:cs="Arial"/>
          <w:i/>
          <w:sz w:val="22"/>
          <w:szCs w:val="22"/>
        </w:rPr>
        <w:footnoteReference w:id="48"/>
      </w:r>
      <w:r w:rsidR="0012135A" w:rsidRPr="001E05C6">
        <w:rPr>
          <w:rFonts w:cs="Arial"/>
          <w:sz w:val="22"/>
          <w:szCs w:val="22"/>
        </w:rPr>
        <w:t xml:space="preserve"> </w:t>
      </w:r>
      <w:r w:rsidR="00545996" w:rsidRPr="001E05C6">
        <w:rPr>
          <w:rFonts w:cs="Arial"/>
          <w:sz w:val="22"/>
          <w:szCs w:val="22"/>
        </w:rPr>
        <w:t>A</w:t>
      </w:r>
      <w:r w:rsidR="00096EC2" w:rsidRPr="001E05C6">
        <w:rPr>
          <w:rFonts w:cs="Arial"/>
          <w:sz w:val="22"/>
          <w:szCs w:val="22"/>
        </w:rPr>
        <w:t>dicionalmente</w:t>
      </w:r>
      <w:r w:rsidR="00545996" w:rsidRPr="001E05C6">
        <w:rPr>
          <w:rFonts w:cs="Arial"/>
          <w:sz w:val="22"/>
          <w:szCs w:val="22"/>
        </w:rPr>
        <w:t xml:space="preserve">, </w:t>
      </w:r>
      <w:r w:rsidR="00096EC2" w:rsidRPr="001E05C6">
        <w:rPr>
          <w:rFonts w:cs="Arial"/>
          <w:sz w:val="22"/>
          <w:szCs w:val="22"/>
        </w:rPr>
        <w:t>en</w:t>
      </w:r>
      <w:r w:rsidR="00545996" w:rsidRPr="001E05C6">
        <w:rPr>
          <w:rFonts w:cs="Arial"/>
          <w:sz w:val="22"/>
          <w:szCs w:val="22"/>
        </w:rPr>
        <w:t xml:space="preserve"> relación a la</w:t>
      </w:r>
      <w:r w:rsidR="00C3053D" w:rsidRPr="001E05C6">
        <w:rPr>
          <w:rFonts w:cs="Arial"/>
          <w:sz w:val="22"/>
          <w:szCs w:val="22"/>
        </w:rPr>
        <w:t xml:space="preserve"> definición de “Proveedor, Operador o Prestad</w:t>
      </w:r>
      <w:r w:rsidR="00545996" w:rsidRPr="001E05C6">
        <w:rPr>
          <w:rFonts w:cs="Arial"/>
          <w:sz w:val="22"/>
          <w:szCs w:val="22"/>
        </w:rPr>
        <w:t xml:space="preserve">or de Servicios” </w:t>
      </w:r>
      <w:r w:rsidR="007705A1" w:rsidRPr="001E05C6">
        <w:rPr>
          <w:rFonts w:cs="Arial"/>
          <w:sz w:val="22"/>
          <w:szCs w:val="22"/>
        </w:rPr>
        <w:t>la</w:t>
      </w:r>
      <w:r w:rsidR="00545996" w:rsidRPr="001E05C6">
        <w:rPr>
          <w:rFonts w:cs="Arial"/>
          <w:sz w:val="22"/>
          <w:szCs w:val="22"/>
        </w:rPr>
        <w:t xml:space="preserve"> reclamante indica</w:t>
      </w:r>
      <w:r w:rsidR="00C3053D" w:rsidRPr="001E05C6">
        <w:rPr>
          <w:rFonts w:cs="Arial"/>
          <w:sz w:val="22"/>
          <w:szCs w:val="22"/>
        </w:rPr>
        <w:t xml:space="preserve"> que</w:t>
      </w:r>
      <w:r w:rsidR="003F24F0" w:rsidRPr="001E05C6">
        <w:rPr>
          <w:rFonts w:cs="Arial"/>
          <w:sz w:val="22"/>
          <w:szCs w:val="22"/>
        </w:rPr>
        <w:t>:</w:t>
      </w:r>
      <w:r w:rsidR="00C3053D" w:rsidRPr="001E05C6">
        <w:rPr>
          <w:rFonts w:cs="Arial"/>
          <w:sz w:val="22"/>
          <w:szCs w:val="22"/>
        </w:rPr>
        <w:t xml:space="preserve"> </w:t>
      </w:r>
      <w:r w:rsidR="00FB1231" w:rsidRPr="001E05C6">
        <w:rPr>
          <w:rFonts w:cs="Arial"/>
          <w:i/>
          <w:sz w:val="22"/>
          <w:szCs w:val="22"/>
        </w:rPr>
        <w:t>“</w:t>
      </w:r>
      <w:r w:rsidR="00FA1BBF" w:rsidRPr="001E05C6">
        <w:rPr>
          <w:rFonts w:cs="Arial"/>
          <w:i/>
          <w:sz w:val="22"/>
          <w:szCs w:val="22"/>
        </w:rPr>
        <w:t>[</w:t>
      </w:r>
      <w:r w:rsidR="00FB1231" w:rsidRPr="001E05C6">
        <w:rPr>
          <w:rFonts w:cs="Arial"/>
          <w:i/>
          <w:sz w:val="22"/>
          <w:szCs w:val="22"/>
        </w:rPr>
        <w:t>e</w:t>
      </w:r>
      <w:r w:rsidR="00FA1BBF" w:rsidRPr="001E05C6">
        <w:rPr>
          <w:rFonts w:cs="Arial"/>
          <w:i/>
          <w:sz w:val="22"/>
          <w:szCs w:val="22"/>
        </w:rPr>
        <w:t>]</w:t>
      </w:r>
      <w:r w:rsidR="00FB1231" w:rsidRPr="001E05C6">
        <w:rPr>
          <w:rFonts w:cs="Arial"/>
          <w:i/>
          <w:sz w:val="22"/>
          <w:szCs w:val="22"/>
        </w:rPr>
        <w:t>s claro que un proveedor de servicios de capacidad satelital presta servicios de telecomunicaciones que trascienden el ámbito estrictamente nacional porque un proveedor de servicios de capacidad satelital ofrece sus servicios a cliente o usuarios ubicados en numerosos países en los cuales tiene cobertura el respectivo satélite</w:t>
      </w:r>
      <w:r w:rsidR="00545996" w:rsidRPr="001E05C6">
        <w:rPr>
          <w:rFonts w:cs="Arial"/>
          <w:i/>
          <w:sz w:val="22"/>
          <w:szCs w:val="22"/>
        </w:rPr>
        <w:t>, (…)</w:t>
      </w:r>
      <w:r w:rsidR="00FB1231" w:rsidRPr="001E05C6">
        <w:rPr>
          <w:rFonts w:cs="Arial"/>
          <w:i/>
          <w:sz w:val="22"/>
          <w:szCs w:val="22"/>
        </w:rPr>
        <w:t>.</w:t>
      </w:r>
      <w:r w:rsidR="00B45639" w:rsidRPr="001E05C6">
        <w:rPr>
          <w:rFonts w:cs="Arial"/>
          <w:sz w:val="22"/>
          <w:szCs w:val="22"/>
        </w:rPr>
        <w:t>”</w:t>
      </w:r>
      <w:r w:rsidR="00FB1231" w:rsidRPr="001E05C6">
        <w:rPr>
          <w:rStyle w:val="Refdenotaalpie"/>
          <w:rFonts w:cs="Arial"/>
          <w:sz w:val="22"/>
          <w:szCs w:val="22"/>
        </w:rPr>
        <w:footnoteReference w:id="49"/>
      </w:r>
    </w:p>
    <w:p w:rsidR="00545996" w:rsidRPr="001E05C6" w:rsidRDefault="00545996" w:rsidP="001E05C6">
      <w:pPr>
        <w:pStyle w:val="Prrafodelista"/>
        <w:spacing w:line="240" w:lineRule="auto"/>
        <w:ind w:left="0" w:hanging="426"/>
        <w:rPr>
          <w:rFonts w:cs="Arial"/>
          <w:sz w:val="22"/>
          <w:szCs w:val="22"/>
        </w:rPr>
      </w:pPr>
    </w:p>
    <w:p w:rsidR="0040253F" w:rsidRPr="001E05C6" w:rsidRDefault="00545996"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Por otro lado, </w:t>
      </w:r>
      <w:r w:rsidR="007705A1" w:rsidRPr="001E05C6">
        <w:rPr>
          <w:rFonts w:cs="Arial"/>
          <w:sz w:val="22"/>
          <w:szCs w:val="22"/>
        </w:rPr>
        <w:t>en cuanto a la aplicación de los artículos 1 y 5 de la Decisión 707, la reclamante manifiesta que, la provisión de capacidad satelital “</w:t>
      </w:r>
      <w:r w:rsidR="00FA1BBF" w:rsidRPr="001E05C6">
        <w:rPr>
          <w:rFonts w:cs="Arial"/>
          <w:sz w:val="22"/>
          <w:szCs w:val="22"/>
        </w:rPr>
        <w:t xml:space="preserve">(…) </w:t>
      </w:r>
      <w:r w:rsidRPr="001E05C6">
        <w:rPr>
          <w:rFonts w:cs="Arial"/>
          <w:i/>
          <w:sz w:val="22"/>
          <w:szCs w:val="22"/>
        </w:rPr>
        <w:t>No se puede tratar de una cesión, porque la propia norma habla de ‘provisión’ o ‘prestación’ de capacidad satelital y la cesión ni se presta ni se provee; una cesión (en uso) es la entrega de algo para que se use. De hecho, quien recibe algo cedido, actúa respecto de ese bien ejerciendo alguno de los atributos del propietario, y es evidente que la transmisión y retransmisión de señales en un satélite, no tienen nada que ver con eso.</w:t>
      </w:r>
      <w:r w:rsidR="007705A1" w:rsidRPr="001E05C6">
        <w:rPr>
          <w:rFonts w:cs="Arial"/>
          <w:i/>
          <w:sz w:val="22"/>
          <w:szCs w:val="22"/>
        </w:rPr>
        <w:t>”</w:t>
      </w:r>
      <w:r w:rsidR="007705A1" w:rsidRPr="001E05C6">
        <w:rPr>
          <w:rStyle w:val="Refdenotaalpie"/>
          <w:rFonts w:cs="Arial"/>
          <w:sz w:val="22"/>
          <w:szCs w:val="22"/>
        </w:rPr>
        <w:footnoteReference w:id="50"/>
      </w:r>
      <w:r w:rsidR="007705A1" w:rsidRPr="001E05C6">
        <w:rPr>
          <w:rFonts w:cs="Arial"/>
          <w:i/>
          <w:sz w:val="22"/>
          <w:szCs w:val="22"/>
        </w:rPr>
        <w:t xml:space="preserve"> </w:t>
      </w:r>
      <w:r w:rsidR="007705A1" w:rsidRPr="001E05C6">
        <w:rPr>
          <w:rFonts w:cs="Arial"/>
          <w:sz w:val="22"/>
          <w:szCs w:val="22"/>
        </w:rPr>
        <w:t>Adicionalmente, alega que</w:t>
      </w:r>
      <w:r w:rsidR="008D3185" w:rsidRPr="001E05C6">
        <w:rPr>
          <w:rFonts w:cs="Arial"/>
          <w:sz w:val="22"/>
          <w:szCs w:val="22"/>
        </w:rPr>
        <w:t xml:space="preserve"> </w:t>
      </w:r>
      <w:r w:rsidR="007705A1" w:rsidRPr="001E05C6">
        <w:rPr>
          <w:rFonts w:cs="Arial"/>
          <w:sz w:val="22"/>
          <w:szCs w:val="22"/>
        </w:rPr>
        <w:t xml:space="preserve">las definiciones de “Satélite” y “Sistema satelital” (artículo 1 de la Decisión 707) </w:t>
      </w:r>
      <w:r w:rsidR="008D3185" w:rsidRPr="001E05C6">
        <w:rPr>
          <w:rFonts w:cs="Arial"/>
          <w:sz w:val="22"/>
          <w:szCs w:val="22"/>
        </w:rPr>
        <w:t xml:space="preserve">y </w:t>
      </w:r>
      <w:r w:rsidR="000E0E23" w:rsidRPr="001E05C6">
        <w:rPr>
          <w:rFonts w:cs="Arial"/>
          <w:sz w:val="22"/>
          <w:szCs w:val="22"/>
        </w:rPr>
        <w:t>lo referido a las obligaciones del operador satelital (</w:t>
      </w:r>
      <w:r w:rsidRPr="001E05C6">
        <w:rPr>
          <w:rFonts w:cs="Arial"/>
          <w:sz w:val="22"/>
          <w:szCs w:val="22"/>
        </w:rPr>
        <w:t xml:space="preserve">artículo 5 de la </w:t>
      </w:r>
      <w:r w:rsidRPr="001E05C6">
        <w:rPr>
          <w:rFonts w:cs="Arial"/>
          <w:sz w:val="22"/>
          <w:szCs w:val="22"/>
        </w:rPr>
        <w:lastRenderedPageBreak/>
        <w:t>Decisión 707</w:t>
      </w:r>
      <w:r w:rsidR="000E0E23" w:rsidRPr="001E05C6">
        <w:rPr>
          <w:rFonts w:cs="Arial"/>
          <w:sz w:val="22"/>
          <w:szCs w:val="22"/>
        </w:rPr>
        <w:t>)</w:t>
      </w:r>
      <w:r w:rsidRPr="001E05C6">
        <w:rPr>
          <w:rFonts w:cs="Arial"/>
          <w:sz w:val="22"/>
          <w:szCs w:val="22"/>
        </w:rPr>
        <w:t>,</w:t>
      </w:r>
      <w:r w:rsidRPr="001E05C6">
        <w:rPr>
          <w:rFonts w:cs="Arial"/>
          <w:i/>
          <w:sz w:val="22"/>
          <w:szCs w:val="22"/>
        </w:rPr>
        <w:t xml:space="preserve"> </w:t>
      </w:r>
      <w:r w:rsidR="008D3185" w:rsidRPr="001E05C6">
        <w:rPr>
          <w:rFonts w:cs="Arial"/>
          <w:i/>
          <w:sz w:val="22"/>
          <w:szCs w:val="22"/>
        </w:rPr>
        <w:t>“</w:t>
      </w:r>
      <w:r w:rsidR="00FA1BBF" w:rsidRPr="001E05C6">
        <w:rPr>
          <w:rFonts w:cs="Arial"/>
          <w:i/>
          <w:sz w:val="22"/>
          <w:szCs w:val="22"/>
        </w:rPr>
        <w:t xml:space="preserve">(…) </w:t>
      </w:r>
      <w:r w:rsidRPr="001E05C6">
        <w:rPr>
          <w:rFonts w:cs="Arial"/>
          <w:i/>
          <w:sz w:val="22"/>
          <w:szCs w:val="22"/>
        </w:rPr>
        <w:t>utilizan verbos que son incompatibles con una cesión de uso y, por el contrario, indican que se refieren a servicios.</w:t>
      </w:r>
      <w:r w:rsidRPr="001E05C6">
        <w:rPr>
          <w:rFonts w:cs="Arial"/>
          <w:sz w:val="22"/>
          <w:szCs w:val="22"/>
        </w:rPr>
        <w:t>”</w:t>
      </w:r>
      <w:r w:rsidRPr="001E05C6">
        <w:rPr>
          <w:rStyle w:val="Refdenotaalpie"/>
          <w:rFonts w:cs="Arial"/>
          <w:sz w:val="22"/>
          <w:szCs w:val="22"/>
        </w:rPr>
        <w:footnoteReference w:id="51"/>
      </w:r>
    </w:p>
    <w:p w:rsidR="004D6E19" w:rsidRPr="001E05C6" w:rsidRDefault="004D6E19" w:rsidP="001E05C6">
      <w:pPr>
        <w:widowControl/>
        <w:adjustRightInd/>
        <w:spacing w:line="240" w:lineRule="auto"/>
        <w:ind w:hanging="426"/>
        <w:textAlignment w:val="auto"/>
        <w:rPr>
          <w:rFonts w:cs="Arial"/>
          <w:sz w:val="22"/>
          <w:szCs w:val="22"/>
        </w:rPr>
      </w:pPr>
    </w:p>
    <w:p w:rsidR="0040253F" w:rsidRPr="001E05C6" w:rsidRDefault="00096EC2"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Finalmente, </w:t>
      </w:r>
      <w:r w:rsidR="0035012C" w:rsidRPr="001E05C6">
        <w:rPr>
          <w:rFonts w:cs="Arial"/>
          <w:sz w:val="22"/>
          <w:szCs w:val="22"/>
        </w:rPr>
        <w:t xml:space="preserve">la reclamante precisa que </w:t>
      </w:r>
      <w:r w:rsidR="0040253F" w:rsidRPr="001E05C6">
        <w:rPr>
          <w:rFonts w:cs="Arial"/>
          <w:sz w:val="22"/>
          <w:szCs w:val="22"/>
        </w:rPr>
        <w:t>la interpretación prejudicial permitiría garantizar la aplicación uniforme de las Decisiones 462 y 707 respecto a lo siguiente: i) si la provisión de capacidad satelital es un servicio de telecomunicaciones; ii) si dicho servicio puede ser considerado como trasfronterizo o internacional; o, iii) si la prestación del servicio de capacidad satelital puede considerarse prestado exclusivamente en territorio peruano.</w:t>
      </w:r>
      <w:r w:rsidR="0040253F" w:rsidRPr="001E05C6">
        <w:rPr>
          <w:rStyle w:val="Refdenotaalpie"/>
          <w:rFonts w:cs="Arial"/>
          <w:sz w:val="22"/>
          <w:szCs w:val="22"/>
        </w:rPr>
        <w:footnoteReference w:id="52"/>
      </w:r>
    </w:p>
    <w:p w:rsidR="00EF6B75" w:rsidRPr="001E05C6" w:rsidRDefault="00EF6B75" w:rsidP="001E05C6">
      <w:pPr>
        <w:widowControl/>
        <w:adjustRightInd/>
        <w:spacing w:line="240" w:lineRule="auto"/>
        <w:textAlignment w:val="auto"/>
        <w:rPr>
          <w:rFonts w:cs="Arial"/>
          <w:i/>
          <w:sz w:val="22"/>
          <w:szCs w:val="22"/>
          <w:u w:val="single"/>
        </w:rPr>
      </w:pPr>
    </w:p>
    <w:p w:rsidR="008251CC" w:rsidRPr="001E05C6" w:rsidRDefault="008251CC" w:rsidP="001E05C6">
      <w:pPr>
        <w:widowControl/>
        <w:adjustRightInd/>
        <w:spacing w:line="240" w:lineRule="auto"/>
        <w:textAlignment w:val="auto"/>
        <w:rPr>
          <w:rFonts w:cs="Arial"/>
          <w:i/>
          <w:sz w:val="22"/>
          <w:szCs w:val="22"/>
          <w:u w:val="single"/>
        </w:rPr>
      </w:pPr>
      <w:r w:rsidRPr="001E05C6">
        <w:rPr>
          <w:rFonts w:cs="Arial"/>
          <w:i/>
          <w:sz w:val="22"/>
          <w:szCs w:val="22"/>
          <w:u w:val="single"/>
        </w:rPr>
        <w:t>Alegatos de la reclamada</w:t>
      </w:r>
    </w:p>
    <w:p w:rsidR="004D6E19" w:rsidRPr="001E05C6" w:rsidRDefault="004D6E19" w:rsidP="001E05C6">
      <w:pPr>
        <w:widowControl/>
        <w:adjustRightInd/>
        <w:spacing w:line="240" w:lineRule="auto"/>
        <w:textAlignment w:val="auto"/>
        <w:rPr>
          <w:rFonts w:cs="Arial"/>
          <w:sz w:val="22"/>
          <w:szCs w:val="22"/>
        </w:rPr>
      </w:pPr>
    </w:p>
    <w:p w:rsidR="004D6E19" w:rsidRPr="001E05C6" w:rsidRDefault="002A4127"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Por su parte, l</w:t>
      </w:r>
      <w:r w:rsidR="004D6E19" w:rsidRPr="001E05C6">
        <w:rPr>
          <w:rFonts w:cs="Arial"/>
          <w:sz w:val="22"/>
          <w:szCs w:val="22"/>
        </w:rPr>
        <w:t xml:space="preserve">a reclamada señala que la materia controvertida es de carácter íntegramente tributario, y no existe normativa en la Comunidad Andina que regule aspectos sobre la aplicación del impuesto a la renta en los Países Miembros. </w:t>
      </w:r>
    </w:p>
    <w:p w:rsidR="004D6E19" w:rsidRPr="001E05C6" w:rsidRDefault="004D6E19" w:rsidP="001E05C6">
      <w:pPr>
        <w:pStyle w:val="Prrafodelista"/>
        <w:spacing w:line="240" w:lineRule="auto"/>
        <w:ind w:left="0" w:hanging="426"/>
        <w:rPr>
          <w:rFonts w:cs="Arial"/>
          <w:sz w:val="22"/>
          <w:szCs w:val="22"/>
        </w:rPr>
      </w:pPr>
    </w:p>
    <w:p w:rsidR="004D6E19" w:rsidRPr="001E05C6" w:rsidRDefault="002A4127"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Asimismo, l</w:t>
      </w:r>
      <w:r w:rsidR="004D6E19" w:rsidRPr="001E05C6">
        <w:rPr>
          <w:rFonts w:cs="Arial"/>
          <w:sz w:val="22"/>
          <w:szCs w:val="22"/>
        </w:rPr>
        <w:t xml:space="preserve">a reclamada indica que la controversia tuvo como origen los contratos suscritos entre el reclamante con empresas particulares, las cuales no se encuentran constituidas en el territorio de los Países Miembros de la CAN. En virtud a ello, las Decisiones 462 y 707 no </w:t>
      </w:r>
      <w:r w:rsidR="00096EC2" w:rsidRPr="001E05C6">
        <w:rPr>
          <w:rFonts w:cs="Arial"/>
          <w:sz w:val="22"/>
          <w:szCs w:val="22"/>
        </w:rPr>
        <w:t>son</w:t>
      </w:r>
      <w:r w:rsidR="004D6E19" w:rsidRPr="001E05C6">
        <w:rPr>
          <w:rFonts w:cs="Arial"/>
          <w:sz w:val="22"/>
          <w:szCs w:val="22"/>
        </w:rPr>
        <w:t xml:space="preserve"> de aplicación, porque las mismas no regulan aspectos entre los Países Miembros y terceros países.</w:t>
      </w:r>
    </w:p>
    <w:p w:rsidR="004D6E19" w:rsidRPr="001E05C6" w:rsidRDefault="004D6E19" w:rsidP="001E05C6">
      <w:pPr>
        <w:widowControl/>
        <w:adjustRightInd/>
        <w:spacing w:line="240" w:lineRule="auto"/>
        <w:ind w:hanging="426"/>
        <w:textAlignment w:val="auto"/>
        <w:rPr>
          <w:rFonts w:cs="Arial"/>
          <w:sz w:val="22"/>
          <w:szCs w:val="22"/>
        </w:rPr>
      </w:pPr>
    </w:p>
    <w:p w:rsidR="004D6E19" w:rsidRPr="001E05C6" w:rsidRDefault="004D6E1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La reclamada alega que las Decisiones 462 y 707 no regulan aspectos vinculados a la materia de la controversia ante la Corte Suprema, sino aspectos sobre la liberalización del comercio de telecomunicaciones y el registro de operadores satelitales. Asimismo, agregó que sobre la base de dichas Decisiones no se puede calificar l</w:t>
      </w:r>
      <w:r w:rsidR="00120A0E" w:rsidRPr="001E05C6">
        <w:rPr>
          <w:rFonts w:cs="Arial"/>
          <w:sz w:val="22"/>
          <w:szCs w:val="22"/>
        </w:rPr>
        <w:t xml:space="preserve">a naturaleza de la transacción </w:t>
      </w:r>
      <w:r w:rsidRPr="001E05C6">
        <w:rPr>
          <w:rFonts w:cs="Arial"/>
          <w:sz w:val="22"/>
          <w:szCs w:val="22"/>
        </w:rPr>
        <w:t>o el lugar en donde se presta, puesto que ello corresponde a la autoridad tributaria peruana, bajo la normativa tributaria peruana.</w:t>
      </w:r>
    </w:p>
    <w:p w:rsidR="004D6E19" w:rsidRPr="001E05C6" w:rsidRDefault="004D6E19" w:rsidP="001E05C6">
      <w:pPr>
        <w:pStyle w:val="Prrafodelista"/>
        <w:widowControl/>
        <w:adjustRightInd/>
        <w:spacing w:line="240" w:lineRule="auto"/>
        <w:ind w:left="0" w:hanging="426"/>
        <w:contextualSpacing w:val="0"/>
        <w:textAlignment w:val="auto"/>
        <w:rPr>
          <w:rFonts w:cs="Arial"/>
          <w:sz w:val="22"/>
          <w:szCs w:val="22"/>
        </w:rPr>
      </w:pPr>
    </w:p>
    <w:p w:rsidR="004D6E19" w:rsidRPr="001E05C6" w:rsidRDefault="002A4127"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Adicionalmente, l</w:t>
      </w:r>
      <w:r w:rsidR="004D6E19" w:rsidRPr="001E05C6">
        <w:rPr>
          <w:rFonts w:cs="Arial"/>
          <w:sz w:val="22"/>
          <w:szCs w:val="22"/>
        </w:rPr>
        <w:t>a reclamada señala que las definiciones señaladas en el artículo 2 de la Decisión 462 y en el artículo 1 de la Decisión 707 no pueden extrapolarse o emplearse para otros casos como los referidos a temas tributarios, pues exceden el ámbito de aplicación de las referidas Decisiones.</w:t>
      </w:r>
    </w:p>
    <w:p w:rsidR="004D6E19" w:rsidRPr="001E05C6" w:rsidRDefault="004D6E19" w:rsidP="001E05C6">
      <w:pPr>
        <w:widowControl/>
        <w:adjustRightInd/>
        <w:spacing w:line="240" w:lineRule="auto"/>
        <w:ind w:hanging="426"/>
        <w:textAlignment w:val="auto"/>
        <w:rPr>
          <w:rFonts w:cs="Arial"/>
          <w:sz w:val="22"/>
          <w:szCs w:val="22"/>
        </w:rPr>
      </w:pPr>
    </w:p>
    <w:p w:rsidR="004D6E19" w:rsidRPr="001E05C6" w:rsidRDefault="004D6E1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Respecto a lo indicado por la reclamante, referido a la aplicación de la Decisión 462 con base a lo dispuesto en </w:t>
      </w:r>
      <w:r w:rsidR="00EC6007" w:rsidRPr="001E05C6">
        <w:rPr>
          <w:rFonts w:cs="Arial"/>
          <w:sz w:val="22"/>
          <w:szCs w:val="22"/>
        </w:rPr>
        <w:t>el Proceso</w:t>
      </w:r>
      <w:r w:rsidRPr="001E05C6">
        <w:rPr>
          <w:rFonts w:cs="Arial"/>
          <w:sz w:val="22"/>
          <w:szCs w:val="22"/>
        </w:rPr>
        <w:t xml:space="preserve"> </w:t>
      </w:r>
      <w:r w:rsidR="00EC6007" w:rsidRPr="001E05C6">
        <w:rPr>
          <w:rFonts w:cs="Arial"/>
          <w:sz w:val="22"/>
          <w:szCs w:val="22"/>
        </w:rPr>
        <w:t xml:space="preserve">89-IP-2013, </w:t>
      </w:r>
      <w:r w:rsidRPr="001E05C6">
        <w:rPr>
          <w:rFonts w:cs="Arial"/>
          <w:sz w:val="22"/>
          <w:szCs w:val="22"/>
        </w:rPr>
        <w:t>la reclamada manifiesta que en dicho</w:t>
      </w:r>
      <w:r w:rsidR="00EC6007" w:rsidRPr="001E05C6">
        <w:rPr>
          <w:rFonts w:cs="Arial"/>
          <w:sz w:val="22"/>
          <w:szCs w:val="22"/>
        </w:rPr>
        <w:t xml:space="preserve"> proceso</w:t>
      </w:r>
      <w:r w:rsidRPr="001E05C6">
        <w:rPr>
          <w:rFonts w:cs="Arial"/>
          <w:sz w:val="22"/>
          <w:szCs w:val="22"/>
        </w:rPr>
        <w:t xml:space="preserve"> la materia de análisis difiere del examinado en el procedimiento seguido ante la Corte Suprema p</w:t>
      </w:r>
      <w:r w:rsidR="00EC6007" w:rsidRPr="001E05C6">
        <w:rPr>
          <w:rFonts w:cs="Arial"/>
          <w:sz w:val="22"/>
          <w:szCs w:val="22"/>
        </w:rPr>
        <w:t>eruana, puesto que no se centra</w:t>
      </w:r>
      <w:r w:rsidRPr="001E05C6">
        <w:rPr>
          <w:rFonts w:cs="Arial"/>
          <w:sz w:val="22"/>
          <w:szCs w:val="22"/>
        </w:rPr>
        <w:t xml:space="preserve"> en una controversia de carácter tributario.</w:t>
      </w:r>
    </w:p>
    <w:p w:rsidR="004D6E19" w:rsidRPr="001E05C6" w:rsidRDefault="004D6E19" w:rsidP="001E05C6">
      <w:pPr>
        <w:pStyle w:val="Prrafodelista"/>
        <w:widowControl/>
        <w:adjustRightInd/>
        <w:spacing w:line="240" w:lineRule="auto"/>
        <w:ind w:left="0" w:hanging="426"/>
        <w:contextualSpacing w:val="0"/>
        <w:textAlignment w:val="auto"/>
        <w:rPr>
          <w:rFonts w:cs="Arial"/>
          <w:sz w:val="22"/>
          <w:szCs w:val="22"/>
        </w:rPr>
      </w:pPr>
    </w:p>
    <w:p w:rsidR="004D6E19" w:rsidRPr="001E05C6" w:rsidRDefault="00096EC2"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Finalmente</w:t>
      </w:r>
      <w:r w:rsidR="000747DF" w:rsidRPr="001E05C6">
        <w:rPr>
          <w:rFonts w:cs="Arial"/>
          <w:sz w:val="22"/>
          <w:szCs w:val="22"/>
        </w:rPr>
        <w:t>, la reclamada indica que</w:t>
      </w:r>
      <w:r w:rsidR="004D6E19" w:rsidRPr="001E05C6">
        <w:rPr>
          <w:rFonts w:cs="Arial"/>
          <w:sz w:val="22"/>
          <w:szCs w:val="22"/>
        </w:rPr>
        <w:t xml:space="preserve"> el TJCA no podría interpretar si el servicio satelital prestado a la reclamante fue brindado dentro o fuera del territorio peruano sin evaluar hechos. Ello, más aún si las Decisiones 462 y 707 no establecen alguna pauta para realizar dicha evaluación.</w:t>
      </w:r>
    </w:p>
    <w:p w:rsidR="00545996" w:rsidRPr="001E05C6" w:rsidRDefault="00545996" w:rsidP="001E05C6">
      <w:pPr>
        <w:widowControl/>
        <w:adjustRightInd/>
        <w:spacing w:line="240" w:lineRule="auto"/>
        <w:textAlignment w:val="auto"/>
        <w:rPr>
          <w:rFonts w:cs="Arial"/>
          <w:i/>
          <w:sz w:val="22"/>
          <w:szCs w:val="22"/>
          <w:u w:val="single"/>
        </w:rPr>
      </w:pPr>
    </w:p>
    <w:p w:rsidR="008251CC" w:rsidRPr="001E05C6" w:rsidRDefault="008251CC" w:rsidP="001E05C6">
      <w:pPr>
        <w:widowControl/>
        <w:adjustRightInd/>
        <w:spacing w:line="240" w:lineRule="auto"/>
        <w:textAlignment w:val="auto"/>
        <w:rPr>
          <w:rFonts w:cs="Arial"/>
          <w:i/>
          <w:sz w:val="22"/>
          <w:szCs w:val="22"/>
          <w:u w:val="single"/>
        </w:rPr>
      </w:pPr>
      <w:r w:rsidRPr="001E05C6">
        <w:rPr>
          <w:rFonts w:cs="Arial"/>
          <w:i/>
          <w:sz w:val="22"/>
          <w:szCs w:val="22"/>
          <w:u w:val="single"/>
        </w:rPr>
        <w:t>Análisis SGCAN</w:t>
      </w:r>
    </w:p>
    <w:p w:rsidR="00CC6ACD" w:rsidRPr="001E05C6" w:rsidRDefault="00CC6ACD" w:rsidP="001E05C6">
      <w:pPr>
        <w:pStyle w:val="Prrafodelista"/>
        <w:widowControl/>
        <w:adjustRightInd/>
        <w:spacing w:line="240" w:lineRule="auto"/>
        <w:ind w:left="0"/>
        <w:contextualSpacing w:val="0"/>
        <w:textAlignment w:val="auto"/>
        <w:rPr>
          <w:rFonts w:cs="Arial"/>
          <w:sz w:val="22"/>
          <w:szCs w:val="22"/>
        </w:rPr>
      </w:pPr>
    </w:p>
    <w:p w:rsidR="000D7E70" w:rsidRPr="001E05C6" w:rsidRDefault="00541465"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C</w:t>
      </w:r>
      <w:r w:rsidR="00B17288" w:rsidRPr="001E05C6">
        <w:rPr>
          <w:rFonts w:cs="Arial"/>
          <w:sz w:val="22"/>
          <w:szCs w:val="22"/>
        </w:rPr>
        <w:t>omo</w:t>
      </w:r>
      <w:r w:rsidR="000D7E70" w:rsidRPr="001E05C6">
        <w:rPr>
          <w:rFonts w:cs="Arial"/>
          <w:sz w:val="22"/>
          <w:szCs w:val="22"/>
        </w:rPr>
        <w:t xml:space="preserve"> ya se ha señalado en el presente Dictamen</w:t>
      </w:r>
      <w:r w:rsidR="00B17288" w:rsidRPr="001E05C6">
        <w:rPr>
          <w:rFonts w:cs="Arial"/>
          <w:sz w:val="22"/>
          <w:szCs w:val="22"/>
        </w:rPr>
        <w:t>, la reclamante requiri</w:t>
      </w:r>
      <w:r w:rsidR="000D7E70" w:rsidRPr="001E05C6">
        <w:rPr>
          <w:rFonts w:cs="Arial"/>
          <w:sz w:val="22"/>
          <w:szCs w:val="22"/>
        </w:rPr>
        <w:t>ó a la Sala de Derecho Constitucional y Social Transitoria</w:t>
      </w:r>
      <w:r w:rsidR="00BF65F4" w:rsidRPr="001E05C6">
        <w:rPr>
          <w:rFonts w:cs="Arial"/>
          <w:sz w:val="22"/>
          <w:szCs w:val="22"/>
        </w:rPr>
        <w:t xml:space="preserve"> de la Corte Suprema </w:t>
      </w:r>
      <w:r w:rsidR="000D7E70" w:rsidRPr="001E05C6">
        <w:rPr>
          <w:rFonts w:cs="Arial"/>
          <w:sz w:val="22"/>
          <w:szCs w:val="22"/>
        </w:rPr>
        <w:t>que solicite</w:t>
      </w:r>
      <w:r w:rsidR="00CD58ED" w:rsidRPr="001E05C6">
        <w:rPr>
          <w:rFonts w:cs="Arial"/>
          <w:sz w:val="22"/>
          <w:szCs w:val="22"/>
        </w:rPr>
        <w:t xml:space="preserve"> la</w:t>
      </w:r>
      <w:r w:rsidR="000D7E70" w:rsidRPr="001E05C6">
        <w:rPr>
          <w:rFonts w:cs="Arial"/>
          <w:sz w:val="22"/>
          <w:szCs w:val="22"/>
        </w:rPr>
        <w:t xml:space="preserve"> interpretaci</w:t>
      </w:r>
      <w:r w:rsidR="003049AC" w:rsidRPr="001E05C6">
        <w:rPr>
          <w:rFonts w:cs="Arial"/>
          <w:sz w:val="22"/>
          <w:szCs w:val="22"/>
        </w:rPr>
        <w:t>ón prejudicial</w:t>
      </w:r>
      <w:r w:rsidR="00581350" w:rsidRPr="001E05C6">
        <w:rPr>
          <w:rFonts w:cs="Arial"/>
          <w:sz w:val="22"/>
          <w:szCs w:val="22"/>
        </w:rPr>
        <w:t xml:space="preserve"> al TJCA</w:t>
      </w:r>
      <w:r w:rsidR="00715DAD" w:rsidRPr="001E05C6">
        <w:rPr>
          <w:rFonts w:cs="Arial"/>
          <w:sz w:val="22"/>
          <w:szCs w:val="22"/>
        </w:rPr>
        <w:t xml:space="preserve"> respecto de lo dispuesto en los artículos 1, 2 y 3 de la Decisión 462 y los artículos 1 y 5 de la Decisión 707</w:t>
      </w:r>
      <w:r w:rsidR="00983AA4" w:rsidRPr="001E05C6">
        <w:rPr>
          <w:rFonts w:cs="Arial"/>
          <w:sz w:val="22"/>
          <w:szCs w:val="22"/>
        </w:rPr>
        <w:t>,</w:t>
      </w:r>
      <w:r w:rsidR="00BF65F4" w:rsidRPr="001E05C6">
        <w:rPr>
          <w:rFonts w:cs="Arial"/>
          <w:sz w:val="22"/>
          <w:szCs w:val="22"/>
        </w:rPr>
        <w:t xml:space="preserve"> </w:t>
      </w:r>
      <w:r w:rsidR="003049AC" w:rsidRPr="001E05C6">
        <w:rPr>
          <w:rFonts w:cs="Arial"/>
          <w:sz w:val="22"/>
          <w:szCs w:val="22"/>
        </w:rPr>
        <w:t>en virtud a que -</w:t>
      </w:r>
      <w:r w:rsidR="000D7E70" w:rsidRPr="001E05C6">
        <w:rPr>
          <w:rFonts w:cs="Arial"/>
          <w:sz w:val="22"/>
          <w:szCs w:val="22"/>
        </w:rPr>
        <w:t xml:space="preserve">a su criterio- </w:t>
      </w:r>
      <w:r w:rsidR="00715DAD" w:rsidRPr="001E05C6">
        <w:rPr>
          <w:rFonts w:cs="Arial"/>
          <w:sz w:val="22"/>
          <w:szCs w:val="22"/>
        </w:rPr>
        <w:t>dichas disposiciones</w:t>
      </w:r>
      <w:r w:rsidR="000D7E70" w:rsidRPr="001E05C6">
        <w:rPr>
          <w:rFonts w:cs="Arial"/>
          <w:sz w:val="22"/>
          <w:szCs w:val="22"/>
        </w:rPr>
        <w:t xml:space="preserve"> resultaban aplicables para la resolución de </w:t>
      </w:r>
      <w:r w:rsidR="00BF65F4" w:rsidRPr="001E05C6">
        <w:rPr>
          <w:rFonts w:cs="Arial"/>
          <w:sz w:val="22"/>
          <w:szCs w:val="22"/>
        </w:rPr>
        <w:t xml:space="preserve">la </w:t>
      </w:r>
      <w:r w:rsidR="000D7E70" w:rsidRPr="001E05C6">
        <w:rPr>
          <w:rFonts w:cs="Arial"/>
          <w:sz w:val="22"/>
          <w:szCs w:val="22"/>
        </w:rPr>
        <w:t>controversia.</w:t>
      </w:r>
      <w:r w:rsidR="00E426AF" w:rsidRPr="001E05C6">
        <w:rPr>
          <w:rFonts w:cs="Arial"/>
          <w:sz w:val="22"/>
          <w:szCs w:val="22"/>
        </w:rPr>
        <w:t xml:space="preserve"> </w:t>
      </w:r>
      <w:r w:rsidR="000D7E70" w:rsidRPr="001E05C6">
        <w:rPr>
          <w:rFonts w:cs="Arial"/>
          <w:sz w:val="22"/>
          <w:szCs w:val="22"/>
        </w:rPr>
        <w:t xml:space="preserve">No obstante, </w:t>
      </w:r>
      <w:r w:rsidR="004E143F" w:rsidRPr="001E05C6">
        <w:rPr>
          <w:rFonts w:cs="Arial"/>
          <w:sz w:val="22"/>
          <w:szCs w:val="22"/>
        </w:rPr>
        <w:t xml:space="preserve">mediante la Resolución No. 3 SCST de fecha 23 de abril de 2018, </w:t>
      </w:r>
      <w:r w:rsidR="000D7E70" w:rsidRPr="001E05C6">
        <w:rPr>
          <w:rFonts w:cs="Arial"/>
          <w:sz w:val="22"/>
          <w:szCs w:val="22"/>
        </w:rPr>
        <w:t xml:space="preserve">la Corte Suprema declaró improcedente lo requerido por la reclamante, </w:t>
      </w:r>
      <w:r w:rsidR="00C828F1" w:rsidRPr="001E05C6">
        <w:rPr>
          <w:rFonts w:cs="Arial"/>
          <w:sz w:val="22"/>
          <w:szCs w:val="22"/>
        </w:rPr>
        <w:t>señalando</w:t>
      </w:r>
      <w:r w:rsidR="000D7E70" w:rsidRPr="001E05C6">
        <w:rPr>
          <w:rFonts w:cs="Arial"/>
          <w:sz w:val="22"/>
          <w:szCs w:val="22"/>
        </w:rPr>
        <w:t xml:space="preserve"> lo siguiente:</w:t>
      </w:r>
    </w:p>
    <w:p w:rsidR="000D7E70" w:rsidRPr="001E05C6" w:rsidRDefault="000D7E70" w:rsidP="001E05C6">
      <w:pPr>
        <w:pStyle w:val="Prrafodelista"/>
        <w:widowControl/>
        <w:adjustRightInd/>
        <w:spacing w:line="240" w:lineRule="auto"/>
        <w:ind w:left="-12"/>
        <w:contextualSpacing w:val="0"/>
        <w:textAlignment w:val="auto"/>
        <w:rPr>
          <w:rFonts w:cs="Arial"/>
          <w:sz w:val="22"/>
          <w:szCs w:val="22"/>
        </w:rPr>
      </w:pPr>
    </w:p>
    <w:p w:rsidR="00AC0F02" w:rsidRPr="001E05C6" w:rsidRDefault="000D7E70" w:rsidP="001E05C6">
      <w:pPr>
        <w:widowControl/>
        <w:adjustRightInd/>
        <w:spacing w:line="240" w:lineRule="auto"/>
        <w:ind w:left="1134"/>
        <w:textAlignment w:val="auto"/>
        <w:rPr>
          <w:rFonts w:cs="Arial"/>
          <w:i/>
          <w:sz w:val="22"/>
          <w:szCs w:val="22"/>
        </w:rPr>
      </w:pPr>
      <w:r w:rsidRPr="001E05C6">
        <w:rPr>
          <w:rFonts w:cs="Arial"/>
          <w:i/>
          <w:sz w:val="22"/>
          <w:szCs w:val="22"/>
        </w:rPr>
        <w:t>“</w:t>
      </w:r>
      <w:r w:rsidR="00AC0F02" w:rsidRPr="001E05C6">
        <w:rPr>
          <w:rFonts w:cs="Arial"/>
          <w:i/>
          <w:sz w:val="22"/>
          <w:szCs w:val="22"/>
        </w:rPr>
        <w:t>(…)</w:t>
      </w:r>
    </w:p>
    <w:p w:rsidR="000D7E70" w:rsidRPr="001E05C6" w:rsidRDefault="000D7E70" w:rsidP="001E05C6">
      <w:pPr>
        <w:widowControl/>
        <w:adjustRightInd/>
        <w:spacing w:line="240" w:lineRule="auto"/>
        <w:ind w:left="1134"/>
        <w:textAlignment w:val="auto"/>
        <w:rPr>
          <w:rFonts w:cs="Arial"/>
          <w:i/>
          <w:sz w:val="22"/>
          <w:szCs w:val="22"/>
        </w:rPr>
      </w:pPr>
      <w:r w:rsidRPr="001E05C6">
        <w:rPr>
          <w:rFonts w:cs="Arial"/>
          <w:i/>
          <w:sz w:val="22"/>
          <w:szCs w:val="22"/>
          <w:u w:val="single"/>
        </w:rPr>
        <w:t>CUARTO</w:t>
      </w:r>
      <w:r w:rsidRPr="001E05C6">
        <w:rPr>
          <w:rFonts w:cs="Arial"/>
          <w:i/>
          <w:sz w:val="22"/>
          <w:szCs w:val="22"/>
        </w:rPr>
        <w:t xml:space="preserve">.- </w:t>
      </w:r>
      <w:r w:rsidRPr="001E05C6">
        <w:rPr>
          <w:rFonts w:cs="Arial"/>
          <w:b/>
          <w:i/>
          <w:sz w:val="22"/>
          <w:szCs w:val="22"/>
          <w:u w:val="single"/>
        </w:rPr>
        <w:t>evaluando el pedido</w:t>
      </w:r>
      <w:r w:rsidRPr="001E05C6">
        <w:rPr>
          <w:rFonts w:cs="Arial"/>
          <w:i/>
          <w:sz w:val="22"/>
          <w:szCs w:val="22"/>
        </w:rPr>
        <w:t xml:space="preserve"> de remitir los autos al Tribunal de Justicia de la Comunidad Andina, se advierte de la revisión de los autos, que </w:t>
      </w:r>
      <w:r w:rsidRPr="001E05C6">
        <w:rPr>
          <w:rFonts w:cs="Arial"/>
          <w:b/>
          <w:i/>
          <w:sz w:val="22"/>
          <w:szCs w:val="22"/>
          <w:u w:val="single"/>
        </w:rPr>
        <w:t>ninguna de las partes ha denunciado normas relacionadas a la comunidad andina,</w:t>
      </w:r>
      <w:r w:rsidRPr="001E05C6">
        <w:rPr>
          <w:rFonts w:cs="Arial"/>
          <w:i/>
          <w:sz w:val="22"/>
          <w:szCs w:val="22"/>
          <w:u w:val="single"/>
        </w:rPr>
        <w:t xml:space="preserve"> </w:t>
      </w:r>
      <w:r w:rsidRPr="001E05C6">
        <w:rPr>
          <w:rFonts w:cs="Arial"/>
          <w:b/>
          <w:i/>
          <w:sz w:val="22"/>
          <w:szCs w:val="22"/>
          <w:u w:val="single"/>
        </w:rPr>
        <w:t>ni durante la etapa administrativa, ni durante la etapa judicial</w:t>
      </w:r>
      <w:r w:rsidRPr="001E05C6">
        <w:rPr>
          <w:rFonts w:cs="Arial"/>
          <w:i/>
          <w:sz w:val="22"/>
          <w:szCs w:val="22"/>
        </w:rPr>
        <w:t xml:space="preserve">, tanto en primera como en segunda instancia, </w:t>
      </w:r>
      <w:r w:rsidRPr="001E05C6">
        <w:rPr>
          <w:rFonts w:cs="Arial"/>
          <w:b/>
          <w:i/>
          <w:sz w:val="22"/>
          <w:szCs w:val="22"/>
          <w:u w:val="single"/>
        </w:rPr>
        <w:t>no se han invocado en el petitorio</w:t>
      </w:r>
      <w:r w:rsidRPr="001E05C6">
        <w:rPr>
          <w:rFonts w:cs="Arial"/>
          <w:i/>
          <w:sz w:val="22"/>
          <w:szCs w:val="22"/>
        </w:rPr>
        <w:t xml:space="preserve"> o durante la tramitación de los procesos, </w:t>
      </w:r>
      <w:r w:rsidRPr="001E05C6">
        <w:rPr>
          <w:rFonts w:cs="Arial"/>
          <w:b/>
          <w:i/>
          <w:sz w:val="22"/>
          <w:szCs w:val="22"/>
          <w:u w:val="single"/>
        </w:rPr>
        <w:t>normas que merezcan interpretación alguna por este Tribunal de Justicia</w:t>
      </w:r>
      <w:r w:rsidRPr="001E05C6">
        <w:rPr>
          <w:rFonts w:cs="Arial"/>
          <w:i/>
          <w:sz w:val="22"/>
          <w:szCs w:val="22"/>
        </w:rPr>
        <w:t>, por lo tanto no corresponde la suspensión ni remisión de los autos, tal como solicita el recurrente</w:t>
      </w:r>
      <w:r w:rsidR="00541465" w:rsidRPr="001E05C6">
        <w:rPr>
          <w:rFonts w:cs="Arial"/>
          <w:i/>
          <w:sz w:val="22"/>
          <w:szCs w:val="22"/>
        </w:rPr>
        <w:t>.</w:t>
      </w:r>
    </w:p>
    <w:p w:rsidR="000D7E70" w:rsidRPr="001E05C6" w:rsidRDefault="000D7E70" w:rsidP="001E05C6">
      <w:pPr>
        <w:pStyle w:val="Prrafodelista"/>
        <w:spacing w:line="240" w:lineRule="auto"/>
        <w:ind w:left="1134"/>
        <w:rPr>
          <w:rFonts w:cs="Arial"/>
          <w:i/>
          <w:sz w:val="22"/>
          <w:szCs w:val="22"/>
        </w:rPr>
      </w:pPr>
    </w:p>
    <w:p w:rsidR="000D7E70" w:rsidRPr="001E05C6" w:rsidRDefault="000D7E70" w:rsidP="001E05C6">
      <w:pPr>
        <w:pStyle w:val="Prrafodelista"/>
        <w:spacing w:line="240" w:lineRule="auto"/>
        <w:ind w:left="1134"/>
        <w:rPr>
          <w:rFonts w:cs="Arial"/>
          <w:i/>
          <w:sz w:val="22"/>
          <w:szCs w:val="22"/>
        </w:rPr>
      </w:pPr>
      <w:r w:rsidRPr="001E05C6">
        <w:rPr>
          <w:rFonts w:cs="Arial"/>
          <w:i/>
          <w:sz w:val="22"/>
          <w:szCs w:val="22"/>
        </w:rPr>
        <w:t>(…)</w:t>
      </w:r>
    </w:p>
    <w:p w:rsidR="000D7E70" w:rsidRPr="001E05C6" w:rsidRDefault="000D7E70" w:rsidP="001E05C6">
      <w:pPr>
        <w:pStyle w:val="Prrafodelista"/>
        <w:spacing w:line="240" w:lineRule="auto"/>
        <w:ind w:left="1134"/>
        <w:rPr>
          <w:rFonts w:cs="Arial"/>
          <w:i/>
          <w:sz w:val="22"/>
          <w:szCs w:val="22"/>
        </w:rPr>
      </w:pPr>
    </w:p>
    <w:p w:rsidR="000D7E70" w:rsidRPr="001E05C6" w:rsidRDefault="000D7E70" w:rsidP="001E05C6">
      <w:pPr>
        <w:pStyle w:val="Prrafodelista"/>
        <w:spacing w:line="240" w:lineRule="auto"/>
        <w:ind w:left="1134"/>
        <w:rPr>
          <w:rFonts w:cs="Arial"/>
          <w:i/>
          <w:sz w:val="22"/>
          <w:szCs w:val="22"/>
        </w:rPr>
      </w:pPr>
      <w:r w:rsidRPr="001E05C6">
        <w:rPr>
          <w:rFonts w:cs="Arial"/>
          <w:i/>
          <w:sz w:val="22"/>
          <w:szCs w:val="22"/>
          <w:u w:val="single"/>
        </w:rPr>
        <w:t>SEXTO</w:t>
      </w:r>
      <w:r w:rsidRPr="001E05C6">
        <w:rPr>
          <w:rFonts w:cs="Arial"/>
          <w:i/>
          <w:sz w:val="22"/>
          <w:szCs w:val="22"/>
        </w:rPr>
        <w:t xml:space="preserve">.- En ese sentido, </w:t>
      </w:r>
      <w:r w:rsidRPr="001E05C6">
        <w:rPr>
          <w:rFonts w:cs="Arial"/>
          <w:b/>
          <w:i/>
          <w:sz w:val="22"/>
          <w:szCs w:val="22"/>
          <w:u w:val="single"/>
        </w:rPr>
        <w:t xml:space="preserve">el debate </w:t>
      </w:r>
      <w:proofErr w:type="spellStart"/>
      <w:r w:rsidRPr="001E05C6">
        <w:rPr>
          <w:rFonts w:cs="Arial"/>
          <w:b/>
          <w:i/>
          <w:sz w:val="22"/>
          <w:szCs w:val="22"/>
          <w:u w:val="single"/>
        </w:rPr>
        <w:t>casatorio</w:t>
      </w:r>
      <w:proofErr w:type="spellEnd"/>
      <w:r w:rsidRPr="001E05C6">
        <w:rPr>
          <w:rFonts w:cs="Arial"/>
          <w:b/>
          <w:i/>
          <w:sz w:val="22"/>
          <w:szCs w:val="22"/>
          <w:u w:val="single"/>
        </w:rPr>
        <w:t xml:space="preserve"> en la presente causa se ha ceñido a las infracciones normativas enunciadas en el considerando precedente</w:t>
      </w:r>
      <w:r w:rsidR="007A2E85" w:rsidRPr="001E05C6">
        <w:rPr>
          <w:rFonts w:cs="Arial"/>
          <w:b/>
          <w:i/>
          <w:sz w:val="22"/>
          <w:szCs w:val="22"/>
          <w:u w:val="single"/>
        </w:rPr>
        <w:t xml:space="preserve"> </w:t>
      </w:r>
      <w:r w:rsidR="007A2E85" w:rsidRPr="001E05C6">
        <w:rPr>
          <w:rFonts w:cs="Arial"/>
          <w:sz w:val="22"/>
          <w:szCs w:val="22"/>
        </w:rPr>
        <w:t>[vinculadas a normas nacionales]</w:t>
      </w:r>
      <w:r w:rsidRPr="001E05C6">
        <w:rPr>
          <w:rFonts w:cs="Arial"/>
          <w:sz w:val="22"/>
          <w:szCs w:val="22"/>
        </w:rPr>
        <w:t>,</w:t>
      </w:r>
      <w:r w:rsidRPr="001E05C6">
        <w:rPr>
          <w:rFonts w:cs="Arial"/>
          <w:i/>
          <w:sz w:val="22"/>
          <w:szCs w:val="22"/>
        </w:rPr>
        <w:t xml:space="preserve"> planteadas por los propios litigantes en sus respectivos recursos de casación, </w:t>
      </w:r>
      <w:r w:rsidRPr="001E05C6">
        <w:rPr>
          <w:rFonts w:cs="Arial"/>
          <w:b/>
          <w:i/>
          <w:sz w:val="22"/>
          <w:szCs w:val="22"/>
          <w:u w:val="single"/>
        </w:rPr>
        <w:t xml:space="preserve">sin que </w:t>
      </w:r>
      <w:r w:rsidR="00AA3170" w:rsidRPr="001E05C6">
        <w:rPr>
          <w:rFonts w:cs="Arial"/>
          <w:b/>
          <w:i/>
          <w:sz w:val="22"/>
          <w:szCs w:val="22"/>
          <w:u w:val="single"/>
        </w:rPr>
        <w:t xml:space="preserve">en </w:t>
      </w:r>
      <w:r w:rsidRPr="001E05C6">
        <w:rPr>
          <w:rFonts w:cs="Arial"/>
          <w:b/>
          <w:i/>
          <w:sz w:val="22"/>
          <w:szCs w:val="22"/>
          <w:u w:val="single"/>
        </w:rPr>
        <w:t>ninguno de ellos se haga alusión o referencia a alguna norma que sea parte del ordenamiento jurídico de la Comunidad Andina</w:t>
      </w:r>
      <w:r w:rsidR="00455D06" w:rsidRPr="001E05C6">
        <w:rPr>
          <w:rFonts w:cs="Arial"/>
          <w:i/>
          <w:sz w:val="22"/>
          <w:szCs w:val="22"/>
        </w:rPr>
        <w:t xml:space="preserve">, como serían las mencionadas por Telefónica (…) en su escrito materia de estudio, estas son, las Decisiones </w:t>
      </w:r>
      <w:proofErr w:type="spellStart"/>
      <w:r w:rsidR="00455D06" w:rsidRPr="001E05C6">
        <w:rPr>
          <w:rFonts w:cs="Arial"/>
          <w:i/>
          <w:sz w:val="22"/>
          <w:szCs w:val="22"/>
        </w:rPr>
        <w:t>N°s</w:t>
      </w:r>
      <w:proofErr w:type="spellEnd"/>
      <w:r w:rsidR="00455D06" w:rsidRPr="001E05C6">
        <w:rPr>
          <w:rFonts w:cs="Arial"/>
          <w:i/>
          <w:sz w:val="22"/>
          <w:szCs w:val="22"/>
        </w:rPr>
        <w:t xml:space="preserve"> 462 o 707 de la Comisión de la Comunidad Andina.</w:t>
      </w:r>
    </w:p>
    <w:p w:rsidR="000D7E70" w:rsidRPr="001E05C6" w:rsidRDefault="000D7E70" w:rsidP="001E05C6">
      <w:pPr>
        <w:pStyle w:val="Prrafodelista"/>
        <w:spacing w:line="240" w:lineRule="auto"/>
        <w:ind w:left="1134"/>
        <w:rPr>
          <w:rFonts w:cs="Arial"/>
          <w:i/>
          <w:sz w:val="22"/>
          <w:szCs w:val="22"/>
        </w:rPr>
      </w:pPr>
    </w:p>
    <w:p w:rsidR="00600529" w:rsidRPr="001E05C6" w:rsidRDefault="007D664B" w:rsidP="001E05C6">
      <w:pPr>
        <w:pStyle w:val="Prrafodelista"/>
        <w:spacing w:line="240" w:lineRule="auto"/>
        <w:ind w:left="1134"/>
        <w:rPr>
          <w:rFonts w:cs="Arial"/>
          <w:i/>
          <w:sz w:val="22"/>
          <w:szCs w:val="22"/>
        </w:rPr>
      </w:pPr>
      <w:r w:rsidRPr="001E05C6">
        <w:rPr>
          <w:rFonts w:cs="Arial"/>
          <w:i/>
          <w:sz w:val="22"/>
          <w:szCs w:val="22"/>
          <w:u w:val="single"/>
        </w:rPr>
        <w:t>SÉPTIMO</w:t>
      </w:r>
      <w:r w:rsidRPr="001E05C6">
        <w:rPr>
          <w:rFonts w:cs="Arial"/>
          <w:i/>
          <w:sz w:val="22"/>
          <w:szCs w:val="22"/>
        </w:rPr>
        <w:t>. -</w:t>
      </w:r>
      <w:r w:rsidR="000D7E70" w:rsidRPr="001E05C6">
        <w:rPr>
          <w:rFonts w:cs="Arial"/>
          <w:i/>
          <w:sz w:val="22"/>
          <w:szCs w:val="22"/>
        </w:rPr>
        <w:t xml:space="preserve"> Por lo tanto, no se aprecia que esta Sala hubiera incumplido con lo dispuesto en el artículo 33° del Tratado de Creación del Tribunal de Justicia de la Comunidad Andina o los artículos 121° y 123° del Estatuto </w:t>
      </w:r>
      <w:r w:rsidR="00600529" w:rsidRPr="001E05C6">
        <w:rPr>
          <w:rFonts w:cs="Arial"/>
          <w:i/>
          <w:sz w:val="22"/>
          <w:szCs w:val="22"/>
        </w:rPr>
        <w:t>de la Comunidad Andina (…)</w:t>
      </w:r>
    </w:p>
    <w:p w:rsidR="00581350" w:rsidRPr="001E05C6" w:rsidRDefault="00581350" w:rsidP="001E05C6">
      <w:pPr>
        <w:spacing w:line="240" w:lineRule="auto"/>
        <w:rPr>
          <w:rFonts w:cs="Arial"/>
          <w:i/>
          <w:sz w:val="22"/>
          <w:szCs w:val="22"/>
        </w:rPr>
      </w:pPr>
    </w:p>
    <w:p w:rsidR="00545996" w:rsidRPr="001E05C6" w:rsidRDefault="00581350" w:rsidP="001E05C6">
      <w:pPr>
        <w:pStyle w:val="Prrafodelista"/>
        <w:spacing w:line="240" w:lineRule="auto"/>
        <w:ind w:left="1134"/>
        <w:rPr>
          <w:rFonts w:cs="Arial"/>
          <w:i/>
          <w:sz w:val="22"/>
          <w:szCs w:val="22"/>
        </w:rPr>
      </w:pPr>
      <w:r w:rsidRPr="001E05C6">
        <w:rPr>
          <w:rFonts w:cs="Arial"/>
          <w:i/>
          <w:sz w:val="22"/>
          <w:szCs w:val="22"/>
        </w:rPr>
        <w:t xml:space="preserve">Por tales consideraciones corresponde declarar: I) IMPROCEDENTE el pedido de suspender y oficial al Tribunal de Justicia de la Comunidad Andina, </w:t>
      </w:r>
      <w:r w:rsidR="00943F2B" w:rsidRPr="001E05C6">
        <w:rPr>
          <w:rFonts w:cs="Arial"/>
          <w:i/>
          <w:sz w:val="22"/>
          <w:szCs w:val="22"/>
        </w:rPr>
        <w:t xml:space="preserve">para que se emita interpretación prejudicial obligatoria solicitada por Telefónica del Perú Sociedad Anónima Cerrada; e, </w:t>
      </w:r>
      <w:r w:rsidRPr="001E05C6">
        <w:rPr>
          <w:rFonts w:cs="Arial"/>
          <w:i/>
          <w:sz w:val="22"/>
          <w:szCs w:val="22"/>
        </w:rPr>
        <w:t>(…)</w:t>
      </w:r>
      <w:r w:rsidR="00715DAD" w:rsidRPr="001E05C6">
        <w:rPr>
          <w:rFonts w:cs="Arial"/>
          <w:i/>
          <w:sz w:val="22"/>
          <w:szCs w:val="22"/>
        </w:rPr>
        <w:t>.</w:t>
      </w:r>
      <w:r w:rsidRPr="001E05C6">
        <w:rPr>
          <w:rFonts w:cs="Arial"/>
          <w:i/>
          <w:sz w:val="22"/>
          <w:szCs w:val="22"/>
        </w:rPr>
        <w:t xml:space="preserve">” </w:t>
      </w:r>
      <w:r w:rsidR="00455D06" w:rsidRPr="001E05C6">
        <w:rPr>
          <w:rFonts w:cs="Arial"/>
          <w:sz w:val="22"/>
          <w:szCs w:val="22"/>
        </w:rPr>
        <w:t>(Énfasis agregado)</w:t>
      </w:r>
    </w:p>
    <w:p w:rsidR="00545996" w:rsidRPr="001E05C6" w:rsidRDefault="00545996" w:rsidP="001E05C6">
      <w:pPr>
        <w:pStyle w:val="Prrafodelista"/>
        <w:spacing w:line="240" w:lineRule="auto"/>
        <w:rPr>
          <w:rFonts w:cs="Arial"/>
          <w:sz w:val="22"/>
          <w:szCs w:val="22"/>
        </w:rPr>
      </w:pPr>
    </w:p>
    <w:p w:rsidR="00996548" w:rsidRPr="001E05C6" w:rsidRDefault="00983AA4"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Al respecto, se aprecia</w:t>
      </w:r>
      <w:r w:rsidR="003049AC" w:rsidRPr="001E05C6">
        <w:rPr>
          <w:rFonts w:cs="Arial"/>
          <w:sz w:val="22"/>
          <w:szCs w:val="22"/>
        </w:rPr>
        <w:t xml:space="preserve"> que</w:t>
      </w:r>
      <w:r w:rsidR="007A2E85" w:rsidRPr="001E05C6">
        <w:rPr>
          <w:rFonts w:cs="Arial"/>
          <w:sz w:val="22"/>
          <w:szCs w:val="22"/>
        </w:rPr>
        <w:t xml:space="preserve"> la Corte Suprema </w:t>
      </w:r>
      <w:r w:rsidR="00C828F1" w:rsidRPr="001E05C6">
        <w:rPr>
          <w:rFonts w:cs="Arial"/>
          <w:sz w:val="22"/>
          <w:szCs w:val="22"/>
        </w:rPr>
        <w:t xml:space="preserve">evaluó y </w:t>
      </w:r>
      <w:r w:rsidR="007A2E85" w:rsidRPr="001E05C6">
        <w:rPr>
          <w:rFonts w:cs="Arial"/>
          <w:sz w:val="22"/>
          <w:szCs w:val="22"/>
        </w:rPr>
        <w:t>se pronunció en forma expresa sobre la solicit</w:t>
      </w:r>
      <w:r w:rsidR="009D7509" w:rsidRPr="001E05C6">
        <w:rPr>
          <w:rFonts w:cs="Arial"/>
          <w:sz w:val="22"/>
          <w:szCs w:val="22"/>
        </w:rPr>
        <w:t>ud formulada por la reclamante, desestimando dicha solicitud en virtud a que: (i) la controversia se suscitó exclusivamente a la luz de normas nacionales; y, (ii) no se alegaron normas comunitarias andinas</w:t>
      </w:r>
      <w:r w:rsidR="00C828F1" w:rsidRPr="001E05C6">
        <w:rPr>
          <w:rFonts w:cs="Arial"/>
          <w:sz w:val="22"/>
          <w:szCs w:val="22"/>
        </w:rPr>
        <w:t xml:space="preserve"> ni durante la etapa administrativa, ni durante la etapa judicial.</w:t>
      </w:r>
      <w:r w:rsidR="00996548" w:rsidRPr="001E05C6">
        <w:rPr>
          <w:rFonts w:cs="Arial"/>
          <w:sz w:val="22"/>
          <w:szCs w:val="22"/>
        </w:rPr>
        <w:t xml:space="preserve"> </w:t>
      </w:r>
    </w:p>
    <w:p w:rsidR="00996548" w:rsidRPr="001E05C6" w:rsidRDefault="00996548" w:rsidP="001E05C6">
      <w:pPr>
        <w:pStyle w:val="Prrafodelista"/>
        <w:widowControl/>
        <w:adjustRightInd/>
        <w:spacing w:line="240" w:lineRule="auto"/>
        <w:ind w:left="0" w:hanging="426"/>
        <w:contextualSpacing w:val="0"/>
        <w:textAlignment w:val="auto"/>
        <w:rPr>
          <w:rFonts w:cs="Arial"/>
          <w:sz w:val="22"/>
          <w:szCs w:val="22"/>
        </w:rPr>
      </w:pPr>
    </w:p>
    <w:p w:rsidR="006403DB" w:rsidRPr="001E05C6" w:rsidRDefault="004340C4"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En relación a ello</w:t>
      </w:r>
      <w:r w:rsidR="00996548" w:rsidRPr="001E05C6">
        <w:rPr>
          <w:rFonts w:cs="Arial"/>
          <w:sz w:val="22"/>
          <w:szCs w:val="22"/>
        </w:rPr>
        <w:t>,</w:t>
      </w:r>
      <w:r w:rsidR="009D7509" w:rsidRPr="001E05C6">
        <w:rPr>
          <w:rFonts w:cs="Arial"/>
          <w:sz w:val="22"/>
          <w:szCs w:val="22"/>
        </w:rPr>
        <w:t xml:space="preserve"> es preciso </w:t>
      </w:r>
      <w:r w:rsidRPr="001E05C6">
        <w:rPr>
          <w:rFonts w:cs="Arial"/>
          <w:sz w:val="22"/>
          <w:szCs w:val="22"/>
        </w:rPr>
        <w:t xml:space="preserve">indicar </w:t>
      </w:r>
      <w:r w:rsidR="00BF4F82" w:rsidRPr="001E05C6">
        <w:rPr>
          <w:rFonts w:cs="Arial"/>
          <w:sz w:val="22"/>
          <w:szCs w:val="22"/>
        </w:rPr>
        <w:t xml:space="preserve">que </w:t>
      </w:r>
      <w:r w:rsidR="00CF1FF9" w:rsidRPr="001E05C6">
        <w:rPr>
          <w:rFonts w:cs="Arial"/>
          <w:sz w:val="22"/>
          <w:szCs w:val="22"/>
        </w:rPr>
        <w:t>no le corresponde a este Órgano Comunitario calificar o valorar las apreciaciones del juez nacional</w:t>
      </w:r>
      <w:r w:rsidR="00C81C82" w:rsidRPr="001E05C6">
        <w:rPr>
          <w:rFonts w:cs="Arial"/>
          <w:sz w:val="22"/>
          <w:szCs w:val="22"/>
        </w:rPr>
        <w:t>, quien es el único competente para evaluar si es procedente, previsible y necesaria la aplicaci</w:t>
      </w:r>
      <w:r w:rsidR="006F10CC" w:rsidRPr="001E05C6">
        <w:rPr>
          <w:rFonts w:cs="Arial"/>
          <w:sz w:val="22"/>
          <w:szCs w:val="22"/>
        </w:rPr>
        <w:t>ón de una norma andina</w:t>
      </w:r>
      <w:r w:rsidR="005C058D" w:rsidRPr="001E05C6">
        <w:rPr>
          <w:rFonts w:cs="Arial"/>
          <w:sz w:val="22"/>
          <w:szCs w:val="22"/>
        </w:rPr>
        <w:t xml:space="preserve"> para resolver la controversia.</w:t>
      </w:r>
      <w:r w:rsidR="005C058D" w:rsidRPr="001E05C6">
        <w:rPr>
          <w:rStyle w:val="Refdenotaalpie"/>
          <w:rFonts w:cs="Arial"/>
          <w:sz w:val="22"/>
          <w:szCs w:val="22"/>
        </w:rPr>
        <w:footnoteReference w:id="53"/>
      </w:r>
    </w:p>
    <w:p w:rsidR="005C058D" w:rsidRPr="001E05C6" w:rsidRDefault="005C058D" w:rsidP="001E05C6">
      <w:pPr>
        <w:pStyle w:val="Prrafodelista"/>
        <w:widowControl/>
        <w:adjustRightInd/>
        <w:spacing w:line="240" w:lineRule="auto"/>
        <w:ind w:left="0"/>
        <w:contextualSpacing w:val="0"/>
        <w:textAlignment w:val="auto"/>
        <w:rPr>
          <w:rFonts w:cs="Arial"/>
          <w:sz w:val="22"/>
          <w:szCs w:val="22"/>
        </w:rPr>
      </w:pPr>
    </w:p>
    <w:p w:rsidR="006403DB" w:rsidRPr="001E05C6" w:rsidRDefault="00CF1FF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Al respecto, e</w:t>
      </w:r>
      <w:r w:rsidR="00BF4F82" w:rsidRPr="001E05C6">
        <w:rPr>
          <w:rFonts w:cs="Arial"/>
          <w:sz w:val="22"/>
          <w:szCs w:val="22"/>
        </w:rPr>
        <w:t>l TJCA ha</w:t>
      </w:r>
      <w:r w:rsidR="005F405A" w:rsidRPr="001E05C6">
        <w:rPr>
          <w:rFonts w:cs="Arial"/>
          <w:sz w:val="22"/>
          <w:szCs w:val="22"/>
        </w:rPr>
        <w:t xml:space="preserve"> </w:t>
      </w:r>
      <w:r w:rsidR="003108F3" w:rsidRPr="001E05C6">
        <w:rPr>
          <w:rFonts w:cs="Arial"/>
          <w:sz w:val="22"/>
          <w:szCs w:val="22"/>
        </w:rPr>
        <w:t>indicado</w:t>
      </w:r>
      <w:r w:rsidR="00BF4F82" w:rsidRPr="001E05C6">
        <w:rPr>
          <w:rFonts w:cs="Arial"/>
          <w:sz w:val="22"/>
          <w:szCs w:val="22"/>
        </w:rPr>
        <w:t xml:space="preserve"> </w:t>
      </w:r>
      <w:r w:rsidR="006403DB" w:rsidRPr="001E05C6">
        <w:rPr>
          <w:rFonts w:cs="Arial"/>
          <w:sz w:val="22"/>
          <w:szCs w:val="22"/>
        </w:rPr>
        <w:t>lo siguiente:</w:t>
      </w:r>
    </w:p>
    <w:p w:rsidR="006403DB" w:rsidRPr="001E05C6" w:rsidRDefault="006403DB" w:rsidP="001E05C6">
      <w:pPr>
        <w:pStyle w:val="Prrafodelista"/>
        <w:spacing w:line="240" w:lineRule="auto"/>
        <w:rPr>
          <w:rFonts w:cs="Arial"/>
          <w:sz w:val="22"/>
          <w:szCs w:val="22"/>
        </w:rPr>
      </w:pPr>
    </w:p>
    <w:p w:rsidR="006403DB" w:rsidRPr="001E05C6" w:rsidRDefault="006403DB" w:rsidP="001E05C6">
      <w:pPr>
        <w:pStyle w:val="gaceta"/>
        <w:tabs>
          <w:tab w:val="clear" w:pos="240"/>
          <w:tab w:val="clear" w:pos="480"/>
          <w:tab w:val="left" w:pos="567"/>
        </w:tabs>
        <w:spacing w:line="240" w:lineRule="auto"/>
        <w:ind w:left="1134"/>
        <w:rPr>
          <w:rFonts w:ascii="Arial" w:hAnsi="Arial" w:cs="Arial"/>
          <w:i/>
          <w:snapToGrid/>
          <w:sz w:val="22"/>
          <w:szCs w:val="22"/>
          <w:lang w:val="es-PE" w:eastAsia="es-PE"/>
        </w:rPr>
      </w:pPr>
      <w:r w:rsidRPr="001E05C6">
        <w:rPr>
          <w:rFonts w:ascii="Arial" w:hAnsi="Arial" w:cs="Arial"/>
          <w:i/>
          <w:snapToGrid/>
          <w:sz w:val="22"/>
          <w:szCs w:val="22"/>
          <w:lang w:val="es-PE" w:eastAsia="es-PE"/>
        </w:rPr>
        <w:t xml:space="preserve">“En otras palabras, </w:t>
      </w:r>
      <w:r w:rsidRPr="001E05C6">
        <w:rPr>
          <w:rFonts w:ascii="Arial" w:hAnsi="Arial" w:cs="Arial"/>
          <w:b/>
          <w:i/>
          <w:snapToGrid/>
          <w:sz w:val="22"/>
          <w:szCs w:val="22"/>
          <w:u w:val="single"/>
          <w:lang w:val="es-PE" w:eastAsia="es-PE"/>
        </w:rPr>
        <w:t>es obligación del juez nacional constatar si dentro del proceso a su cargo resulta previsible que deban aplicarse normas comunes a fin de decidir el proceso</w:t>
      </w:r>
      <w:r w:rsidRPr="001E05C6">
        <w:rPr>
          <w:rFonts w:ascii="Arial" w:hAnsi="Arial" w:cs="Arial"/>
          <w:i/>
          <w:snapToGrid/>
          <w:sz w:val="22"/>
          <w:szCs w:val="22"/>
          <w:lang w:val="es-PE" w:eastAsia="es-PE"/>
        </w:rPr>
        <w:t xml:space="preserve">, antes de proceder a solicitar su interpretación prejudicial teniendo en cuenta que la causa, razón o circunstancia para la interpretación se produce cuando, como hemos dicho, "Los jueces nacionales ... conozcan de un proceso en que deba aplicarse alguna de las normas que conforman el ordenamiento jurídico del Acuerdo de Cartagena...". </w:t>
      </w:r>
      <w:r w:rsidRPr="001E05C6">
        <w:rPr>
          <w:rFonts w:ascii="Arial" w:hAnsi="Arial" w:cs="Arial"/>
          <w:b/>
          <w:i/>
          <w:snapToGrid/>
          <w:sz w:val="22"/>
          <w:szCs w:val="22"/>
          <w:u w:val="single"/>
          <w:lang w:val="es-PE" w:eastAsia="es-PE"/>
        </w:rPr>
        <w:t>No basta por tanto que dentro del proceso se citen determinadas normas de la integración, bien sea por las partes o por el agente del Ministerio Público, para que el juez de la causa, automáticamente, decida formular la solicitud de interpretación prejudicial al Tribunal, sin constatar previamente que dicho trámite se justifica</w:t>
      </w:r>
      <w:r w:rsidRPr="001E05C6">
        <w:rPr>
          <w:rFonts w:ascii="Arial" w:hAnsi="Arial" w:cs="Arial"/>
          <w:i/>
          <w:snapToGrid/>
          <w:sz w:val="22"/>
          <w:szCs w:val="22"/>
          <w:lang w:val="es-PE" w:eastAsia="es-PE"/>
        </w:rPr>
        <w:t>. De procederse en esta forma se estaría utilizando el recurso prejudicial sin necesidad alguna, lo cual redundaría en la dilación injustificada de los procesos, con evidente quebranto de los más elementales principios de economía procesal que garantiza la celeridad de los procesos.</w:t>
      </w:r>
    </w:p>
    <w:p w:rsidR="006403DB" w:rsidRPr="001E05C6" w:rsidRDefault="006403DB" w:rsidP="001E05C6">
      <w:pPr>
        <w:pStyle w:val="gaceta"/>
        <w:tabs>
          <w:tab w:val="clear" w:pos="240"/>
          <w:tab w:val="clear" w:pos="480"/>
          <w:tab w:val="left" w:pos="567"/>
        </w:tabs>
        <w:spacing w:line="240" w:lineRule="auto"/>
        <w:ind w:left="1134"/>
        <w:rPr>
          <w:rFonts w:ascii="Arial" w:hAnsi="Arial" w:cs="Arial"/>
          <w:i/>
          <w:snapToGrid/>
          <w:sz w:val="22"/>
          <w:szCs w:val="22"/>
          <w:lang w:val="es-PE" w:eastAsia="es-PE"/>
        </w:rPr>
      </w:pPr>
    </w:p>
    <w:p w:rsidR="006403DB" w:rsidRPr="001E05C6" w:rsidRDefault="006403DB" w:rsidP="001E05C6">
      <w:pPr>
        <w:pStyle w:val="gaceta"/>
        <w:tabs>
          <w:tab w:val="clear" w:pos="240"/>
          <w:tab w:val="clear" w:pos="480"/>
          <w:tab w:val="left" w:pos="567"/>
        </w:tabs>
        <w:spacing w:line="240" w:lineRule="auto"/>
        <w:ind w:left="1134"/>
        <w:rPr>
          <w:rFonts w:ascii="Arial" w:hAnsi="Arial" w:cs="Arial"/>
          <w:i/>
          <w:snapToGrid/>
          <w:sz w:val="22"/>
          <w:szCs w:val="22"/>
          <w:lang w:val="es-PE" w:eastAsia="es-PE"/>
        </w:rPr>
      </w:pPr>
      <w:r w:rsidRPr="001E05C6">
        <w:rPr>
          <w:rFonts w:ascii="Arial" w:hAnsi="Arial" w:cs="Arial"/>
          <w:b/>
          <w:i/>
          <w:snapToGrid/>
          <w:sz w:val="22"/>
          <w:szCs w:val="22"/>
          <w:u w:val="single"/>
          <w:lang w:val="es-PE" w:eastAsia="es-PE"/>
        </w:rPr>
        <w:t>Es evidente que el juez nacional es quien debe determinar si se requiere o no la interpretación prejudicial</w:t>
      </w:r>
      <w:r w:rsidRPr="001E05C6">
        <w:rPr>
          <w:rFonts w:ascii="Arial" w:hAnsi="Arial" w:cs="Arial"/>
          <w:i/>
          <w:snapToGrid/>
          <w:sz w:val="22"/>
          <w:szCs w:val="22"/>
          <w:lang w:val="es-PE" w:eastAsia="es-PE"/>
        </w:rPr>
        <w:t>, pero tal determinación no es arbitraria y debe hacerse con pleno conocimiento de causa ya que, según se desprende del citado artículo 29 del Tratado del Tribunal,</w:t>
      </w:r>
      <w:r w:rsidRPr="001E05C6">
        <w:rPr>
          <w:rFonts w:ascii="Arial" w:hAnsi="Arial" w:cs="Arial"/>
          <w:b/>
          <w:i/>
          <w:snapToGrid/>
          <w:sz w:val="22"/>
          <w:szCs w:val="22"/>
          <w:lang w:val="es-PE" w:eastAsia="es-PE"/>
        </w:rPr>
        <w:t xml:space="preserve"> </w:t>
      </w:r>
      <w:r w:rsidRPr="001E05C6">
        <w:rPr>
          <w:rFonts w:ascii="Arial" w:hAnsi="Arial" w:cs="Arial"/>
          <w:b/>
          <w:i/>
          <w:snapToGrid/>
          <w:sz w:val="22"/>
          <w:szCs w:val="22"/>
          <w:u w:val="single"/>
          <w:lang w:val="es-PE" w:eastAsia="es-PE"/>
        </w:rPr>
        <w:t xml:space="preserve">sería improcedente la solicitud de interpretación de normas comunitarias cuya aplicación no resulte necesaria, según los términos en los que se haya planteado la </w:t>
      </w:r>
      <w:proofErr w:type="spellStart"/>
      <w:r w:rsidRPr="001E05C6">
        <w:rPr>
          <w:rFonts w:ascii="Arial" w:hAnsi="Arial" w:cs="Arial"/>
          <w:b/>
          <w:i/>
          <w:snapToGrid/>
          <w:sz w:val="22"/>
          <w:szCs w:val="22"/>
          <w:u w:val="single"/>
          <w:lang w:val="es-PE" w:eastAsia="es-PE"/>
        </w:rPr>
        <w:t>litis</w:t>
      </w:r>
      <w:proofErr w:type="spellEnd"/>
      <w:r w:rsidRPr="001E05C6">
        <w:rPr>
          <w:rFonts w:ascii="Arial" w:hAnsi="Arial" w:cs="Arial"/>
          <w:i/>
          <w:snapToGrid/>
          <w:sz w:val="22"/>
          <w:szCs w:val="22"/>
          <w:lang w:val="es-PE" w:eastAsia="es-PE"/>
        </w:rPr>
        <w:t>. De otra parte, no parece evidente, ni mucho menos, que tal condición se cumpla en el presente caso. (…).”</w:t>
      </w:r>
      <w:r w:rsidRPr="001E05C6">
        <w:rPr>
          <w:rStyle w:val="Refdenotaalpie"/>
          <w:rFonts w:ascii="Arial" w:hAnsi="Arial" w:cs="Arial"/>
          <w:bCs/>
          <w:i/>
          <w:color w:val="000000"/>
          <w:sz w:val="22"/>
          <w:szCs w:val="22"/>
        </w:rPr>
        <w:footnoteReference w:id="54"/>
      </w:r>
      <w:r w:rsidRPr="001E05C6">
        <w:rPr>
          <w:rFonts w:ascii="Arial" w:hAnsi="Arial" w:cs="Arial"/>
          <w:i/>
          <w:snapToGrid/>
          <w:sz w:val="22"/>
          <w:szCs w:val="22"/>
          <w:lang w:val="es-PE" w:eastAsia="es-PE"/>
        </w:rPr>
        <w:t xml:space="preserve"> </w:t>
      </w:r>
      <w:r w:rsidRPr="001E05C6">
        <w:rPr>
          <w:rFonts w:ascii="Arial" w:hAnsi="Arial" w:cs="Arial"/>
          <w:bCs/>
          <w:color w:val="000000"/>
          <w:sz w:val="22"/>
          <w:szCs w:val="22"/>
        </w:rPr>
        <w:t>(Énfasis agregado)</w:t>
      </w:r>
    </w:p>
    <w:p w:rsidR="001D2355" w:rsidRPr="001E05C6" w:rsidRDefault="001D2355" w:rsidP="001E05C6">
      <w:pPr>
        <w:pStyle w:val="Prrafodelista"/>
        <w:widowControl/>
        <w:adjustRightInd/>
        <w:spacing w:line="240" w:lineRule="auto"/>
        <w:ind w:left="0"/>
        <w:contextualSpacing w:val="0"/>
        <w:textAlignment w:val="auto"/>
        <w:rPr>
          <w:rFonts w:cs="Arial"/>
          <w:sz w:val="22"/>
          <w:szCs w:val="22"/>
        </w:rPr>
      </w:pPr>
    </w:p>
    <w:p w:rsidR="001D2355" w:rsidRPr="001E05C6" w:rsidRDefault="006403DB"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En ese sentido, es el juez nacional a quien le corresponde determinar si se requiere o no la interpretación prejudicial</w:t>
      </w:r>
      <w:r w:rsidR="00A87D04" w:rsidRPr="001E05C6">
        <w:rPr>
          <w:rFonts w:cs="Arial"/>
          <w:sz w:val="22"/>
          <w:szCs w:val="22"/>
        </w:rPr>
        <w:t xml:space="preserve"> del TJCA</w:t>
      </w:r>
      <w:r w:rsidR="00E561A3" w:rsidRPr="001E05C6">
        <w:rPr>
          <w:rFonts w:cs="Arial"/>
          <w:sz w:val="22"/>
          <w:szCs w:val="22"/>
        </w:rPr>
        <w:t>; ello,</w:t>
      </w:r>
      <w:r w:rsidR="005C058D" w:rsidRPr="001E05C6">
        <w:rPr>
          <w:rFonts w:cs="Arial"/>
          <w:sz w:val="22"/>
          <w:szCs w:val="22"/>
        </w:rPr>
        <w:t xml:space="preserve"> con la finalidad esencial de garantizar la aplicación </w:t>
      </w:r>
      <w:r w:rsidR="001D2355" w:rsidRPr="001E05C6">
        <w:rPr>
          <w:rFonts w:cs="Arial"/>
          <w:sz w:val="22"/>
          <w:szCs w:val="22"/>
        </w:rPr>
        <w:t xml:space="preserve">correcta y </w:t>
      </w:r>
      <w:r w:rsidR="005C058D" w:rsidRPr="001E05C6">
        <w:rPr>
          <w:rFonts w:cs="Arial"/>
          <w:sz w:val="22"/>
          <w:szCs w:val="22"/>
        </w:rPr>
        <w:t>uniforme del Derecho comunitario</w:t>
      </w:r>
      <w:r w:rsidR="00E84542" w:rsidRPr="001E05C6">
        <w:rPr>
          <w:rFonts w:cs="Arial"/>
          <w:sz w:val="22"/>
          <w:szCs w:val="22"/>
        </w:rPr>
        <w:t>.</w:t>
      </w:r>
    </w:p>
    <w:p w:rsidR="00716F36" w:rsidRPr="001E05C6" w:rsidRDefault="00716F36" w:rsidP="001E05C6">
      <w:pPr>
        <w:pStyle w:val="Prrafodelista"/>
        <w:widowControl/>
        <w:adjustRightInd/>
        <w:spacing w:line="240" w:lineRule="auto"/>
        <w:ind w:left="0"/>
        <w:contextualSpacing w:val="0"/>
        <w:textAlignment w:val="auto"/>
        <w:rPr>
          <w:rFonts w:cs="Arial"/>
          <w:sz w:val="22"/>
          <w:szCs w:val="22"/>
        </w:rPr>
      </w:pPr>
    </w:p>
    <w:p w:rsidR="004340C4" w:rsidRPr="001E05C6" w:rsidRDefault="0096762E"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Sin perjuicio de lo anterior,</w:t>
      </w:r>
      <w:r w:rsidR="009D7509" w:rsidRPr="001E05C6">
        <w:rPr>
          <w:rFonts w:cs="Arial"/>
          <w:sz w:val="22"/>
          <w:szCs w:val="22"/>
        </w:rPr>
        <w:t xml:space="preserve"> </w:t>
      </w:r>
      <w:r w:rsidRPr="001E05C6">
        <w:rPr>
          <w:rFonts w:cs="Arial"/>
          <w:sz w:val="22"/>
          <w:szCs w:val="22"/>
        </w:rPr>
        <w:t xml:space="preserve">esta Secretaría considera que </w:t>
      </w:r>
      <w:r w:rsidR="006F10CC" w:rsidRPr="001E05C6">
        <w:rPr>
          <w:rFonts w:cs="Arial"/>
          <w:sz w:val="22"/>
          <w:szCs w:val="22"/>
        </w:rPr>
        <w:t xml:space="preserve">el pronunciamiento de la Corte Suprema, respecto a la </w:t>
      </w:r>
      <w:r w:rsidR="004F6160" w:rsidRPr="001E05C6">
        <w:rPr>
          <w:rFonts w:cs="Arial"/>
          <w:sz w:val="22"/>
          <w:szCs w:val="22"/>
        </w:rPr>
        <w:t xml:space="preserve">solicitud de interpretación prejudicial formulada por la reclamante, </w:t>
      </w:r>
      <w:r w:rsidR="003B31A7" w:rsidRPr="001E05C6">
        <w:rPr>
          <w:rFonts w:cs="Arial"/>
          <w:sz w:val="22"/>
          <w:szCs w:val="22"/>
        </w:rPr>
        <w:t>no</w:t>
      </w:r>
      <w:r w:rsidR="00E97FD0" w:rsidRPr="001E05C6">
        <w:rPr>
          <w:rFonts w:cs="Arial"/>
          <w:sz w:val="22"/>
          <w:szCs w:val="22"/>
        </w:rPr>
        <w:t xml:space="preserve"> </w:t>
      </w:r>
      <w:r w:rsidR="009953AB" w:rsidRPr="001E05C6">
        <w:rPr>
          <w:rFonts w:cs="Arial"/>
          <w:sz w:val="22"/>
          <w:szCs w:val="22"/>
        </w:rPr>
        <w:t>compromete</w:t>
      </w:r>
      <w:r w:rsidR="009D7509" w:rsidRPr="001E05C6">
        <w:rPr>
          <w:rFonts w:cs="Arial"/>
          <w:sz w:val="22"/>
          <w:szCs w:val="22"/>
        </w:rPr>
        <w:t xml:space="preserve"> la aplicación </w:t>
      </w:r>
      <w:r w:rsidR="004F6160" w:rsidRPr="001E05C6">
        <w:rPr>
          <w:rFonts w:cs="Arial"/>
          <w:sz w:val="22"/>
          <w:szCs w:val="22"/>
        </w:rPr>
        <w:t xml:space="preserve">uniforme </w:t>
      </w:r>
      <w:r w:rsidR="009D7509" w:rsidRPr="001E05C6">
        <w:rPr>
          <w:rFonts w:cs="Arial"/>
          <w:sz w:val="22"/>
          <w:szCs w:val="22"/>
        </w:rPr>
        <w:t xml:space="preserve">y </w:t>
      </w:r>
      <w:r w:rsidR="009953AB" w:rsidRPr="001E05C6">
        <w:rPr>
          <w:rFonts w:cs="Arial"/>
          <w:sz w:val="22"/>
          <w:szCs w:val="22"/>
        </w:rPr>
        <w:t xml:space="preserve">la </w:t>
      </w:r>
      <w:r w:rsidR="009D7509" w:rsidRPr="001E05C6">
        <w:rPr>
          <w:rFonts w:cs="Arial"/>
          <w:sz w:val="22"/>
          <w:szCs w:val="22"/>
        </w:rPr>
        <w:t>vi</w:t>
      </w:r>
      <w:r w:rsidR="00E97FD0" w:rsidRPr="001E05C6">
        <w:rPr>
          <w:rFonts w:cs="Arial"/>
          <w:sz w:val="22"/>
          <w:szCs w:val="22"/>
        </w:rPr>
        <w:t>gencia del Derecho comunitario</w:t>
      </w:r>
      <w:r w:rsidR="009D7509" w:rsidRPr="001E05C6">
        <w:rPr>
          <w:rFonts w:cs="Arial"/>
          <w:sz w:val="22"/>
          <w:szCs w:val="22"/>
        </w:rPr>
        <w:t>.</w:t>
      </w:r>
      <w:r w:rsidR="004F6160" w:rsidRPr="001E05C6">
        <w:rPr>
          <w:rFonts w:cs="Arial"/>
          <w:sz w:val="22"/>
          <w:szCs w:val="22"/>
        </w:rPr>
        <w:t xml:space="preserve"> </w:t>
      </w:r>
      <w:r w:rsidR="003B31A7" w:rsidRPr="001E05C6">
        <w:rPr>
          <w:rFonts w:cs="Arial"/>
          <w:sz w:val="22"/>
          <w:szCs w:val="22"/>
        </w:rPr>
        <w:t>Ello</w:t>
      </w:r>
      <w:r w:rsidR="009953AB" w:rsidRPr="001E05C6">
        <w:rPr>
          <w:rFonts w:cs="Arial"/>
          <w:sz w:val="22"/>
          <w:szCs w:val="22"/>
        </w:rPr>
        <w:t>,</w:t>
      </w:r>
      <w:r w:rsidR="003B31A7" w:rsidRPr="001E05C6">
        <w:rPr>
          <w:rFonts w:cs="Arial"/>
          <w:sz w:val="22"/>
          <w:szCs w:val="22"/>
        </w:rPr>
        <w:t xml:space="preserve"> </w:t>
      </w:r>
      <w:r w:rsidR="00E73EEA" w:rsidRPr="001E05C6">
        <w:rPr>
          <w:rFonts w:cs="Arial"/>
          <w:i/>
          <w:sz w:val="22"/>
          <w:szCs w:val="22"/>
        </w:rPr>
        <w:t>máxime</w:t>
      </w:r>
      <w:r w:rsidR="00E73EEA" w:rsidRPr="001E05C6">
        <w:rPr>
          <w:rFonts w:cs="Arial"/>
          <w:sz w:val="22"/>
          <w:szCs w:val="22"/>
        </w:rPr>
        <w:t xml:space="preserve"> si</w:t>
      </w:r>
      <w:r w:rsidR="003B31A7" w:rsidRPr="001E05C6">
        <w:rPr>
          <w:rFonts w:cs="Arial"/>
          <w:sz w:val="22"/>
          <w:szCs w:val="22"/>
        </w:rPr>
        <w:t xml:space="preserve"> el juez nacional no interpret</w:t>
      </w:r>
      <w:r w:rsidR="005A1D5E" w:rsidRPr="001E05C6">
        <w:rPr>
          <w:rFonts w:cs="Arial"/>
          <w:sz w:val="22"/>
          <w:szCs w:val="22"/>
        </w:rPr>
        <w:t>ó ni aplicó</w:t>
      </w:r>
      <w:r w:rsidR="003B31A7" w:rsidRPr="001E05C6">
        <w:rPr>
          <w:rFonts w:cs="Arial"/>
          <w:sz w:val="22"/>
          <w:szCs w:val="22"/>
        </w:rPr>
        <w:t xml:space="preserve"> normas andinas para la resolución de l</w:t>
      </w:r>
      <w:r w:rsidR="006403DB" w:rsidRPr="001E05C6">
        <w:rPr>
          <w:rFonts w:cs="Arial"/>
          <w:sz w:val="22"/>
          <w:szCs w:val="22"/>
        </w:rPr>
        <w:t>a controversia en sede nacional</w:t>
      </w:r>
      <w:r w:rsidR="00E73EEA" w:rsidRPr="001E05C6">
        <w:rPr>
          <w:rFonts w:cs="Arial"/>
          <w:sz w:val="22"/>
          <w:szCs w:val="22"/>
        </w:rPr>
        <w:t xml:space="preserve"> mediante la Sentencia Casación No. 474-2016.</w:t>
      </w:r>
    </w:p>
    <w:p w:rsidR="00BF65F4" w:rsidRPr="001E05C6" w:rsidRDefault="00BF65F4" w:rsidP="001E05C6">
      <w:pPr>
        <w:spacing w:line="240" w:lineRule="auto"/>
        <w:rPr>
          <w:rFonts w:cs="Arial"/>
          <w:sz w:val="22"/>
          <w:szCs w:val="22"/>
        </w:rPr>
      </w:pPr>
    </w:p>
    <w:p w:rsidR="006403DB" w:rsidRPr="001E05C6" w:rsidRDefault="00716F36"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Ahora bien</w:t>
      </w:r>
      <w:r w:rsidR="006403DB" w:rsidRPr="001E05C6">
        <w:rPr>
          <w:rFonts w:cs="Arial"/>
          <w:sz w:val="22"/>
          <w:szCs w:val="22"/>
        </w:rPr>
        <w:t>,</w:t>
      </w:r>
      <w:r w:rsidRPr="001E05C6">
        <w:rPr>
          <w:rFonts w:cs="Arial"/>
          <w:sz w:val="22"/>
          <w:szCs w:val="22"/>
        </w:rPr>
        <w:t xml:space="preserve"> la reclamante ha señalado que la interpretación prejudicial permitiría garantizar la aplicación uniforme de </w:t>
      </w:r>
      <w:r w:rsidR="001235FB" w:rsidRPr="001E05C6">
        <w:rPr>
          <w:rFonts w:cs="Arial"/>
          <w:sz w:val="22"/>
          <w:szCs w:val="22"/>
        </w:rPr>
        <w:t>los artículos 1, 2 y 3 de</w:t>
      </w:r>
      <w:r w:rsidRPr="001E05C6">
        <w:rPr>
          <w:rFonts w:cs="Arial"/>
          <w:sz w:val="22"/>
          <w:szCs w:val="22"/>
        </w:rPr>
        <w:t xml:space="preserve"> Decisi</w:t>
      </w:r>
      <w:r w:rsidR="001235FB" w:rsidRPr="001E05C6">
        <w:rPr>
          <w:rFonts w:cs="Arial"/>
          <w:sz w:val="22"/>
          <w:szCs w:val="22"/>
        </w:rPr>
        <w:t>ón</w:t>
      </w:r>
      <w:r w:rsidRPr="001E05C6">
        <w:rPr>
          <w:rFonts w:cs="Arial"/>
          <w:sz w:val="22"/>
          <w:szCs w:val="22"/>
        </w:rPr>
        <w:t xml:space="preserve"> 462 y</w:t>
      </w:r>
      <w:r w:rsidR="001235FB" w:rsidRPr="001E05C6">
        <w:rPr>
          <w:rFonts w:cs="Arial"/>
          <w:sz w:val="22"/>
          <w:szCs w:val="22"/>
        </w:rPr>
        <w:t xml:space="preserve"> los artículos 1 y 5 de la Decisión 707, </w:t>
      </w:r>
      <w:r w:rsidRPr="001E05C6">
        <w:rPr>
          <w:rFonts w:cs="Arial"/>
          <w:sz w:val="22"/>
          <w:szCs w:val="22"/>
        </w:rPr>
        <w:t>respecto a lo siguiente: i) si la provisión de capacidad satelital es un servicio de telecomunicaciones; ii) si dicho servicio puede ser considerado como trasfronterizo o internacional; o, iii) si la prestación del servicio de capacidad satelital puede considerarse prestado exclusivamente en territorio peruano.</w:t>
      </w:r>
      <w:r w:rsidRPr="001E05C6">
        <w:rPr>
          <w:rStyle w:val="Refdenotaalpie"/>
          <w:rFonts w:cs="Arial"/>
          <w:sz w:val="22"/>
          <w:szCs w:val="22"/>
        </w:rPr>
        <w:footnoteReference w:id="55"/>
      </w:r>
      <w:r w:rsidR="006403DB" w:rsidRPr="001E05C6">
        <w:rPr>
          <w:rFonts w:cs="Arial"/>
          <w:sz w:val="22"/>
          <w:szCs w:val="22"/>
        </w:rPr>
        <w:t xml:space="preserve"> </w:t>
      </w:r>
      <w:r w:rsidR="00D7264F" w:rsidRPr="001E05C6">
        <w:rPr>
          <w:rFonts w:cs="Arial"/>
          <w:sz w:val="22"/>
          <w:szCs w:val="22"/>
        </w:rPr>
        <w:t>Así, s</w:t>
      </w:r>
      <w:r w:rsidR="006403DB" w:rsidRPr="001E05C6">
        <w:rPr>
          <w:rFonts w:cs="Arial"/>
          <w:sz w:val="22"/>
          <w:szCs w:val="22"/>
        </w:rPr>
        <w:t xml:space="preserve">obre la base de ello, el juez nacional </w:t>
      </w:r>
      <w:r w:rsidR="00D7264F" w:rsidRPr="001E05C6">
        <w:rPr>
          <w:rFonts w:cs="Arial"/>
          <w:sz w:val="22"/>
          <w:szCs w:val="22"/>
        </w:rPr>
        <w:t>determinaría</w:t>
      </w:r>
      <w:r w:rsidR="006403DB" w:rsidRPr="001E05C6">
        <w:rPr>
          <w:rFonts w:cs="Arial"/>
          <w:sz w:val="22"/>
          <w:szCs w:val="22"/>
        </w:rPr>
        <w:t xml:space="preserve"> si la provisión de capacidad satelital se encuentra o n</w:t>
      </w:r>
      <w:r w:rsidR="00C416DA" w:rsidRPr="001E05C6">
        <w:rPr>
          <w:rFonts w:cs="Arial"/>
          <w:sz w:val="22"/>
          <w:szCs w:val="22"/>
        </w:rPr>
        <w:t>o afecto al impuesto a la renta, conforme a la normativa peruana.</w:t>
      </w:r>
    </w:p>
    <w:p w:rsidR="006403DB" w:rsidRPr="001E05C6" w:rsidRDefault="006403DB" w:rsidP="001E05C6">
      <w:pPr>
        <w:pStyle w:val="Prrafodelista"/>
        <w:spacing w:line="240" w:lineRule="auto"/>
        <w:rPr>
          <w:rFonts w:cs="Arial"/>
          <w:sz w:val="22"/>
          <w:szCs w:val="22"/>
        </w:rPr>
      </w:pPr>
    </w:p>
    <w:p w:rsidR="00011109" w:rsidRPr="001E05C6" w:rsidRDefault="0001110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De acuerdo con el artículo 1 de la Decisión 462</w:t>
      </w:r>
      <w:r w:rsidR="00686E1B" w:rsidRPr="001E05C6">
        <w:rPr>
          <w:rStyle w:val="Refdenotaalpie"/>
          <w:rFonts w:cs="Arial"/>
          <w:sz w:val="22"/>
          <w:szCs w:val="22"/>
        </w:rPr>
        <w:footnoteReference w:id="56"/>
      </w:r>
      <w:r w:rsidRPr="001E05C6">
        <w:rPr>
          <w:rFonts w:cs="Arial"/>
          <w:sz w:val="22"/>
          <w:szCs w:val="22"/>
        </w:rPr>
        <w:t xml:space="preserve">, dicha Decisión tiene como objetivo fomentar el proceso de liberalización progresiva del comercio de los servicios públicos de </w:t>
      </w:r>
      <w:r w:rsidRPr="001E05C6">
        <w:rPr>
          <w:rFonts w:cs="Arial"/>
          <w:sz w:val="22"/>
          <w:szCs w:val="22"/>
        </w:rPr>
        <w:lastRenderedPageBreak/>
        <w:t>telecomunicaciones, mediante la eliminación de restricciones y obstáculos a su libre comercio, la armonización de las normas para el mercado común, la adopción de definiciones comunes, y estimular la inversión en los servicios de telecomunicaciones. Asimismo, conforme a lo dispuesto en el artículo 3 de la referida Decisión</w:t>
      </w:r>
      <w:r w:rsidR="00686E1B" w:rsidRPr="001E05C6">
        <w:rPr>
          <w:rStyle w:val="Refdenotaalpie"/>
          <w:rFonts w:cs="Arial"/>
          <w:sz w:val="22"/>
          <w:szCs w:val="22"/>
        </w:rPr>
        <w:footnoteReference w:id="57"/>
      </w:r>
      <w:r w:rsidRPr="001E05C6">
        <w:rPr>
          <w:rFonts w:cs="Arial"/>
          <w:sz w:val="22"/>
          <w:szCs w:val="22"/>
        </w:rPr>
        <w:t>, la misma abarca todos los servicios de telecomunicaciones y todos los modos de prestación, excepto los servicios de radiodifusión sonora y televisión.</w:t>
      </w:r>
    </w:p>
    <w:p w:rsidR="00011109" w:rsidRPr="001E05C6" w:rsidRDefault="00011109" w:rsidP="001E05C6">
      <w:pPr>
        <w:pStyle w:val="Prrafodelista"/>
        <w:widowControl/>
        <w:adjustRightInd/>
        <w:spacing w:line="240" w:lineRule="auto"/>
        <w:ind w:left="0" w:hanging="426"/>
        <w:contextualSpacing w:val="0"/>
        <w:textAlignment w:val="auto"/>
        <w:rPr>
          <w:rFonts w:cs="Arial"/>
          <w:sz w:val="22"/>
          <w:szCs w:val="22"/>
        </w:rPr>
      </w:pPr>
    </w:p>
    <w:p w:rsidR="00011109" w:rsidRPr="001E05C6" w:rsidRDefault="0001110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El artículo 2 de la Decisión 462 </w:t>
      </w:r>
      <w:r w:rsidR="00F46142" w:rsidRPr="001E05C6">
        <w:rPr>
          <w:rFonts w:cs="Arial"/>
          <w:sz w:val="22"/>
          <w:szCs w:val="22"/>
        </w:rPr>
        <w:t>establece</w:t>
      </w:r>
      <w:r w:rsidRPr="001E05C6">
        <w:rPr>
          <w:rFonts w:cs="Arial"/>
          <w:sz w:val="22"/>
          <w:szCs w:val="22"/>
        </w:rPr>
        <w:t xml:space="preserve">, entre otras definiciones, las de “Proveedor, Operador o Prestador de Servicios”, “Servicios de Telecomunicaciones”, “Telecomunicaciones”, y se remite a otras definiciones contenidas en los Reglamentos de la Unión Internacional de Telecomunicaciones </w:t>
      </w:r>
      <w:r w:rsidRPr="001E05C6">
        <w:rPr>
          <w:rFonts w:cs="Arial"/>
          <w:sz w:val="22"/>
          <w:szCs w:val="22"/>
        </w:rPr>
        <w:noBreakHyphen/>
        <w:t xml:space="preserve"> UIT y la Decisión 439:</w:t>
      </w:r>
    </w:p>
    <w:p w:rsidR="00011109" w:rsidRPr="001E05C6" w:rsidRDefault="00011109" w:rsidP="001E05C6">
      <w:pPr>
        <w:tabs>
          <w:tab w:val="left" w:pos="425"/>
        </w:tabs>
        <w:spacing w:line="240" w:lineRule="auto"/>
        <w:rPr>
          <w:rFonts w:cs="Arial"/>
          <w:i/>
          <w:sz w:val="22"/>
          <w:szCs w:val="22"/>
        </w:rPr>
      </w:pP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b/>
          <w:i/>
          <w:sz w:val="22"/>
          <w:szCs w:val="22"/>
        </w:rPr>
        <w:t>“Artículo 2.</w:t>
      </w:r>
      <w:r w:rsidRPr="001E05C6">
        <w:rPr>
          <w:rFonts w:cs="Arial"/>
          <w:b/>
          <w:i/>
          <w:sz w:val="22"/>
          <w:szCs w:val="22"/>
        </w:rPr>
        <w:noBreakHyphen/>
        <w:t xml:space="preserve"> Definiciones</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i/>
          <w:sz w:val="22"/>
          <w:szCs w:val="22"/>
        </w:rPr>
        <w:t>Para los efectos de la presente Decisión, se entiende por:</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i/>
          <w:sz w:val="22"/>
          <w:szCs w:val="22"/>
        </w:rPr>
        <w:t>(…)</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b/>
          <w:i/>
          <w:sz w:val="22"/>
          <w:szCs w:val="22"/>
        </w:rPr>
        <w:t>Proveedor, Operador o Prestador de Servicios</w:t>
      </w:r>
      <w:r w:rsidRPr="001E05C6">
        <w:rPr>
          <w:rFonts w:cs="Arial"/>
          <w:i/>
          <w:sz w:val="22"/>
          <w:szCs w:val="22"/>
        </w:rPr>
        <w:t>: Persona natural o jurídica habilitada por la Autoridad Nacional Competente para el suministro de servicios de telecomunicaciones ofrecidos al público.</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i/>
          <w:sz w:val="22"/>
          <w:szCs w:val="22"/>
        </w:rPr>
        <w:t>(…)</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b/>
          <w:i/>
          <w:sz w:val="22"/>
          <w:szCs w:val="22"/>
        </w:rPr>
        <w:t>Servicios de Telecomunicaciones</w:t>
      </w:r>
      <w:r w:rsidRPr="001E05C6">
        <w:rPr>
          <w:rFonts w:cs="Arial"/>
          <w:i/>
          <w:sz w:val="22"/>
          <w:szCs w:val="22"/>
        </w:rPr>
        <w:t>: Conjunto de funciones, ofrecidas por un proveedor, que se soportan en redes de telecomunicaciones con el fin de satisfacer necesidades de los usuarios.</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i/>
          <w:sz w:val="22"/>
          <w:szCs w:val="22"/>
        </w:rPr>
        <w:t>(…)</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b/>
          <w:i/>
          <w:sz w:val="22"/>
          <w:szCs w:val="22"/>
        </w:rPr>
        <w:t>Telecomunicaciones</w:t>
      </w:r>
      <w:r w:rsidRPr="001E05C6">
        <w:rPr>
          <w:rFonts w:cs="Arial"/>
          <w:i/>
          <w:sz w:val="22"/>
          <w:szCs w:val="22"/>
        </w:rPr>
        <w:t>: Toda transmisión, emisión o recepción de signos, señales, escritos, imágenes, sonidos, datos o información de cualquier naturaleza por líneas físicas, medios radioeléctricos, medios ópticos u otros medios electromagnéticos.</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i/>
          <w:sz w:val="22"/>
          <w:szCs w:val="22"/>
        </w:rPr>
        <w:t>(…)</w:t>
      </w:r>
    </w:p>
    <w:p w:rsidR="00011109" w:rsidRPr="001E05C6" w:rsidRDefault="00011109" w:rsidP="001E05C6">
      <w:pPr>
        <w:pStyle w:val="Prrafodelista"/>
        <w:tabs>
          <w:tab w:val="left" w:pos="425"/>
        </w:tabs>
        <w:spacing w:line="240" w:lineRule="auto"/>
        <w:ind w:left="1134"/>
        <w:rPr>
          <w:rFonts w:cs="Arial"/>
          <w:i/>
          <w:sz w:val="22"/>
          <w:szCs w:val="22"/>
        </w:rPr>
      </w:pPr>
      <w:r w:rsidRPr="001E05C6">
        <w:rPr>
          <w:rFonts w:cs="Arial"/>
          <w:b/>
          <w:i/>
          <w:sz w:val="22"/>
          <w:szCs w:val="22"/>
        </w:rPr>
        <w:t>Otras definiciones</w:t>
      </w:r>
      <w:r w:rsidRPr="001E05C6">
        <w:rPr>
          <w:rFonts w:cs="Arial"/>
          <w:i/>
          <w:sz w:val="22"/>
          <w:szCs w:val="22"/>
        </w:rPr>
        <w:t xml:space="preserve">: Para los demás términos y definiciones, esta Decisión se remitirá a lo contenido en los Reglamentos de la Unión Internacional de Telecomunicaciones </w:t>
      </w:r>
      <w:r w:rsidRPr="001E05C6">
        <w:rPr>
          <w:rFonts w:cs="Arial"/>
          <w:i/>
          <w:sz w:val="22"/>
          <w:szCs w:val="22"/>
        </w:rPr>
        <w:noBreakHyphen/>
        <w:t>UIT</w:t>
      </w:r>
      <w:r w:rsidRPr="001E05C6">
        <w:rPr>
          <w:rFonts w:cs="Arial"/>
          <w:i/>
          <w:sz w:val="22"/>
          <w:szCs w:val="22"/>
        </w:rPr>
        <w:noBreakHyphen/>
        <w:t xml:space="preserve"> y la Decisión 439.”</w:t>
      </w:r>
      <w:r w:rsidR="00EC6007" w:rsidRPr="001E05C6">
        <w:rPr>
          <w:rStyle w:val="Refdenotaalpie"/>
          <w:rFonts w:cs="Arial"/>
          <w:sz w:val="22"/>
          <w:szCs w:val="22"/>
        </w:rPr>
        <w:footnoteReference w:id="58"/>
      </w:r>
    </w:p>
    <w:p w:rsidR="00011109" w:rsidRPr="001E05C6" w:rsidRDefault="00011109" w:rsidP="001E05C6">
      <w:pPr>
        <w:pStyle w:val="Prrafodelista"/>
        <w:spacing w:line="240" w:lineRule="auto"/>
        <w:rPr>
          <w:rFonts w:cs="Arial"/>
          <w:sz w:val="22"/>
          <w:szCs w:val="22"/>
        </w:rPr>
      </w:pPr>
    </w:p>
    <w:p w:rsidR="00011109" w:rsidRPr="001E05C6" w:rsidRDefault="0001110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A partir del tenor literal del artículo 2 no se aprecia disposiciones relacionadas a la naturaleza de los “</w:t>
      </w:r>
      <w:r w:rsidRPr="001E05C6">
        <w:rPr>
          <w:rFonts w:cs="Arial"/>
          <w:i/>
          <w:sz w:val="22"/>
          <w:szCs w:val="22"/>
        </w:rPr>
        <w:t>contratos para el suministro de servicios de capacidad satelital</w:t>
      </w:r>
      <w:r w:rsidRPr="001E05C6">
        <w:rPr>
          <w:rFonts w:cs="Arial"/>
          <w:sz w:val="22"/>
          <w:szCs w:val="22"/>
        </w:rPr>
        <w:t>”, como tampoco se observa que dichas definiciones dispongan expresamente que el “</w:t>
      </w:r>
      <w:r w:rsidRPr="001E05C6">
        <w:rPr>
          <w:rFonts w:cs="Arial"/>
          <w:i/>
          <w:sz w:val="22"/>
          <w:szCs w:val="22"/>
        </w:rPr>
        <w:t>proveedor de servicios de capacidad satelital presta servicios de telecomunicaciones que trascienden el ámbito estrictamente nacional</w:t>
      </w:r>
      <w:r w:rsidR="00D93E12" w:rsidRPr="001E05C6">
        <w:rPr>
          <w:rFonts w:cs="Arial"/>
          <w:sz w:val="22"/>
          <w:szCs w:val="22"/>
        </w:rPr>
        <w:t>”,</w:t>
      </w:r>
      <w:r w:rsidRPr="001E05C6">
        <w:rPr>
          <w:rFonts w:cs="Arial"/>
          <w:sz w:val="22"/>
          <w:szCs w:val="22"/>
        </w:rPr>
        <w:t xml:space="preserve"> como ha indicado la reclamante.</w:t>
      </w:r>
    </w:p>
    <w:p w:rsidR="00011109" w:rsidRPr="001E05C6" w:rsidRDefault="00011109" w:rsidP="001E05C6">
      <w:pPr>
        <w:pStyle w:val="Prrafodelista"/>
        <w:widowControl/>
        <w:adjustRightInd/>
        <w:spacing w:line="240" w:lineRule="auto"/>
        <w:ind w:left="0"/>
        <w:contextualSpacing w:val="0"/>
        <w:textAlignment w:val="auto"/>
        <w:rPr>
          <w:rFonts w:cs="Arial"/>
          <w:sz w:val="22"/>
          <w:szCs w:val="22"/>
        </w:rPr>
      </w:pPr>
    </w:p>
    <w:p w:rsidR="00011109" w:rsidRPr="001E05C6" w:rsidRDefault="0001110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Por otro lado, </w:t>
      </w:r>
      <w:r w:rsidRPr="001E05C6">
        <w:rPr>
          <w:rFonts w:cs="Arial"/>
          <w:sz w:val="22"/>
          <w:szCs w:val="22"/>
          <w:lang w:val="es-ES_tradnl"/>
        </w:rPr>
        <w:t>en el año 2008 se adoptó la Decisión 707 para el Registro Andino para la autorización de Satélites con Cobertura sobre</w:t>
      </w:r>
      <w:r w:rsidR="00D93E12" w:rsidRPr="001E05C6">
        <w:rPr>
          <w:rFonts w:cs="Arial"/>
          <w:sz w:val="22"/>
          <w:szCs w:val="22"/>
          <w:lang w:val="es-ES_tradnl"/>
        </w:rPr>
        <w:t xml:space="preserve"> el</w:t>
      </w:r>
      <w:r w:rsidRPr="001E05C6">
        <w:rPr>
          <w:rFonts w:cs="Arial"/>
          <w:sz w:val="22"/>
          <w:szCs w:val="22"/>
          <w:lang w:val="es-ES_tradnl"/>
        </w:rPr>
        <w:t xml:space="preserve"> Territorio de los Países Miembros de la </w:t>
      </w:r>
      <w:r w:rsidRPr="001E05C6">
        <w:rPr>
          <w:rFonts w:cs="Arial"/>
          <w:sz w:val="22"/>
          <w:szCs w:val="22"/>
          <w:lang w:val="es-ES_tradnl"/>
        </w:rPr>
        <w:lastRenderedPageBreak/>
        <w:t>Comunidad Andina.</w:t>
      </w:r>
      <w:r w:rsidRPr="001E05C6">
        <w:rPr>
          <w:rFonts w:cs="Arial"/>
          <w:sz w:val="22"/>
          <w:szCs w:val="22"/>
        </w:rPr>
        <w:t xml:space="preserve"> </w:t>
      </w:r>
      <w:r w:rsidRPr="001E05C6">
        <w:rPr>
          <w:rFonts w:cs="Arial"/>
          <w:sz w:val="22"/>
          <w:szCs w:val="22"/>
          <w:lang w:val="es-ES_tradnl"/>
        </w:rPr>
        <w:t>En el artículo 1 de dicha Decisión se han establecido las definiciones de “Satélite” y “Sistema satelital”; tal como se puede apreciar a continuación:</w:t>
      </w:r>
    </w:p>
    <w:p w:rsidR="00011109" w:rsidRPr="001E05C6" w:rsidRDefault="00011109" w:rsidP="001E05C6">
      <w:pPr>
        <w:tabs>
          <w:tab w:val="left" w:pos="426"/>
        </w:tabs>
        <w:spacing w:line="240" w:lineRule="auto"/>
        <w:ind w:left="426" w:hanging="426"/>
        <w:rPr>
          <w:rFonts w:cs="Arial"/>
          <w:sz w:val="22"/>
          <w:szCs w:val="22"/>
          <w:lang w:val="es-ES_tradnl"/>
        </w:rPr>
      </w:pPr>
    </w:p>
    <w:p w:rsidR="00011109" w:rsidRPr="001E05C6" w:rsidRDefault="00011109" w:rsidP="001E05C6">
      <w:pPr>
        <w:tabs>
          <w:tab w:val="left" w:pos="1134"/>
        </w:tabs>
        <w:spacing w:line="240" w:lineRule="auto"/>
        <w:ind w:left="1134"/>
        <w:rPr>
          <w:rFonts w:cs="Arial"/>
          <w:i/>
          <w:snapToGrid w:val="0"/>
          <w:sz w:val="22"/>
          <w:szCs w:val="22"/>
        </w:rPr>
      </w:pPr>
      <w:r w:rsidRPr="001E05C6">
        <w:rPr>
          <w:rFonts w:cs="Arial"/>
          <w:bCs/>
          <w:i/>
          <w:snapToGrid w:val="0"/>
          <w:sz w:val="22"/>
          <w:szCs w:val="22"/>
        </w:rPr>
        <w:t>“</w:t>
      </w:r>
      <w:r w:rsidRPr="001E05C6">
        <w:rPr>
          <w:rFonts w:cs="Arial"/>
          <w:b/>
          <w:bCs/>
          <w:i/>
          <w:snapToGrid w:val="0"/>
          <w:sz w:val="22"/>
          <w:szCs w:val="22"/>
        </w:rPr>
        <w:t>Artículo 1.-</w:t>
      </w:r>
      <w:r w:rsidRPr="001E05C6">
        <w:rPr>
          <w:rFonts w:cs="Arial"/>
          <w:b/>
          <w:i/>
          <w:snapToGrid w:val="0"/>
          <w:sz w:val="22"/>
          <w:szCs w:val="22"/>
        </w:rPr>
        <w:t xml:space="preserve"> Definiciones</w:t>
      </w:r>
    </w:p>
    <w:p w:rsidR="00011109" w:rsidRPr="001E05C6" w:rsidRDefault="00011109" w:rsidP="001E05C6">
      <w:pPr>
        <w:tabs>
          <w:tab w:val="left" w:pos="1134"/>
        </w:tabs>
        <w:spacing w:line="240" w:lineRule="auto"/>
        <w:ind w:left="1134"/>
        <w:rPr>
          <w:rFonts w:cs="Arial"/>
          <w:i/>
          <w:snapToGrid w:val="0"/>
          <w:sz w:val="22"/>
          <w:szCs w:val="22"/>
        </w:rPr>
      </w:pPr>
      <w:r w:rsidRPr="001E05C6">
        <w:rPr>
          <w:rFonts w:cs="Arial"/>
          <w:i/>
          <w:snapToGrid w:val="0"/>
          <w:sz w:val="22"/>
          <w:szCs w:val="22"/>
        </w:rPr>
        <w:t>Para los efectos de la presente Decisión, se entiende por:</w:t>
      </w:r>
    </w:p>
    <w:p w:rsidR="00011109" w:rsidRPr="001E05C6" w:rsidRDefault="00D93E12" w:rsidP="001E05C6">
      <w:pPr>
        <w:tabs>
          <w:tab w:val="left" w:pos="1134"/>
        </w:tabs>
        <w:spacing w:line="240" w:lineRule="auto"/>
        <w:ind w:left="1134"/>
        <w:rPr>
          <w:rFonts w:cs="Arial"/>
          <w:i/>
          <w:sz w:val="22"/>
          <w:szCs w:val="22"/>
        </w:rPr>
      </w:pPr>
      <w:r w:rsidRPr="001E05C6">
        <w:rPr>
          <w:rFonts w:cs="Arial"/>
          <w:i/>
          <w:sz w:val="22"/>
          <w:szCs w:val="22"/>
        </w:rPr>
        <w:t>(…)</w:t>
      </w:r>
    </w:p>
    <w:p w:rsidR="00011109" w:rsidRPr="001E05C6" w:rsidRDefault="00011109" w:rsidP="001E05C6">
      <w:pPr>
        <w:tabs>
          <w:tab w:val="left" w:pos="1134"/>
        </w:tabs>
        <w:spacing w:line="240" w:lineRule="auto"/>
        <w:ind w:left="1134"/>
        <w:rPr>
          <w:rFonts w:cs="Arial"/>
          <w:i/>
          <w:sz w:val="22"/>
          <w:szCs w:val="22"/>
        </w:rPr>
      </w:pPr>
      <w:r w:rsidRPr="001E05C6">
        <w:rPr>
          <w:rFonts w:cs="Arial"/>
          <w:b/>
          <w:i/>
          <w:sz w:val="22"/>
          <w:szCs w:val="22"/>
        </w:rPr>
        <w:t>Satélite:</w:t>
      </w:r>
      <w:r w:rsidRPr="001E05C6">
        <w:rPr>
          <w:rFonts w:cs="Arial"/>
          <w:i/>
          <w:sz w:val="22"/>
          <w:szCs w:val="22"/>
        </w:rPr>
        <w:t xml:space="preserve"> Objeto colocado en la órbita de los satélites geoestacionarios, provisto de una estación espacial con sus frecuencias asociadas, que le permite recibir, transmitir o retransmitir señales de radiocomunicación desde o hacia estaciones terrenas u otros satélites.</w:t>
      </w:r>
    </w:p>
    <w:p w:rsidR="00011109" w:rsidRPr="001E05C6" w:rsidRDefault="00011109" w:rsidP="001E05C6">
      <w:pPr>
        <w:tabs>
          <w:tab w:val="left" w:pos="1134"/>
        </w:tabs>
        <w:spacing w:line="240" w:lineRule="auto"/>
        <w:ind w:left="1134"/>
        <w:rPr>
          <w:rFonts w:cs="Arial"/>
          <w:bCs/>
          <w:i/>
          <w:snapToGrid w:val="0"/>
          <w:sz w:val="22"/>
          <w:szCs w:val="22"/>
        </w:rPr>
      </w:pPr>
      <w:r w:rsidRPr="001E05C6">
        <w:rPr>
          <w:rFonts w:cs="Arial"/>
          <w:bCs/>
          <w:i/>
          <w:snapToGrid w:val="0"/>
          <w:sz w:val="22"/>
          <w:szCs w:val="22"/>
        </w:rPr>
        <w:t>(…)</w:t>
      </w:r>
    </w:p>
    <w:p w:rsidR="00011109" w:rsidRPr="001E05C6" w:rsidRDefault="00011109" w:rsidP="001E05C6">
      <w:pPr>
        <w:tabs>
          <w:tab w:val="left" w:pos="1134"/>
        </w:tabs>
        <w:spacing w:line="240" w:lineRule="auto"/>
        <w:ind w:left="1134"/>
        <w:rPr>
          <w:rFonts w:cs="Arial"/>
          <w:i/>
          <w:snapToGrid w:val="0"/>
          <w:sz w:val="22"/>
          <w:szCs w:val="22"/>
        </w:rPr>
      </w:pPr>
      <w:r w:rsidRPr="001E05C6">
        <w:rPr>
          <w:rFonts w:cs="Arial"/>
          <w:b/>
          <w:i/>
          <w:sz w:val="22"/>
          <w:szCs w:val="22"/>
        </w:rPr>
        <w:t>Sistema satelital:</w:t>
      </w:r>
      <w:r w:rsidRPr="001E05C6">
        <w:rPr>
          <w:rFonts w:cs="Arial"/>
          <w:i/>
          <w:sz w:val="22"/>
          <w:szCs w:val="22"/>
        </w:rPr>
        <w:t xml:space="preserve"> Uno o más satélites, con sus frecuencias asociadas, y sus respectivos centros de control, que operan en forma integrada para hacer disponible capacidad satelital para la prestación de servicios satelitales.” </w:t>
      </w:r>
    </w:p>
    <w:p w:rsidR="00011109" w:rsidRPr="001E05C6" w:rsidRDefault="00011109" w:rsidP="001E05C6">
      <w:pPr>
        <w:spacing w:line="240" w:lineRule="auto"/>
        <w:rPr>
          <w:rFonts w:cs="Arial"/>
          <w:b/>
          <w:sz w:val="22"/>
          <w:szCs w:val="22"/>
        </w:rPr>
      </w:pPr>
    </w:p>
    <w:p w:rsidR="00011109" w:rsidRPr="001E05C6" w:rsidRDefault="00011109" w:rsidP="001E05C6">
      <w:pPr>
        <w:pStyle w:val="Prrafodelista"/>
        <w:widowControl/>
        <w:numPr>
          <w:ilvl w:val="0"/>
          <w:numId w:val="2"/>
        </w:numPr>
        <w:adjustRightInd/>
        <w:spacing w:line="240" w:lineRule="auto"/>
        <w:ind w:left="0" w:hanging="426"/>
        <w:contextualSpacing w:val="0"/>
        <w:textAlignment w:val="auto"/>
        <w:rPr>
          <w:rFonts w:cs="Arial"/>
          <w:b/>
          <w:bCs/>
          <w:i/>
          <w:snapToGrid w:val="0"/>
          <w:sz w:val="22"/>
          <w:szCs w:val="22"/>
        </w:rPr>
      </w:pPr>
      <w:r w:rsidRPr="001E05C6">
        <w:rPr>
          <w:rFonts w:cs="Arial"/>
          <w:sz w:val="22"/>
          <w:szCs w:val="22"/>
          <w:lang w:val="es-ES_tradnl"/>
        </w:rPr>
        <w:t xml:space="preserve">Por su parte, el artículo 5 de la Decisión 707 dispone lo siguiente, respecto </w:t>
      </w:r>
      <w:r w:rsidR="00B26BF6" w:rsidRPr="001E05C6">
        <w:rPr>
          <w:rFonts w:cs="Arial"/>
          <w:sz w:val="22"/>
          <w:szCs w:val="22"/>
          <w:lang w:val="es-ES_tradnl"/>
        </w:rPr>
        <w:t>de</w:t>
      </w:r>
      <w:r w:rsidRPr="001E05C6">
        <w:rPr>
          <w:rFonts w:cs="Arial"/>
          <w:sz w:val="22"/>
          <w:szCs w:val="22"/>
          <w:lang w:val="es-ES_tradnl"/>
        </w:rPr>
        <w:t xml:space="preserve"> los Operadores Satelitales:</w:t>
      </w:r>
    </w:p>
    <w:p w:rsidR="00EF6B75" w:rsidRPr="001E05C6" w:rsidRDefault="00EF6B75" w:rsidP="001E05C6">
      <w:pPr>
        <w:widowControl/>
        <w:adjustRightInd/>
        <w:spacing w:line="240" w:lineRule="auto"/>
        <w:textAlignment w:val="auto"/>
        <w:rPr>
          <w:rFonts w:cs="Arial"/>
          <w:b/>
          <w:bCs/>
          <w:i/>
          <w:snapToGrid w:val="0"/>
          <w:sz w:val="22"/>
          <w:szCs w:val="22"/>
        </w:rPr>
      </w:pPr>
    </w:p>
    <w:p w:rsidR="00011109" w:rsidRPr="001E05C6" w:rsidRDefault="00011109" w:rsidP="001E05C6">
      <w:pPr>
        <w:spacing w:line="240" w:lineRule="auto"/>
        <w:ind w:left="1134"/>
        <w:rPr>
          <w:rFonts w:cs="Arial"/>
          <w:bCs/>
          <w:i/>
          <w:snapToGrid w:val="0"/>
          <w:sz w:val="22"/>
          <w:szCs w:val="22"/>
        </w:rPr>
      </w:pPr>
      <w:r w:rsidRPr="001E05C6">
        <w:rPr>
          <w:rFonts w:cs="Arial"/>
          <w:bCs/>
          <w:i/>
          <w:snapToGrid w:val="0"/>
          <w:sz w:val="22"/>
          <w:szCs w:val="22"/>
        </w:rPr>
        <w:t>“</w:t>
      </w:r>
      <w:r w:rsidRPr="001E05C6">
        <w:rPr>
          <w:rFonts w:cs="Arial"/>
          <w:b/>
          <w:bCs/>
          <w:i/>
          <w:snapToGrid w:val="0"/>
          <w:sz w:val="22"/>
          <w:szCs w:val="22"/>
        </w:rPr>
        <w:t>Artículo 5.- Obligaciones del Operador Satelital</w:t>
      </w:r>
    </w:p>
    <w:p w:rsidR="00011109" w:rsidRPr="001E05C6" w:rsidRDefault="00011109" w:rsidP="001E05C6">
      <w:pPr>
        <w:widowControl/>
        <w:tabs>
          <w:tab w:val="left" w:pos="600"/>
        </w:tabs>
        <w:adjustRightInd/>
        <w:spacing w:line="240" w:lineRule="auto"/>
        <w:ind w:left="1134"/>
        <w:textAlignment w:val="auto"/>
        <w:rPr>
          <w:rFonts w:cs="Arial"/>
          <w:bCs/>
          <w:i/>
          <w:snapToGrid w:val="0"/>
          <w:sz w:val="22"/>
          <w:szCs w:val="22"/>
        </w:rPr>
      </w:pPr>
    </w:p>
    <w:p w:rsidR="00011109" w:rsidRPr="001E05C6" w:rsidRDefault="00011109" w:rsidP="001E05C6">
      <w:pPr>
        <w:widowControl/>
        <w:numPr>
          <w:ilvl w:val="0"/>
          <w:numId w:val="27"/>
        </w:numPr>
        <w:tabs>
          <w:tab w:val="clear" w:pos="780"/>
          <w:tab w:val="left" w:pos="600"/>
        </w:tabs>
        <w:adjustRightInd/>
        <w:spacing w:line="240" w:lineRule="auto"/>
        <w:ind w:left="1134" w:firstLine="0"/>
        <w:textAlignment w:val="auto"/>
        <w:rPr>
          <w:rFonts w:cs="Arial"/>
          <w:bCs/>
          <w:i/>
          <w:snapToGrid w:val="0"/>
          <w:sz w:val="22"/>
          <w:szCs w:val="22"/>
        </w:rPr>
      </w:pPr>
      <w:r w:rsidRPr="001E05C6">
        <w:rPr>
          <w:rFonts w:cs="Arial"/>
          <w:bCs/>
          <w:i/>
          <w:snapToGrid w:val="0"/>
          <w:sz w:val="22"/>
          <w:szCs w:val="22"/>
        </w:rPr>
        <w:t xml:space="preserve">Los Operadores Satelitales sólo podrán prestar capacidad satelital a los operadores de servicios de telecomunicaciones que cuenten con la autorización o registro, expedido por las Autoridades Nacionales Competentes de los Países Miembros. </w:t>
      </w:r>
    </w:p>
    <w:p w:rsidR="00011109" w:rsidRPr="001E05C6" w:rsidRDefault="00011109" w:rsidP="001E05C6">
      <w:pPr>
        <w:widowControl/>
        <w:tabs>
          <w:tab w:val="left" w:pos="600"/>
        </w:tabs>
        <w:adjustRightInd/>
        <w:spacing w:line="240" w:lineRule="auto"/>
        <w:ind w:left="1134"/>
        <w:textAlignment w:val="auto"/>
        <w:rPr>
          <w:rFonts w:cs="Arial"/>
          <w:bCs/>
          <w:i/>
          <w:snapToGrid w:val="0"/>
          <w:sz w:val="22"/>
          <w:szCs w:val="22"/>
        </w:rPr>
      </w:pPr>
    </w:p>
    <w:p w:rsidR="00011109" w:rsidRPr="001E05C6" w:rsidRDefault="00011109" w:rsidP="001E05C6">
      <w:pPr>
        <w:widowControl/>
        <w:numPr>
          <w:ilvl w:val="0"/>
          <w:numId w:val="27"/>
        </w:numPr>
        <w:tabs>
          <w:tab w:val="clear" w:pos="780"/>
          <w:tab w:val="left" w:pos="600"/>
        </w:tabs>
        <w:adjustRightInd/>
        <w:spacing w:line="240" w:lineRule="auto"/>
        <w:ind w:left="1134" w:firstLine="0"/>
        <w:textAlignment w:val="auto"/>
        <w:rPr>
          <w:rFonts w:cs="Arial"/>
          <w:bCs/>
          <w:i/>
          <w:snapToGrid w:val="0"/>
          <w:sz w:val="22"/>
          <w:szCs w:val="22"/>
        </w:rPr>
      </w:pPr>
      <w:r w:rsidRPr="001E05C6">
        <w:rPr>
          <w:rFonts w:cs="Arial"/>
          <w:bCs/>
          <w:i/>
          <w:snapToGrid w:val="0"/>
          <w:sz w:val="22"/>
          <w:szCs w:val="22"/>
        </w:rPr>
        <w:t xml:space="preserve">Los Operadores Satelitales comunicarán anualmente a la Secretaría General de la Comunidad Andina, los usuarios y el ancho de banda utilizados en cada País Miembro por cada satélite registrado, con el fin de reportarlo a las Autoridades Nacionales Competentes. La mencionada información se deberá enviar a más tardar el 31 de julio de cada año para el primer semestre, y el 31 de enero del año siguiente para el segundo semestre.” </w:t>
      </w:r>
    </w:p>
    <w:p w:rsidR="00011109" w:rsidRPr="001E05C6" w:rsidRDefault="00011109" w:rsidP="001E05C6">
      <w:pPr>
        <w:widowControl/>
        <w:adjustRightInd/>
        <w:spacing w:line="240" w:lineRule="auto"/>
        <w:textAlignment w:val="auto"/>
        <w:rPr>
          <w:rFonts w:cs="Arial"/>
          <w:sz w:val="22"/>
          <w:szCs w:val="22"/>
        </w:rPr>
      </w:pPr>
    </w:p>
    <w:p w:rsidR="00011109" w:rsidRPr="001E05C6" w:rsidRDefault="0001110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Sobre el particular, se observa que los artículos 1 y 5 de la Decisión 707 no hacen referencia a la naturaleza de los contratos de provisión de capacidad satelital. Así, del tenor literal de dichos artículos no se desprende si tales contratos son únicamente contratos de servicio </w:t>
      </w:r>
      <w:r w:rsidR="00A42907" w:rsidRPr="001E05C6">
        <w:rPr>
          <w:rFonts w:cs="Arial"/>
          <w:sz w:val="22"/>
          <w:szCs w:val="22"/>
        </w:rPr>
        <w:t xml:space="preserve">transfronterizo </w:t>
      </w:r>
      <w:r w:rsidRPr="001E05C6">
        <w:rPr>
          <w:rFonts w:cs="Arial"/>
          <w:sz w:val="22"/>
          <w:szCs w:val="22"/>
        </w:rPr>
        <w:t xml:space="preserve">o si en la provisión de capacidad satelital </w:t>
      </w:r>
      <w:r w:rsidRPr="001E05C6">
        <w:rPr>
          <w:rFonts w:cs="Arial"/>
          <w:bCs/>
          <w:snapToGrid w:val="0"/>
          <w:sz w:val="22"/>
          <w:szCs w:val="22"/>
        </w:rPr>
        <w:t>están involucrados bienes (como el espectro radioeléctrico y</w:t>
      </w:r>
      <w:r w:rsidR="00A42907" w:rsidRPr="001E05C6">
        <w:rPr>
          <w:rFonts w:cs="Arial"/>
          <w:bCs/>
          <w:snapToGrid w:val="0"/>
          <w:sz w:val="22"/>
          <w:szCs w:val="22"/>
        </w:rPr>
        <w:t xml:space="preserve"> la</w:t>
      </w:r>
      <w:r w:rsidRPr="001E05C6">
        <w:rPr>
          <w:rFonts w:cs="Arial"/>
          <w:bCs/>
          <w:snapToGrid w:val="0"/>
          <w:sz w:val="22"/>
          <w:szCs w:val="22"/>
        </w:rPr>
        <w:t xml:space="preserve"> estación terrena)</w:t>
      </w:r>
      <w:r w:rsidR="00D93E12" w:rsidRPr="001E05C6">
        <w:rPr>
          <w:rFonts w:cs="Arial"/>
          <w:bCs/>
          <w:snapToGrid w:val="0"/>
          <w:sz w:val="22"/>
          <w:szCs w:val="22"/>
        </w:rPr>
        <w:t>.</w:t>
      </w:r>
      <w:r w:rsidR="00D93E12" w:rsidRPr="001E05C6">
        <w:rPr>
          <w:rStyle w:val="Refdenotaalpie"/>
          <w:rFonts w:cs="Arial"/>
          <w:bCs/>
          <w:snapToGrid w:val="0"/>
          <w:sz w:val="22"/>
          <w:szCs w:val="22"/>
        </w:rPr>
        <w:t xml:space="preserve"> </w:t>
      </w:r>
      <w:r w:rsidR="00D93E12" w:rsidRPr="001E05C6">
        <w:rPr>
          <w:rStyle w:val="Refdenotaalpie"/>
          <w:rFonts w:cs="Arial"/>
          <w:bCs/>
          <w:snapToGrid w:val="0"/>
          <w:sz w:val="22"/>
          <w:szCs w:val="22"/>
        </w:rPr>
        <w:footnoteReference w:id="59"/>
      </w:r>
    </w:p>
    <w:p w:rsidR="00011109" w:rsidRPr="001E05C6" w:rsidRDefault="00011109" w:rsidP="001E05C6">
      <w:pPr>
        <w:pStyle w:val="Prrafodelista"/>
        <w:widowControl/>
        <w:adjustRightInd/>
        <w:spacing w:line="240" w:lineRule="auto"/>
        <w:ind w:left="0"/>
        <w:contextualSpacing w:val="0"/>
        <w:textAlignment w:val="auto"/>
        <w:rPr>
          <w:rFonts w:cs="Arial"/>
          <w:sz w:val="22"/>
          <w:szCs w:val="22"/>
        </w:rPr>
      </w:pPr>
    </w:p>
    <w:p w:rsidR="0009110D" w:rsidRPr="001E05C6" w:rsidRDefault="00011109"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 xml:space="preserve">En ese sentido, los artículos 1, 2 y 3 de la Decisión 462 y los artículos 1 y 5 de la Decisión 707 no regulan las operaciones satelitales realizadas por operadores satelitales, ni las actividades contractuales derivadas de éstas, como tampoco precisan si la provisión de capacidad satelital puede ser considerada transfronteriza o internacional o si puede considerarse prestada exclusivamente en </w:t>
      </w:r>
      <w:r w:rsidR="004C0326" w:rsidRPr="001E05C6">
        <w:rPr>
          <w:rFonts w:cs="Arial"/>
          <w:sz w:val="22"/>
          <w:szCs w:val="22"/>
        </w:rPr>
        <w:t xml:space="preserve">el </w:t>
      </w:r>
      <w:r w:rsidRPr="001E05C6">
        <w:rPr>
          <w:rFonts w:cs="Arial"/>
          <w:sz w:val="22"/>
          <w:szCs w:val="22"/>
        </w:rPr>
        <w:t>territorio de un País Miembro.</w:t>
      </w:r>
      <w:r w:rsidRPr="001E05C6">
        <w:rPr>
          <w:rStyle w:val="Refdenotaalpie"/>
          <w:rFonts w:cs="Arial"/>
          <w:sz w:val="22"/>
          <w:szCs w:val="22"/>
        </w:rPr>
        <w:footnoteReference w:id="60"/>
      </w:r>
    </w:p>
    <w:p w:rsidR="0009110D" w:rsidRPr="001E05C6" w:rsidRDefault="0009110D" w:rsidP="001E05C6">
      <w:pPr>
        <w:pStyle w:val="Prrafodelista"/>
        <w:widowControl/>
        <w:adjustRightInd/>
        <w:spacing w:line="240" w:lineRule="auto"/>
        <w:ind w:left="0"/>
        <w:contextualSpacing w:val="0"/>
        <w:textAlignment w:val="auto"/>
        <w:rPr>
          <w:rFonts w:cs="Arial"/>
          <w:sz w:val="22"/>
          <w:szCs w:val="22"/>
        </w:rPr>
      </w:pPr>
    </w:p>
    <w:p w:rsidR="00995A1D" w:rsidRPr="001E05C6" w:rsidRDefault="008F2047"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Adicionalmente</w:t>
      </w:r>
      <w:r w:rsidR="00011109" w:rsidRPr="001E05C6">
        <w:rPr>
          <w:rFonts w:cs="Arial"/>
          <w:sz w:val="22"/>
          <w:szCs w:val="22"/>
        </w:rPr>
        <w:t xml:space="preserve">, cabe notar que la Corte Suprema no niega ni contradice que la provisión de capacidad satelital se trate de un servicio; sino, señala que </w:t>
      </w:r>
      <w:r w:rsidR="00967285" w:rsidRPr="001E05C6">
        <w:rPr>
          <w:rFonts w:cs="Arial"/>
          <w:sz w:val="22"/>
          <w:szCs w:val="22"/>
        </w:rPr>
        <w:t xml:space="preserve">para que se lleve a cabo la provisión del servicio de capacidad satelital, bienes </w:t>
      </w:r>
      <w:r w:rsidR="00011109" w:rsidRPr="001E05C6">
        <w:rPr>
          <w:rFonts w:cs="Arial"/>
          <w:sz w:val="22"/>
          <w:szCs w:val="22"/>
        </w:rPr>
        <w:t>como el espectro radioeléctrico y las estaciones terrenas</w:t>
      </w:r>
      <w:r w:rsidR="00967285" w:rsidRPr="001E05C6">
        <w:rPr>
          <w:rFonts w:cs="Arial"/>
          <w:sz w:val="22"/>
          <w:szCs w:val="22"/>
        </w:rPr>
        <w:t xml:space="preserve"> son </w:t>
      </w:r>
      <w:r w:rsidR="00011109" w:rsidRPr="001E05C6">
        <w:rPr>
          <w:rFonts w:cs="Arial"/>
          <w:sz w:val="22"/>
          <w:szCs w:val="22"/>
        </w:rPr>
        <w:t xml:space="preserve">utilizados económicamente en el país, y que, debido a ello, la operación se encuentra gravada con impuesto a la renta, conforme a lo dispuesto en la normativa nacional peruana (tal como se </w:t>
      </w:r>
      <w:r w:rsidRPr="001E05C6">
        <w:rPr>
          <w:rFonts w:cs="Arial"/>
          <w:sz w:val="22"/>
          <w:szCs w:val="22"/>
        </w:rPr>
        <w:t xml:space="preserve">indicó </w:t>
      </w:r>
      <w:r w:rsidR="00011109" w:rsidRPr="001E05C6">
        <w:rPr>
          <w:rFonts w:cs="Arial"/>
          <w:sz w:val="22"/>
          <w:szCs w:val="22"/>
        </w:rPr>
        <w:t>en los párrafos [</w:t>
      </w:r>
      <w:r w:rsidR="00F41763" w:rsidRPr="001E05C6">
        <w:rPr>
          <w:rFonts w:cs="Arial"/>
          <w:sz w:val="22"/>
          <w:szCs w:val="22"/>
        </w:rPr>
        <w:t>63</w:t>
      </w:r>
      <w:r w:rsidR="00011109" w:rsidRPr="001E05C6">
        <w:rPr>
          <w:rFonts w:cs="Arial"/>
          <w:sz w:val="22"/>
          <w:szCs w:val="22"/>
        </w:rPr>
        <w:t>] y [</w:t>
      </w:r>
      <w:r w:rsidR="00D45007" w:rsidRPr="001E05C6">
        <w:rPr>
          <w:rFonts w:cs="Arial"/>
          <w:sz w:val="22"/>
          <w:szCs w:val="22"/>
        </w:rPr>
        <w:t>6</w:t>
      </w:r>
      <w:r w:rsidR="00F41763" w:rsidRPr="001E05C6">
        <w:rPr>
          <w:rFonts w:cs="Arial"/>
          <w:sz w:val="22"/>
          <w:szCs w:val="22"/>
        </w:rPr>
        <w:t>4</w:t>
      </w:r>
      <w:r w:rsidR="00011109" w:rsidRPr="001E05C6">
        <w:rPr>
          <w:rFonts w:cs="Arial"/>
          <w:sz w:val="22"/>
          <w:szCs w:val="22"/>
        </w:rPr>
        <w:t>] del presente Dictamen</w:t>
      </w:r>
      <w:r w:rsidRPr="001E05C6">
        <w:rPr>
          <w:rFonts w:cs="Arial"/>
          <w:sz w:val="22"/>
          <w:szCs w:val="22"/>
        </w:rPr>
        <w:t>)</w:t>
      </w:r>
      <w:r w:rsidR="00011109" w:rsidRPr="001E05C6">
        <w:rPr>
          <w:rFonts w:cs="Arial"/>
          <w:sz w:val="22"/>
          <w:szCs w:val="22"/>
        </w:rPr>
        <w:t xml:space="preserve">. En virtud a ello, aún en el supuesto que de las Decisiones 462 y 707 se desprenda que la provisión de capacidad satelital es un servicio, </w:t>
      </w:r>
      <w:r w:rsidR="00D3433E" w:rsidRPr="001E05C6">
        <w:rPr>
          <w:rFonts w:cs="Arial"/>
          <w:sz w:val="22"/>
          <w:szCs w:val="22"/>
        </w:rPr>
        <w:t xml:space="preserve">en el presente caso la reclamante no ha acreditado fehacientemente </w:t>
      </w:r>
      <w:r w:rsidR="004C0326" w:rsidRPr="001E05C6">
        <w:rPr>
          <w:rFonts w:cs="Arial"/>
          <w:sz w:val="22"/>
          <w:szCs w:val="22"/>
        </w:rPr>
        <w:t xml:space="preserve">que </w:t>
      </w:r>
      <w:r w:rsidR="00011109" w:rsidRPr="001E05C6">
        <w:rPr>
          <w:rFonts w:cs="Arial"/>
          <w:sz w:val="22"/>
          <w:szCs w:val="22"/>
        </w:rPr>
        <w:t xml:space="preserve">dichas normas hubiesen sido necesarias para que el juez nacional pudiera </w:t>
      </w:r>
      <w:r w:rsidR="00F46142" w:rsidRPr="001E05C6">
        <w:rPr>
          <w:rFonts w:cs="Arial"/>
          <w:sz w:val="22"/>
          <w:szCs w:val="22"/>
        </w:rPr>
        <w:t>resolver</w:t>
      </w:r>
      <w:r w:rsidR="00011109" w:rsidRPr="001E05C6">
        <w:rPr>
          <w:rFonts w:cs="Arial"/>
          <w:sz w:val="22"/>
          <w:szCs w:val="22"/>
        </w:rPr>
        <w:t xml:space="preserve"> el asunto controvertido. </w:t>
      </w:r>
    </w:p>
    <w:p w:rsidR="00995A1D" w:rsidRPr="001E05C6" w:rsidRDefault="00995A1D" w:rsidP="001E05C6">
      <w:pPr>
        <w:pStyle w:val="Prrafodelista"/>
        <w:spacing w:line="240" w:lineRule="auto"/>
        <w:rPr>
          <w:rFonts w:cs="Arial"/>
          <w:sz w:val="22"/>
          <w:szCs w:val="22"/>
        </w:rPr>
      </w:pPr>
    </w:p>
    <w:p w:rsidR="00995A1D" w:rsidRPr="001E05C6" w:rsidRDefault="00085AA4" w:rsidP="001E05C6">
      <w:pPr>
        <w:pStyle w:val="Prrafodelista"/>
        <w:widowControl/>
        <w:numPr>
          <w:ilvl w:val="0"/>
          <w:numId w:val="2"/>
        </w:numPr>
        <w:adjustRightInd/>
        <w:spacing w:line="240" w:lineRule="auto"/>
        <w:ind w:left="-12" w:hanging="414"/>
        <w:contextualSpacing w:val="0"/>
        <w:textAlignment w:val="auto"/>
        <w:rPr>
          <w:rFonts w:cs="Arial"/>
          <w:sz w:val="22"/>
          <w:szCs w:val="22"/>
        </w:rPr>
      </w:pPr>
      <w:r w:rsidRPr="001E05C6">
        <w:rPr>
          <w:rFonts w:cs="Arial"/>
          <w:sz w:val="22"/>
          <w:szCs w:val="22"/>
        </w:rPr>
        <w:t>En este punto hay que señalar que por vía de la interpretación prejudicial</w:t>
      </w:r>
      <w:r w:rsidR="009271D6" w:rsidRPr="001E05C6">
        <w:rPr>
          <w:rFonts w:cs="Arial"/>
          <w:sz w:val="22"/>
          <w:szCs w:val="22"/>
        </w:rPr>
        <w:t>,</w:t>
      </w:r>
      <w:r w:rsidRPr="001E05C6">
        <w:rPr>
          <w:rFonts w:cs="Arial"/>
          <w:sz w:val="22"/>
          <w:szCs w:val="22"/>
        </w:rPr>
        <w:t xml:space="preserve"> el TJCA no interpreta el contenido y alcance del derecho nacional ni califica los hechos materia de proceso, ya que se limita a precisar el contenido y alcance de las normas andinas, desde un punto de vista jurídico.</w:t>
      </w:r>
      <w:r w:rsidRPr="001E05C6">
        <w:rPr>
          <w:rStyle w:val="Refdenotaalpie"/>
          <w:rFonts w:cs="Arial"/>
          <w:sz w:val="22"/>
          <w:szCs w:val="22"/>
        </w:rPr>
        <w:footnoteReference w:id="61"/>
      </w:r>
      <w:r w:rsidR="00995A1D" w:rsidRPr="001E05C6">
        <w:rPr>
          <w:rFonts w:cs="Arial"/>
          <w:sz w:val="22"/>
          <w:szCs w:val="22"/>
        </w:rPr>
        <w:t xml:space="preserve"> En tal sentido, </w:t>
      </w:r>
      <w:r w:rsidR="00CC52BA" w:rsidRPr="001E05C6">
        <w:rPr>
          <w:rFonts w:cs="Arial"/>
          <w:sz w:val="22"/>
          <w:szCs w:val="22"/>
        </w:rPr>
        <w:t xml:space="preserve">a modo general esta Secretaria General tiene a bien indicar que </w:t>
      </w:r>
      <w:r w:rsidR="00995A1D" w:rsidRPr="001E05C6">
        <w:rPr>
          <w:rFonts w:cs="Arial"/>
          <w:sz w:val="22"/>
          <w:szCs w:val="22"/>
        </w:rPr>
        <w:t xml:space="preserve">la interpretación prejudicial no </w:t>
      </w:r>
      <w:r w:rsidR="00EF6B75" w:rsidRPr="001E05C6">
        <w:rPr>
          <w:rFonts w:cs="Arial"/>
          <w:sz w:val="22"/>
          <w:szCs w:val="22"/>
        </w:rPr>
        <w:t xml:space="preserve">se puede utilizar </w:t>
      </w:r>
      <w:r w:rsidR="00995A1D" w:rsidRPr="001E05C6">
        <w:rPr>
          <w:rFonts w:cs="Arial"/>
          <w:sz w:val="22"/>
          <w:szCs w:val="22"/>
        </w:rPr>
        <w:t>para revaluar los actos jurisdiccionales nacionales o servir como un recurso de revisión o alzada de tales actos.</w:t>
      </w:r>
    </w:p>
    <w:p w:rsidR="00085AA4" w:rsidRPr="001E05C6" w:rsidRDefault="00085AA4" w:rsidP="001E05C6">
      <w:pPr>
        <w:pStyle w:val="Prrafodelista"/>
        <w:widowControl/>
        <w:adjustRightInd/>
        <w:spacing w:line="240" w:lineRule="auto"/>
        <w:ind w:left="-12"/>
        <w:contextualSpacing w:val="0"/>
        <w:textAlignment w:val="auto"/>
        <w:rPr>
          <w:rFonts w:cs="Arial"/>
          <w:sz w:val="22"/>
          <w:szCs w:val="22"/>
        </w:rPr>
      </w:pPr>
    </w:p>
    <w:p w:rsidR="00CB311C" w:rsidRPr="001E05C6" w:rsidRDefault="004340C4"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Ahora bien, en relación</w:t>
      </w:r>
      <w:r w:rsidR="00F47E28" w:rsidRPr="001E05C6">
        <w:rPr>
          <w:rFonts w:cs="Arial"/>
          <w:sz w:val="22"/>
          <w:szCs w:val="22"/>
        </w:rPr>
        <w:t xml:space="preserve"> a </w:t>
      </w:r>
      <w:r w:rsidRPr="001E05C6">
        <w:rPr>
          <w:rFonts w:cs="Arial"/>
          <w:sz w:val="22"/>
          <w:szCs w:val="22"/>
        </w:rPr>
        <w:t xml:space="preserve">lo alegado por la reclamante respecto a </w:t>
      </w:r>
      <w:r w:rsidR="00983AA4" w:rsidRPr="001E05C6">
        <w:rPr>
          <w:rFonts w:cs="Arial"/>
          <w:sz w:val="22"/>
          <w:szCs w:val="22"/>
        </w:rPr>
        <w:t xml:space="preserve">que </w:t>
      </w:r>
      <w:r w:rsidR="00331C3C" w:rsidRPr="001E05C6">
        <w:rPr>
          <w:rFonts w:cs="Arial"/>
          <w:sz w:val="22"/>
          <w:szCs w:val="22"/>
        </w:rPr>
        <w:t>de acuerdo</w:t>
      </w:r>
      <w:r w:rsidR="00983AA4" w:rsidRPr="001E05C6">
        <w:rPr>
          <w:rFonts w:cs="Arial"/>
          <w:sz w:val="22"/>
          <w:szCs w:val="22"/>
        </w:rPr>
        <w:t xml:space="preserve"> </w:t>
      </w:r>
      <w:r w:rsidR="00621A40" w:rsidRPr="001E05C6">
        <w:rPr>
          <w:rFonts w:cs="Arial"/>
          <w:sz w:val="22"/>
          <w:szCs w:val="22"/>
        </w:rPr>
        <w:t>con el</w:t>
      </w:r>
      <w:r w:rsidR="00983AA4" w:rsidRPr="001E05C6">
        <w:rPr>
          <w:rFonts w:cs="Arial"/>
          <w:sz w:val="22"/>
          <w:szCs w:val="22"/>
        </w:rPr>
        <w:t xml:space="preserve"> </w:t>
      </w:r>
      <w:r w:rsidR="00F47E28" w:rsidRPr="001E05C6">
        <w:rPr>
          <w:rFonts w:cs="Arial"/>
          <w:sz w:val="22"/>
          <w:szCs w:val="22"/>
        </w:rPr>
        <w:t>Proceso</w:t>
      </w:r>
      <w:r w:rsidR="00331C3C" w:rsidRPr="001E05C6">
        <w:rPr>
          <w:rFonts w:cs="Arial"/>
          <w:sz w:val="22"/>
          <w:szCs w:val="22"/>
        </w:rPr>
        <w:t xml:space="preserve"> </w:t>
      </w:r>
      <w:r w:rsidR="00983AA4" w:rsidRPr="001E05C6">
        <w:rPr>
          <w:rFonts w:cs="Arial"/>
          <w:sz w:val="22"/>
          <w:szCs w:val="22"/>
        </w:rPr>
        <w:t>89-IP-2013</w:t>
      </w:r>
      <w:r w:rsidR="00F47E28" w:rsidRPr="001E05C6">
        <w:rPr>
          <w:rFonts w:cs="Arial"/>
          <w:sz w:val="22"/>
          <w:szCs w:val="22"/>
        </w:rPr>
        <w:t xml:space="preserve">, </w:t>
      </w:r>
      <w:r w:rsidR="00331C3C" w:rsidRPr="001E05C6">
        <w:rPr>
          <w:rFonts w:cs="Arial"/>
          <w:sz w:val="22"/>
          <w:szCs w:val="22"/>
        </w:rPr>
        <w:t>era necesario que el TJCA emitiera interpretación prejudicial respecto de la Decisión 462</w:t>
      </w:r>
      <w:r w:rsidR="00FF48C5" w:rsidRPr="001E05C6">
        <w:rPr>
          <w:rFonts w:cs="Arial"/>
          <w:sz w:val="22"/>
          <w:szCs w:val="22"/>
        </w:rPr>
        <w:t xml:space="preserve">; </w:t>
      </w:r>
      <w:r w:rsidR="0001047E" w:rsidRPr="001E05C6">
        <w:rPr>
          <w:rFonts w:cs="Arial"/>
          <w:sz w:val="22"/>
          <w:szCs w:val="22"/>
        </w:rPr>
        <w:t>es preciso señalar que la interpretación que realiza el T</w:t>
      </w:r>
      <w:r w:rsidR="00FF48C5" w:rsidRPr="001E05C6">
        <w:rPr>
          <w:rFonts w:cs="Arial"/>
          <w:sz w:val="22"/>
          <w:szCs w:val="22"/>
        </w:rPr>
        <w:t xml:space="preserve">JCA </w:t>
      </w:r>
      <w:r w:rsidR="0001047E" w:rsidRPr="001E05C6">
        <w:rPr>
          <w:rFonts w:cs="Arial"/>
          <w:sz w:val="22"/>
          <w:szCs w:val="22"/>
        </w:rPr>
        <w:t>es para cada caso en concreto por lo que la ‘teoría del acto claro’ no tiene aplicación dentro del sistema interpretativo</w:t>
      </w:r>
      <w:r w:rsidR="00087FF8" w:rsidRPr="001E05C6">
        <w:rPr>
          <w:rFonts w:cs="Arial"/>
          <w:sz w:val="22"/>
          <w:szCs w:val="22"/>
        </w:rPr>
        <w:t xml:space="preserve"> andino</w:t>
      </w:r>
      <w:r w:rsidR="0001047E" w:rsidRPr="001E05C6">
        <w:rPr>
          <w:rFonts w:cs="Arial"/>
          <w:sz w:val="22"/>
          <w:szCs w:val="22"/>
        </w:rPr>
        <w:t>.</w:t>
      </w:r>
      <w:r w:rsidR="0001047E" w:rsidRPr="001E05C6">
        <w:rPr>
          <w:rStyle w:val="Refdenotaalpie"/>
          <w:rFonts w:cs="Arial"/>
          <w:sz w:val="22"/>
          <w:szCs w:val="22"/>
        </w:rPr>
        <w:footnoteReference w:id="62"/>
      </w:r>
      <w:r w:rsidR="008B7BE6" w:rsidRPr="001E05C6">
        <w:rPr>
          <w:rFonts w:cs="Arial"/>
          <w:sz w:val="22"/>
          <w:szCs w:val="22"/>
        </w:rPr>
        <w:t xml:space="preserve"> </w:t>
      </w:r>
    </w:p>
    <w:p w:rsidR="0001047E" w:rsidRPr="001E05C6" w:rsidRDefault="0001047E" w:rsidP="001E05C6">
      <w:pPr>
        <w:spacing w:line="240" w:lineRule="auto"/>
        <w:rPr>
          <w:rFonts w:cs="Arial"/>
          <w:sz w:val="22"/>
          <w:szCs w:val="22"/>
        </w:rPr>
      </w:pPr>
    </w:p>
    <w:p w:rsidR="00621A40" w:rsidRPr="001E05C6" w:rsidRDefault="00B21447" w:rsidP="001E05C6">
      <w:pPr>
        <w:pStyle w:val="Prrafodelista"/>
        <w:widowControl/>
        <w:numPr>
          <w:ilvl w:val="0"/>
          <w:numId w:val="2"/>
        </w:numPr>
        <w:adjustRightInd/>
        <w:spacing w:line="240" w:lineRule="auto"/>
        <w:ind w:left="0" w:hanging="426"/>
        <w:contextualSpacing w:val="0"/>
        <w:textAlignment w:val="auto"/>
        <w:rPr>
          <w:rFonts w:cs="Arial"/>
          <w:b/>
          <w:sz w:val="22"/>
          <w:szCs w:val="22"/>
        </w:rPr>
      </w:pPr>
      <w:r w:rsidRPr="001E05C6">
        <w:rPr>
          <w:rFonts w:cs="Arial"/>
          <w:sz w:val="22"/>
          <w:szCs w:val="22"/>
        </w:rPr>
        <w:t>Por lo expuesto, se concluye que no se verifica que la causa fuera una en la que debía aplicarse el derecho comunitario andino y, por tanto, tampoco se verifica la obligación del juez nacional de solicitar la interpre</w:t>
      </w:r>
      <w:r w:rsidR="003649A0" w:rsidRPr="001E05C6">
        <w:rPr>
          <w:rFonts w:cs="Arial"/>
          <w:sz w:val="22"/>
          <w:szCs w:val="22"/>
        </w:rPr>
        <w:t xml:space="preserve">tación prejudicial en este caso; por lo que no se configura el </w:t>
      </w:r>
      <w:r w:rsidR="00621A40" w:rsidRPr="001E05C6">
        <w:rPr>
          <w:rFonts w:cs="Arial"/>
          <w:sz w:val="22"/>
          <w:szCs w:val="22"/>
        </w:rPr>
        <w:t xml:space="preserve">incumplimiento de los artículos 33 y 36 del Tratado de Creación del TJCA </w:t>
      </w:r>
      <w:r w:rsidR="003605CE" w:rsidRPr="001E05C6">
        <w:rPr>
          <w:rFonts w:cs="Arial"/>
          <w:sz w:val="22"/>
          <w:szCs w:val="22"/>
        </w:rPr>
        <w:t>ni de</w:t>
      </w:r>
      <w:r w:rsidR="00621A40" w:rsidRPr="001E05C6">
        <w:rPr>
          <w:rFonts w:cs="Arial"/>
          <w:sz w:val="22"/>
          <w:szCs w:val="22"/>
        </w:rPr>
        <w:t xml:space="preserve"> los artículos 123 y 128 de la Decisión 500.</w:t>
      </w:r>
    </w:p>
    <w:p w:rsidR="00551823" w:rsidRPr="001E05C6" w:rsidRDefault="00551823" w:rsidP="001E05C6">
      <w:pPr>
        <w:pStyle w:val="Prrafodelista"/>
        <w:widowControl/>
        <w:adjustRightInd/>
        <w:spacing w:line="240" w:lineRule="auto"/>
        <w:ind w:left="0"/>
        <w:contextualSpacing w:val="0"/>
        <w:textAlignment w:val="auto"/>
        <w:rPr>
          <w:rFonts w:cs="Arial"/>
          <w:b/>
          <w:sz w:val="22"/>
          <w:szCs w:val="22"/>
        </w:rPr>
      </w:pPr>
    </w:p>
    <w:p w:rsidR="00232584" w:rsidRPr="001E05C6" w:rsidRDefault="00232584" w:rsidP="001E05C6">
      <w:pPr>
        <w:pStyle w:val="Prrafodelista"/>
        <w:numPr>
          <w:ilvl w:val="2"/>
          <w:numId w:val="16"/>
        </w:numPr>
        <w:spacing w:line="240" w:lineRule="auto"/>
        <w:ind w:left="709" w:hanging="709"/>
        <w:contextualSpacing w:val="0"/>
        <w:rPr>
          <w:rFonts w:cs="Arial"/>
          <w:b/>
          <w:sz w:val="22"/>
          <w:szCs w:val="22"/>
        </w:rPr>
      </w:pPr>
      <w:r w:rsidRPr="001E05C6">
        <w:rPr>
          <w:rFonts w:cs="Arial"/>
          <w:b/>
          <w:sz w:val="22"/>
          <w:szCs w:val="22"/>
        </w:rPr>
        <w:t xml:space="preserve">El alegado incumplimiento de los artículos 35 del Tratado de Creación del </w:t>
      </w:r>
      <w:r w:rsidR="004E400C" w:rsidRPr="001E05C6">
        <w:rPr>
          <w:rFonts w:cs="Arial"/>
          <w:b/>
          <w:sz w:val="22"/>
          <w:szCs w:val="22"/>
        </w:rPr>
        <w:t>TJCA</w:t>
      </w:r>
      <w:r w:rsidRPr="001E05C6">
        <w:rPr>
          <w:rFonts w:cs="Arial"/>
          <w:b/>
          <w:sz w:val="22"/>
          <w:szCs w:val="22"/>
        </w:rPr>
        <w:t xml:space="preserve"> y</w:t>
      </w:r>
      <w:r w:rsidR="008472AD" w:rsidRPr="001E05C6">
        <w:rPr>
          <w:rFonts w:cs="Arial"/>
          <w:b/>
          <w:sz w:val="22"/>
          <w:szCs w:val="22"/>
        </w:rPr>
        <w:t xml:space="preserve"> el</w:t>
      </w:r>
      <w:r w:rsidRPr="001E05C6">
        <w:rPr>
          <w:rFonts w:cs="Arial"/>
          <w:b/>
          <w:sz w:val="22"/>
          <w:szCs w:val="22"/>
        </w:rPr>
        <w:t xml:space="preserve"> artículo 127 de la Decisión 500</w:t>
      </w:r>
      <w:r w:rsidR="004E400C" w:rsidRPr="001E05C6">
        <w:rPr>
          <w:rFonts w:cs="Arial"/>
          <w:b/>
          <w:sz w:val="22"/>
          <w:szCs w:val="22"/>
        </w:rPr>
        <w:t>, referido a la adopción de la interpretación prejudicial</w:t>
      </w:r>
      <w:r w:rsidRPr="001E05C6">
        <w:rPr>
          <w:rFonts w:cs="Arial"/>
          <w:b/>
          <w:sz w:val="22"/>
          <w:szCs w:val="22"/>
        </w:rPr>
        <w:t>:</w:t>
      </w:r>
    </w:p>
    <w:p w:rsidR="00C01ACD" w:rsidRPr="001E05C6" w:rsidRDefault="00C01ACD" w:rsidP="001E05C6">
      <w:pPr>
        <w:widowControl/>
        <w:adjustRightInd/>
        <w:spacing w:line="240" w:lineRule="auto"/>
        <w:textAlignment w:val="auto"/>
        <w:rPr>
          <w:rFonts w:cs="Arial"/>
          <w:i/>
          <w:sz w:val="22"/>
          <w:szCs w:val="22"/>
          <w:u w:val="single"/>
        </w:rPr>
      </w:pPr>
    </w:p>
    <w:p w:rsidR="004E400C" w:rsidRPr="001E05C6" w:rsidRDefault="008472AD"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De conformidad con el artículo 35 del Tratado de Creación del TJCA y el artículo 127 de la Decisión 500, el juez que conozca del proceso interno en que se formuló la consulta, deberá adoptar en su sentencia la interpretación del Tribunal.</w:t>
      </w:r>
    </w:p>
    <w:p w:rsidR="008472AD" w:rsidRPr="001E05C6" w:rsidRDefault="008472AD" w:rsidP="001E05C6">
      <w:pPr>
        <w:pStyle w:val="Prrafodelista"/>
        <w:widowControl/>
        <w:adjustRightInd/>
        <w:spacing w:line="240" w:lineRule="auto"/>
        <w:ind w:left="0"/>
        <w:contextualSpacing w:val="0"/>
        <w:textAlignment w:val="auto"/>
        <w:rPr>
          <w:rFonts w:cs="Arial"/>
          <w:sz w:val="22"/>
          <w:szCs w:val="22"/>
        </w:rPr>
      </w:pPr>
    </w:p>
    <w:p w:rsidR="008472AD" w:rsidRPr="001E05C6" w:rsidRDefault="008472AD"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sz w:val="22"/>
          <w:szCs w:val="22"/>
        </w:rPr>
        <w:t>Sobre el particular, considerando que el juez nacional no se encontraba obligado a solicitar interpretación prejudicial</w:t>
      </w:r>
      <w:r w:rsidR="003649A0" w:rsidRPr="001E05C6">
        <w:rPr>
          <w:rFonts w:cs="Arial"/>
          <w:sz w:val="22"/>
          <w:szCs w:val="22"/>
        </w:rPr>
        <w:t xml:space="preserve"> al TJCA</w:t>
      </w:r>
      <w:r w:rsidRPr="001E05C6">
        <w:rPr>
          <w:rFonts w:cs="Arial"/>
          <w:sz w:val="22"/>
          <w:szCs w:val="22"/>
        </w:rPr>
        <w:t>, la República del Perú no ha incumplido las obligaciones emanadas de los artículos señalados en el párrafo precedente.</w:t>
      </w:r>
    </w:p>
    <w:p w:rsidR="005A0C65" w:rsidRPr="001E05C6" w:rsidRDefault="005A0C65" w:rsidP="001E05C6">
      <w:pPr>
        <w:spacing w:line="240" w:lineRule="auto"/>
        <w:rPr>
          <w:rFonts w:cs="Arial"/>
          <w:sz w:val="22"/>
          <w:szCs w:val="22"/>
        </w:rPr>
      </w:pPr>
    </w:p>
    <w:p w:rsidR="00AD1C19" w:rsidRPr="001E05C6" w:rsidRDefault="00AD1C19" w:rsidP="001E05C6">
      <w:pPr>
        <w:pStyle w:val="Prrafodelista"/>
        <w:numPr>
          <w:ilvl w:val="2"/>
          <w:numId w:val="16"/>
        </w:numPr>
        <w:spacing w:line="240" w:lineRule="auto"/>
        <w:ind w:left="709" w:hanging="709"/>
        <w:contextualSpacing w:val="0"/>
        <w:rPr>
          <w:rFonts w:cs="Arial"/>
          <w:b/>
          <w:sz w:val="22"/>
          <w:szCs w:val="22"/>
        </w:rPr>
      </w:pPr>
      <w:r w:rsidRPr="001E05C6">
        <w:rPr>
          <w:rFonts w:cs="Arial"/>
          <w:b/>
          <w:bCs/>
          <w:color w:val="000000"/>
          <w:sz w:val="22"/>
          <w:szCs w:val="22"/>
        </w:rPr>
        <w:t>Sobre el alegado incumplimiento del artículo 4 del Tratado de Creación del Tribunal de Justicia de la Comunidad Andina:</w:t>
      </w:r>
    </w:p>
    <w:p w:rsidR="00AD1C19" w:rsidRPr="001E05C6" w:rsidRDefault="00AD1C19" w:rsidP="001E05C6">
      <w:pPr>
        <w:spacing w:line="240" w:lineRule="auto"/>
        <w:rPr>
          <w:rFonts w:cs="Arial"/>
          <w:bCs/>
          <w:color w:val="000000"/>
          <w:sz w:val="22"/>
          <w:szCs w:val="22"/>
        </w:rPr>
      </w:pPr>
    </w:p>
    <w:p w:rsidR="00AD1C19" w:rsidRPr="001E05C6" w:rsidRDefault="00AD1C19" w:rsidP="001E05C6">
      <w:pPr>
        <w:pStyle w:val="Prrafodelista"/>
        <w:widowControl/>
        <w:adjustRightInd/>
        <w:spacing w:line="240" w:lineRule="auto"/>
        <w:ind w:left="-12"/>
        <w:contextualSpacing w:val="0"/>
        <w:textAlignment w:val="auto"/>
        <w:rPr>
          <w:rFonts w:cs="Arial"/>
          <w:bCs/>
          <w:i/>
          <w:color w:val="000000"/>
          <w:sz w:val="22"/>
          <w:szCs w:val="22"/>
          <w:u w:val="single"/>
        </w:rPr>
      </w:pPr>
      <w:r w:rsidRPr="001E05C6">
        <w:rPr>
          <w:rFonts w:cs="Arial"/>
          <w:bCs/>
          <w:i/>
          <w:color w:val="000000"/>
          <w:sz w:val="22"/>
          <w:szCs w:val="22"/>
          <w:u w:val="single"/>
        </w:rPr>
        <w:t>Alegatos de la reclamante</w:t>
      </w:r>
    </w:p>
    <w:p w:rsidR="00AD1C19" w:rsidRPr="001E05C6" w:rsidRDefault="00AD1C19" w:rsidP="001E05C6">
      <w:pPr>
        <w:pStyle w:val="Prrafodelista"/>
        <w:widowControl/>
        <w:adjustRightInd/>
        <w:spacing w:line="240" w:lineRule="auto"/>
        <w:ind w:left="-12"/>
        <w:contextualSpacing w:val="0"/>
        <w:textAlignment w:val="auto"/>
        <w:rPr>
          <w:rFonts w:cs="Arial"/>
          <w:bCs/>
          <w:color w:val="000000"/>
          <w:sz w:val="22"/>
          <w:szCs w:val="22"/>
        </w:rPr>
      </w:pPr>
    </w:p>
    <w:p w:rsidR="00AD1C19" w:rsidRPr="001E05C6" w:rsidRDefault="00AD1C19" w:rsidP="001E05C6">
      <w:pPr>
        <w:pStyle w:val="Prrafodelista"/>
        <w:widowControl/>
        <w:numPr>
          <w:ilvl w:val="0"/>
          <w:numId w:val="2"/>
        </w:numPr>
        <w:adjustRightInd/>
        <w:spacing w:line="240" w:lineRule="auto"/>
        <w:ind w:left="0" w:hanging="426"/>
        <w:contextualSpacing w:val="0"/>
        <w:textAlignment w:val="auto"/>
        <w:rPr>
          <w:rFonts w:cs="Arial"/>
          <w:bCs/>
          <w:i/>
          <w:color w:val="000000"/>
          <w:sz w:val="22"/>
          <w:szCs w:val="22"/>
        </w:rPr>
      </w:pPr>
      <w:r w:rsidRPr="001E05C6">
        <w:rPr>
          <w:rFonts w:cs="Arial"/>
          <w:bCs/>
          <w:color w:val="000000"/>
          <w:sz w:val="22"/>
          <w:szCs w:val="22"/>
        </w:rPr>
        <w:t xml:space="preserve">Ahora bien, en el escrito de reclamo, la remante ha señalado que </w:t>
      </w:r>
      <w:r w:rsidRPr="001E05C6">
        <w:rPr>
          <w:rFonts w:cs="Arial"/>
          <w:bCs/>
          <w:i/>
          <w:color w:val="000000"/>
          <w:sz w:val="22"/>
          <w:szCs w:val="22"/>
        </w:rPr>
        <w:t xml:space="preserve">“[a]l no haber dispuesto y tramitado la interpretación prejudicial obligatoria, la Corte Suprema de Justicia incumplió sus obligaciones de hacer vulnerando lo dispuesto en el artículo 4° del Tratado de </w:t>
      </w:r>
      <w:r w:rsidRPr="001E05C6">
        <w:rPr>
          <w:rFonts w:cs="Arial"/>
          <w:bCs/>
          <w:i/>
          <w:color w:val="000000"/>
          <w:sz w:val="22"/>
          <w:szCs w:val="22"/>
        </w:rPr>
        <w:lastRenderedPageBreak/>
        <w:t>Creación del TJCA, y la amplia jurisprudencia de este último respecto de las obligaciones de hacer de los Países Miembros.</w:t>
      </w:r>
      <w:r w:rsidRPr="001E05C6">
        <w:rPr>
          <w:rFonts w:cs="Arial"/>
          <w:bCs/>
          <w:color w:val="000000"/>
          <w:sz w:val="22"/>
          <w:szCs w:val="22"/>
        </w:rPr>
        <w:t>”</w:t>
      </w:r>
      <w:r w:rsidRPr="001E05C6">
        <w:rPr>
          <w:rStyle w:val="Refdenotaalpie"/>
          <w:rFonts w:cs="Arial"/>
          <w:bCs/>
          <w:color w:val="000000"/>
          <w:sz w:val="22"/>
          <w:szCs w:val="22"/>
        </w:rPr>
        <w:footnoteReference w:id="63"/>
      </w:r>
    </w:p>
    <w:p w:rsidR="00071F31" w:rsidRPr="001E05C6" w:rsidRDefault="00071F31" w:rsidP="001E05C6">
      <w:pPr>
        <w:widowControl/>
        <w:adjustRightInd/>
        <w:spacing w:line="240" w:lineRule="auto"/>
        <w:textAlignment w:val="auto"/>
        <w:rPr>
          <w:rFonts w:cs="Arial"/>
          <w:bCs/>
          <w:color w:val="000000"/>
          <w:sz w:val="22"/>
          <w:szCs w:val="22"/>
        </w:rPr>
      </w:pPr>
    </w:p>
    <w:p w:rsidR="00AD1C19" w:rsidRPr="001E05C6" w:rsidRDefault="00AD1C19" w:rsidP="001E05C6">
      <w:pPr>
        <w:pStyle w:val="Prrafodelista"/>
        <w:widowControl/>
        <w:adjustRightInd/>
        <w:spacing w:line="240" w:lineRule="auto"/>
        <w:ind w:left="-12"/>
        <w:contextualSpacing w:val="0"/>
        <w:textAlignment w:val="auto"/>
        <w:rPr>
          <w:rFonts w:cs="Arial"/>
          <w:bCs/>
          <w:i/>
          <w:color w:val="000000"/>
          <w:sz w:val="22"/>
          <w:szCs w:val="22"/>
          <w:u w:val="single"/>
        </w:rPr>
      </w:pPr>
      <w:r w:rsidRPr="001E05C6">
        <w:rPr>
          <w:rFonts w:cs="Arial"/>
          <w:bCs/>
          <w:i/>
          <w:color w:val="000000"/>
          <w:sz w:val="22"/>
          <w:szCs w:val="22"/>
          <w:u w:val="single"/>
        </w:rPr>
        <w:t>Alegatos de la reclamada</w:t>
      </w:r>
    </w:p>
    <w:p w:rsidR="00AD1C19" w:rsidRPr="001E05C6" w:rsidRDefault="00AD1C19" w:rsidP="001E05C6">
      <w:pPr>
        <w:pStyle w:val="Prrafodelista"/>
        <w:widowControl/>
        <w:adjustRightInd/>
        <w:spacing w:line="240" w:lineRule="auto"/>
        <w:ind w:left="-12"/>
        <w:contextualSpacing w:val="0"/>
        <w:textAlignment w:val="auto"/>
        <w:rPr>
          <w:rFonts w:cs="Arial"/>
          <w:bCs/>
          <w:i/>
          <w:color w:val="000000"/>
          <w:sz w:val="22"/>
          <w:szCs w:val="22"/>
          <w:u w:val="single"/>
        </w:rPr>
      </w:pPr>
    </w:p>
    <w:p w:rsidR="00AD1C19" w:rsidRPr="001E05C6" w:rsidRDefault="00AD1C19"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bCs/>
          <w:color w:val="000000"/>
          <w:sz w:val="22"/>
          <w:szCs w:val="22"/>
        </w:rPr>
        <w:t xml:space="preserve">Por su parte, la reclamada señala que </w:t>
      </w:r>
      <w:r w:rsidRPr="001E05C6">
        <w:rPr>
          <w:rFonts w:cs="Arial"/>
          <w:sz w:val="22"/>
          <w:szCs w:val="22"/>
        </w:rPr>
        <w:t>respecto al presunto incumplimiento del artículo 4 del Tratado de Creación del TJCA, la obligación asumida en el referido artículo 4 tiene un carácter general, obligando a los Países Miembros a garantizar que se adopten las medidas correspondientes.</w:t>
      </w:r>
      <w:r w:rsidRPr="001E05C6">
        <w:rPr>
          <w:rStyle w:val="Refdenotaalpie"/>
          <w:rFonts w:cs="Arial"/>
          <w:sz w:val="22"/>
          <w:szCs w:val="22"/>
        </w:rPr>
        <w:footnoteReference w:id="64"/>
      </w:r>
    </w:p>
    <w:p w:rsidR="00AD1C19" w:rsidRPr="001E05C6" w:rsidRDefault="00AD1C19" w:rsidP="001E05C6">
      <w:pPr>
        <w:pStyle w:val="Prrafodelista"/>
        <w:widowControl/>
        <w:adjustRightInd/>
        <w:spacing w:line="240" w:lineRule="auto"/>
        <w:ind w:left="0" w:hanging="426"/>
        <w:contextualSpacing w:val="0"/>
        <w:textAlignment w:val="auto"/>
        <w:rPr>
          <w:rFonts w:cs="Arial"/>
          <w:bCs/>
          <w:color w:val="000000"/>
          <w:sz w:val="22"/>
          <w:szCs w:val="22"/>
        </w:rPr>
      </w:pPr>
    </w:p>
    <w:p w:rsidR="00AD1C19" w:rsidRPr="001E05C6" w:rsidRDefault="00AD1C19"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sz w:val="22"/>
          <w:szCs w:val="22"/>
        </w:rPr>
        <w:t>Adicionalmente, la reclamada indica que “</w:t>
      </w:r>
      <w:r w:rsidRPr="001E05C6">
        <w:rPr>
          <w:rFonts w:cs="Arial"/>
          <w:i/>
          <w:sz w:val="22"/>
          <w:szCs w:val="22"/>
        </w:rPr>
        <w:t>(…) el Gobierno del Perú no ha incumplido las obligaciones establecidas en el Tratado de Creación del TJCAN ni en el Estatuto del Tribunal de Justicia de la Comunidad Andina al no solicitar interpretación prejudicial, razón por la cual sustentar un supuesto incumplimiento del artículo 4 del Tratado de Creación del TJCAN no tiene mayor fundamento.”</w:t>
      </w:r>
      <w:r w:rsidRPr="001E05C6">
        <w:rPr>
          <w:rStyle w:val="Refdenotaalpie"/>
          <w:rFonts w:cs="Arial"/>
          <w:sz w:val="22"/>
          <w:szCs w:val="22"/>
        </w:rPr>
        <w:footnoteReference w:id="65"/>
      </w:r>
    </w:p>
    <w:p w:rsidR="00AD1C19" w:rsidRPr="001E05C6" w:rsidRDefault="00AD1C19" w:rsidP="001E05C6">
      <w:pPr>
        <w:pStyle w:val="Prrafodelista"/>
        <w:widowControl/>
        <w:adjustRightInd/>
        <w:spacing w:line="240" w:lineRule="auto"/>
        <w:ind w:left="-12"/>
        <w:contextualSpacing w:val="0"/>
        <w:textAlignment w:val="auto"/>
        <w:rPr>
          <w:rFonts w:cs="Arial"/>
          <w:b/>
          <w:bCs/>
          <w:i/>
          <w:color w:val="000000"/>
          <w:sz w:val="22"/>
          <w:szCs w:val="22"/>
        </w:rPr>
      </w:pPr>
    </w:p>
    <w:p w:rsidR="00AD1C19" w:rsidRPr="001E05C6" w:rsidRDefault="00AD1C19" w:rsidP="001E05C6">
      <w:pPr>
        <w:pStyle w:val="Prrafodelista"/>
        <w:widowControl/>
        <w:adjustRightInd/>
        <w:spacing w:line="240" w:lineRule="auto"/>
        <w:ind w:left="-12"/>
        <w:contextualSpacing w:val="0"/>
        <w:textAlignment w:val="auto"/>
        <w:rPr>
          <w:rFonts w:cs="Arial"/>
          <w:bCs/>
          <w:i/>
          <w:color w:val="000000"/>
          <w:sz w:val="22"/>
          <w:szCs w:val="22"/>
          <w:u w:val="single"/>
        </w:rPr>
      </w:pPr>
      <w:r w:rsidRPr="001E05C6">
        <w:rPr>
          <w:rFonts w:cs="Arial"/>
          <w:bCs/>
          <w:i/>
          <w:color w:val="000000"/>
          <w:sz w:val="22"/>
          <w:szCs w:val="22"/>
          <w:u w:val="single"/>
        </w:rPr>
        <w:t>Análisis SGCAN</w:t>
      </w:r>
    </w:p>
    <w:p w:rsidR="00AD1C19" w:rsidRPr="001E05C6" w:rsidRDefault="00AD1C19" w:rsidP="001E05C6">
      <w:pPr>
        <w:widowControl/>
        <w:adjustRightInd/>
        <w:spacing w:line="240" w:lineRule="auto"/>
        <w:textAlignment w:val="auto"/>
        <w:rPr>
          <w:rFonts w:cs="Arial"/>
          <w:bCs/>
          <w:color w:val="000000"/>
          <w:sz w:val="22"/>
          <w:szCs w:val="22"/>
        </w:rPr>
      </w:pPr>
    </w:p>
    <w:p w:rsidR="00AD1C19" w:rsidRPr="001E05C6" w:rsidRDefault="00AD1C19"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bCs/>
          <w:color w:val="000000"/>
          <w:sz w:val="22"/>
          <w:szCs w:val="22"/>
        </w:rPr>
        <w:t xml:space="preserve">El artículo 4 del </w:t>
      </w:r>
      <w:r w:rsidR="00313566" w:rsidRPr="001E05C6">
        <w:rPr>
          <w:rFonts w:cs="Arial"/>
          <w:bCs/>
          <w:color w:val="000000"/>
          <w:sz w:val="22"/>
          <w:szCs w:val="22"/>
        </w:rPr>
        <w:t>TCTJCA</w:t>
      </w:r>
      <w:r w:rsidRPr="001E05C6">
        <w:rPr>
          <w:rFonts w:cs="Arial"/>
          <w:bCs/>
          <w:color w:val="000000"/>
          <w:sz w:val="22"/>
          <w:szCs w:val="22"/>
        </w:rPr>
        <w:t xml:space="preserve"> dispone que los Países Miembros están obligados a adoptar las medidas que sean necesarias para asegurar el cumplimiento de las normas que conforman el ordenamiento jurídico de la Comunidad Andina. Asimismo, se comprometen a no adoptar ni emplear medida alguna que sea contraria a dichas normas o que de algún modo obstaculice su aplicación.</w:t>
      </w:r>
    </w:p>
    <w:p w:rsidR="00AD1C19" w:rsidRPr="001E05C6" w:rsidRDefault="00AD1C19" w:rsidP="001E05C6">
      <w:pPr>
        <w:widowControl/>
        <w:adjustRightInd/>
        <w:spacing w:line="240" w:lineRule="auto"/>
        <w:ind w:hanging="414"/>
        <w:textAlignment w:val="auto"/>
        <w:rPr>
          <w:rFonts w:cs="Arial"/>
          <w:bCs/>
          <w:color w:val="000000"/>
          <w:sz w:val="22"/>
          <w:szCs w:val="22"/>
        </w:rPr>
      </w:pPr>
    </w:p>
    <w:p w:rsidR="00AD1C19" w:rsidRPr="001E05C6" w:rsidRDefault="00AD1C19"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bCs/>
          <w:color w:val="000000"/>
          <w:sz w:val="22"/>
          <w:szCs w:val="22"/>
        </w:rPr>
        <w:t>En relación a lo dispuesto en el citado artículo 4, el TJCAN ha precisado lo siguiente:</w:t>
      </w:r>
    </w:p>
    <w:p w:rsidR="00AD1C19" w:rsidRPr="001E05C6" w:rsidRDefault="00AD1C19" w:rsidP="001E05C6">
      <w:pPr>
        <w:widowControl/>
        <w:adjustRightInd/>
        <w:spacing w:line="240" w:lineRule="auto"/>
        <w:ind w:left="1134"/>
        <w:textAlignment w:val="auto"/>
        <w:rPr>
          <w:rFonts w:cs="Arial"/>
          <w:iCs/>
          <w:sz w:val="22"/>
          <w:szCs w:val="22"/>
        </w:rPr>
      </w:pPr>
    </w:p>
    <w:p w:rsidR="00AD1C19" w:rsidRPr="001E05C6" w:rsidRDefault="00AD1C19" w:rsidP="001E05C6">
      <w:pPr>
        <w:widowControl/>
        <w:adjustRightInd/>
        <w:spacing w:line="240" w:lineRule="auto"/>
        <w:ind w:left="1134"/>
        <w:textAlignment w:val="auto"/>
        <w:rPr>
          <w:rFonts w:cs="Arial"/>
          <w:bCs/>
          <w:i/>
          <w:color w:val="000000"/>
          <w:sz w:val="22"/>
          <w:szCs w:val="22"/>
        </w:rPr>
      </w:pPr>
      <w:r w:rsidRPr="001E05C6">
        <w:rPr>
          <w:rFonts w:cs="Arial"/>
          <w:iCs/>
          <w:sz w:val="22"/>
          <w:szCs w:val="22"/>
        </w:rPr>
        <w:t>“</w:t>
      </w:r>
      <w:r w:rsidRPr="001E05C6">
        <w:rPr>
          <w:rFonts w:cs="Arial"/>
          <w:bCs/>
          <w:i/>
          <w:color w:val="000000"/>
          <w:sz w:val="22"/>
          <w:szCs w:val="22"/>
        </w:rPr>
        <w:t xml:space="preserve">Debe precisarse, así mismo, que </w:t>
      </w:r>
      <w:r w:rsidRPr="001E05C6">
        <w:rPr>
          <w:rFonts w:cs="Arial"/>
          <w:b/>
          <w:bCs/>
          <w:i/>
          <w:color w:val="000000"/>
          <w:sz w:val="22"/>
          <w:szCs w:val="22"/>
          <w:u w:val="single"/>
        </w:rPr>
        <w:t>las obligaciones previstas en el artículo 4° del Tratado de Creación del Tribunal, están referidas al cumplimiento de la totalidad del ordenamiento jurídico comunitario expresamente definido en el artículo 1° del mismo Tratado</w:t>
      </w:r>
      <w:r w:rsidRPr="001E05C6">
        <w:rPr>
          <w:rFonts w:cs="Arial"/>
          <w:bCs/>
          <w:i/>
          <w:color w:val="000000"/>
          <w:sz w:val="22"/>
          <w:szCs w:val="22"/>
        </w:rPr>
        <w:t>. De donde se concluye que bien sea que se trate de normas de derecho primario o de normas de derecho derivado, deben por igual ser respetadas y acatadas tanto por los organismo (sic) y funcionarios de la Comunidad como, y sobre todo, por los Países Miembros.”</w:t>
      </w:r>
      <w:r w:rsidRPr="001E05C6">
        <w:rPr>
          <w:rStyle w:val="Refdenotaalpie"/>
          <w:rFonts w:cs="Arial"/>
          <w:bCs/>
          <w:color w:val="000000"/>
          <w:sz w:val="22"/>
          <w:szCs w:val="22"/>
        </w:rPr>
        <w:footnoteReference w:id="66"/>
      </w:r>
      <w:r w:rsidRPr="001E05C6">
        <w:rPr>
          <w:rFonts w:cs="Arial"/>
          <w:bCs/>
          <w:i/>
          <w:color w:val="000000"/>
          <w:sz w:val="22"/>
          <w:szCs w:val="22"/>
        </w:rPr>
        <w:t xml:space="preserve"> </w:t>
      </w:r>
      <w:r w:rsidRPr="001E05C6">
        <w:rPr>
          <w:rFonts w:cs="Arial"/>
          <w:bCs/>
          <w:color w:val="000000"/>
          <w:sz w:val="22"/>
          <w:szCs w:val="22"/>
        </w:rPr>
        <w:t>(El énfasis es nuestro)</w:t>
      </w:r>
    </w:p>
    <w:p w:rsidR="00AD1C19" w:rsidRPr="001E05C6" w:rsidRDefault="00AD1C19" w:rsidP="001E05C6">
      <w:pPr>
        <w:pStyle w:val="Prrafodelista"/>
        <w:widowControl/>
        <w:adjustRightInd/>
        <w:spacing w:line="240" w:lineRule="auto"/>
        <w:ind w:left="-12"/>
        <w:contextualSpacing w:val="0"/>
        <w:textAlignment w:val="auto"/>
        <w:rPr>
          <w:rFonts w:cs="Arial"/>
          <w:bCs/>
          <w:color w:val="000000"/>
          <w:sz w:val="22"/>
          <w:szCs w:val="22"/>
        </w:rPr>
      </w:pPr>
    </w:p>
    <w:p w:rsidR="00AD1C19" w:rsidRPr="001E05C6" w:rsidRDefault="00AD1C19"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bCs/>
          <w:color w:val="000000"/>
          <w:sz w:val="22"/>
          <w:szCs w:val="22"/>
        </w:rPr>
        <w:t xml:space="preserve">Ahora bien, en el presente caso al haberse determinado que la reclamada no ha incumplido con sus obligaciones derivadas de los artículos </w:t>
      </w:r>
      <w:r w:rsidRPr="001E05C6">
        <w:rPr>
          <w:rFonts w:cs="Arial"/>
          <w:sz w:val="22"/>
          <w:szCs w:val="22"/>
        </w:rPr>
        <w:t>33, 35 y 36 del Tratado de Creación del Tribunal de Justicia de la Comunidad Andina y los artículos 123, 127 y 128 de la Decisión 500</w:t>
      </w:r>
      <w:r w:rsidR="00F402AD" w:rsidRPr="001E05C6">
        <w:rPr>
          <w:rFonts w:cs="Arial"/>
          <w:sz w:val="22"/>
          <w:szCs w:val="22"/>
        </w:rPr>
        <w:t>,</w:t>
      </w:r>
      <w:r w:rsidRPr="001E05C6">
        <w:rPr>
          <w:rFonts w:cs="Arial"/>
          <w:sz w:val="22"/>
          <w:szCs w:val="22"/>
        </w:rPr>
        <w:t xml:space="preserve"> corresponde también determinar que la reclamada no ha incumplido el </w:t>
      </w:r>
      <w:r w:rsidRPr="001E05C6">
        <w:rPr>
          <w:rFonts w:cs="Arial"/>
          <w:bCs/>
          <w:color w:val="000000"/>
          <w:sz w:val="22"/>
          <w:szCs w:val="22"/>
        </w:rPr>
        <w:t>artículo 4 del Tratado de Creación del Tribunal de Justicia de la Comunidad Andina en ese punto.</w:t>
      </w:r>
    </w:p>
    <w:p w:rsidR="00AD1C19" w:rsidRPr="001E05C6" w:rsidRDefault="00AD1C19" w:rsidP="001E05C6">
      <w:pPr>
        <w:spacing w:line="240" w:lineRule="auto"/>
        <w:rPr>
          <w:rFonts w:cs="Arial"/>
          <w:sz w:val="22"/>
          <w:szCs w:val="22"/>
        </w:rPr>
      </w:pPr>
    </w:p>
    <w:p w:rsidR="00913C6D" w:rsidRPr="001E05C6" w:rsidRDefault="00913C6D" w:rsidP="001E05C6">
      <w:pPr>
        <w:pStyle w:val="Prrafodelista"/>
        <w:numPr>
          <w:ilvl w:val="2"/>
          <w:numId w:val="16"/>
        </w:numPr>
        <w:spacing w:line="240" w:lineRule="auto"/>
        <w:ind w:left="709" w:hanging="709"/>
        <w:contextualSpacing w:val="0"/>
        <w:rPr>
          <w:rFonts w:cs="Arial"/>
          <w:b/>
          <w:sz w:val="22"/>
          <w:szCs w:val="22"/>
        </w:rPr>
      </w:pPr>
      <w:r w:rsidRPr="001E05C6">
        <w:rPr>
          <w:rFonts w:cs="Arial"/>
          <w:b/>
          <w:bCs/>
          <w:color w:val="000000"/>
          <w:sz w:val="22"/>
          <w:szCs w:val="22"/>
        </w:rPr>
        <w:t>Sobre la flagrancia alegada:</w:t>
      </w:r>
    </w:p>
    <w:p w:rsidR="00913C6D" w:rsidRPr="001E05C6" w:rsidRDefault="00913C6D" w:rsidP="001E05C6">
      <w:pPr>
        <w:spacing w:line="240" w:lineRule="auto"/>
        <w:rPr>
          <w:rFonts w:cs="Arial"/>
          <w:b/>
          <w:sz w:val="22"/>
          <w:szCs w:val="22"/>
        </w:rPr>
      </w:pPr>
    </w:p>
    <w:p w:rsidR="002A2D8F" w:rsidRPr="001E05C6" w:rsidRDefault="00913C6D"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bCs/>
          <w:color w:val="000000"/>
          <w:sz w:val="22"/>
          <w:szCs w:val="22"/>
        </w:rPr>
        <w:t>La reclamante ha señalado que el incumplimiento es flagrante</w:t>
      </w:r>
      <w:r w:rsidR="003D20BA" w:rsidRPr="001E05C6">
        <w:rPr>
          <w:rFonts w:cs="Arial"/>
          <w:sz w:val="22"/>
          <w:szCs w:val="22"/>
        </w:rPr>
        <w:t>, puesto que el TJCA ha señalado que el no solicitar la interpretación prejudicial cuando es obligatoria, configura un incumplimiento flagrante del ordenamiento jurídico andino. Adicionalmente, precisó que “</w:t>
      </w:r>
      <w:r w:rsidR="003D20BA" w:rsidRPr="001E05C6">
        <w:rPr>
          <w:rFonts w:cs="Arial"/>
          <w:i/>
          <w:sz w:val="22"/>
          <w:szCs w:val="22"/>
        </w:rPr>
        <w:t>TELEFÓNICA no alegó como causal para la declaratoria de flagrancia de la conducta objeto del Reclamo que el incumplimiento sea evidente</w:t>
      </w:r>
      <w:r w:rsidR="003D20BA" w:rsidRPr="001E05C6">
        <w:rPr>
          <w:rFonts w:cs="Arial"/>
          <w:sz w:val="22"/>
          <w:szCs w:val="22"/>
        </w:rPr>
        <w:t>”</w:t>
      </w:r>
      <w:r w:rsidR="00F402AD" w:rsidRPr="001E05C6">
        <w:rPr>
          <w:rStyle w:val="Refdenotaalpie"/>
          <w:rFonts w:cs="Arial"/>
          <w:sz w:val="22"/>
          <w:szCs w:val="22"/>
        </w:rPr>
        <w:t xml:space="preserve"> </w:t>
      </w:r>
      <w:r w:rsidR="00F402AD" w:rsidRPr="001E05C6">
        <w:rPr>
          <w:rStyle w:val="Refdenotaalpie"/>
          <w:rFonts w:cs="Arial"/>
          <w:sz w:val="22"/>
          <w:szCs w:val="22"/>
        </w:rPr>
        <w:footnoteReference w:id="67"/>
      </w:r>
      <w:r w:rsidR="003D20BA" w:rsidRPr="001E05C6">
        <w:rPr>
          <w:rFonts w:cs="Arial"/>
          <w:sz w:val="22"/>
          <w:szCs w:val="22"/>
        </w:rPr>
        <w:t xml:space="preserve">; sino que el Reclamo </w:t>
      </w:r>
      <w:r w:rsidR="003D20BA" w:rsidRPr="001E05C6">
        <w:rPr>
          <w:rFonts w:cs="Arial"/>
          <w:sz w:val="22"/>
          <w:szCs w:val="22"/>
        </w:rPr>
        <w:lastRenderedPageBreak/>
        <w:t>recae “</w:t>
      </w:r>
      <w:r w:rsidR="003D20BA" w:rsidRPr="001E05C6">
        <w:rPr>
          <w:rFonts w:cs="Arial"/>
          <w:i/>
          <w:sz w:val="22"/>
          <w:szCs w:val="22"/>
        </w:rPr>
        <w:t>sobre aspectos sustantivos sobre los cuales el Tribunal de Justicia se hubiere pronunciado con anterioridad</w:t>
      </w:r>
      <w:r w:rsidR="003D20BA" w:rsidRPr="001E05C6">
        <w:rPr>
          <w:rFonts w:cs="Arial"/>
          <w:sz w:val="22"/>
          <w:szCs w:val="22"/>
        </w:rPr>
        <w:t>”</w:t>
      </w:r>
      <w:r w:rsidR="002929EE" w:rsidRPr="001E05C6">
        <w:rPr>
          <w:rStyle w:val="Refdenotaalpie"/>
          <w:rFonts w:cs="Arial"/>
          <w:sz w:val="22"/>
          <w:szCs w:val="22"/>
        </w:rPr>
        <w:t xml:space="preserve"> </w:t>
      </w:r>
      <w:r w:rsidR="002929EE" w:rsidRPr="001E05C6">
        <w:rPr>
          <w:rStyle w:val="Refdenotaalpie"/>
          <w:rFonts w:cs="Arial"/>
          <w:sz w:val="22"/>
          <w:szCs w:val="22"/>
        </w:rPr>
        <w:footnoteReference w:id="68"/>
      </w:r>
      <w:r w:rsidR="003D20BA" w:rsidRPr="001E05C6">
        <w:rPr>
          <w:rFonts w:cs="Arial"/>
          <w:sz w:val="22"/>
          <w:szCs w:val="22"/>
        </w:rPr>
        <w:t xml:space="preserve">.  </w:t>
      </w:r>
    </w:p>
    <w:p w:rsidR="002A2D8F" w:rsidRPr="001E05C6" w:rsidRDefault="002A2D8F" w:rsidP="001E05C6">
      <w:pPr>
        <w:pStyle w:val="Prrafodelista"/>
        <w:widowControl/>
        <w:adjustRightInd/>
        <w:spacing w:line="240" w:lineRule="auto"/>
        <w:ind w:left="0"/>
        <w:contextualSpacing w:val="0"/>
        <w:textAlignment w:val="auto"/>
        <w:rPr>
          <w:rFonts w:cs="Arial"/>
          <w:bCs/>
          <w:color w:val="000000"/>
          <w:sz w:val="22"/>
          <w:szCs w:val="22"/>
        </w:rPr>
      </w:pPr>
    </w:p>
    <w:p w:rsidR="003D20BA" w:rsidRPr="001E05C6" w:rsidRDefault="003D20BA"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bCs/>
          <w:color w:val="000000"/>
          <w:sz w:val="22"/>
          <w:szCs w:val="22"/>
        </w:rPr>
        <w:t xml:space="preserve">La República del Perú por </w:t>
      </w:r>
      <w:r w:rsidR="000E598F" w:rsidRPr="001E05C6">
        <w:rPr>
          <w:rFonts w:cs="Arial"/>
          <w:bCs/>
          <w:color w:val="000000"/>
          <w:sz w:val="22"/>
          <w:szCs w:val="22"/>
        </w:rPr>
        <w:t xml:space="preserve">su </w:t>
      </w:r>
      <w:r w:rsidRPr="001E05C6">
        <w:rPr>
          <w:rFonts w:cs="Arial"/>
          <w:bCs/>
          <w:color w:val="000000"/>
          <w:sz w:val="22"/>
          <w:szCs w:val="22"/>
        </w:rPr>
        <w:t>parte señala que no hay incumplimiento flagrante porque no se ha probado la existencia de un incumplimiento ni evidente, ni reiterado, ni mucho menos que haya sido previamente declarado por el Tribunal de Justicia de la Comunidad Andina.</w:t>
      </w:r>
    </w:p>
    <w:p w:rsidR="003D20BA" w:rsidRPr="001E05C6" w:rsidRDefault="003D20BA" w:rsidP="001E05C6">
      <w:pPr>
        <w:pStyle w:val="Prrafodelista"/>
        <w:widowControl/>
        <w:adjustRightInd/>
        <w:spacing w:line="240" w:lineRule="auto"/>
        <w:ind w:left="0"/>
        <w:contextualSpacing w:val="0"/>
        <w:textAlignment w:val="auto"/>
        <w:rPr>
          <w:rFonts w:cs="Arial"/>
          <w:bCs/>
          <w:color w:val="000000"/>
          <w:sz w:val="22"/>
          <w:szCs w:val="22"/>
        </w:rPr>
      </w:pPr>
    </w:p>
    <w:p w:rsidR="003D20BA" w:rsidRPr="001E05C6" w:rsidRDefault="003D20BA"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sz w:val="22"/>
          <w:szCs w:val="22"/>
        </w:rPr>
        <w:t>En relación a ello, resulta pertinente traer a colación lo dispuesto en el artículo 24 de la Decisión 623, el cual establece lo siguiente respecto a la flagrancia:</w:t>
      </w:r>
    </w:p>
    <w:p w:rsidR="003D20BA" w:rsidRPr="001E05C6" w:rsidRDefault="003D20BA" w:rsidP="001E05C6">
      <w:pPr>
        <w:pStyle w:val="Prrafodelista"/>
        <w:spacing w:line="240" w:lineRule="auto"/>
        <w:ind w:left="1211"/>
        <w:rPr>
          <w:rFonts w:cs="Arial"/>
          <w:sz w:val="22"/>
          <w:szCs w:val="22"/>
        </w:rPr>
      </w:pPr>
    </w:p>
    <w:p w:rsidR="003D20BA" w:rsidRPr="001E05C6" w:rsidRDefault="003D20BA" w:rsidP="001E05C6">
      <w:pPr>
        <w:pStyle w:val="Prrafodelista"/>
        <w:spacing w:line="240" w:lineRule="auto"/>
        <w:ind w:left="1134"/>
        <w:rPr>
          <w:rFonts w:cs="Arial"/>
          <w:sz w:val="22"/>
          <w:szCs w:val="22"/>
        </w:rPr>
      </w:pPr>
      <w:r w:rsidRPr="001E05C6">
        <w:rPr>
          <w:rFonts w:cs="Arial"/>
          <w:i/>
          <w:sz w:val="22"/>
          <w:szCs w:val="22"/>
        </w:rPr>
        <w:t>“Artículo 24.- Se considerará flagrante un incumplimiento cuando éste sea evidente, en casos tales como la reiteración de un incumplimiento por parte de un País Miembro, previamente declarado por el Tribunal de Justicia, incluso cuando éste continúe mediante instrumentos formalmente distintos, o cuando el incumplimiento recaiga sobre aspectos sustantivos sobre los cuales el Tribunal de Justicia se hubiere pronunciado con anterioridad.”</w:t>
      </w:r>
    </w:p>
    <w:p w:rsidR="003D20BA" w:rsidRPr="001E05C6" w:rsidRDefault="003D20BA" w:rsidP="001E05C6">
      <w:pPr>
        <w:pStyle w:val="Prrafodelista"/>
        <w:spacing w:line="240" w:lineRule="auto"/>
        <w:ind w:left="1134"/>
        <w:rPr>
          <w:rFonts w:cs="Arial"/>
          <w:i/>
          <w:sz w:val="22"/>
          <w:szCs w:val="22"/>
        </w:rPr>
      </w:pPr>
    </w:p>
    <w:p w:rsidR="003D20BA" w:rsidRPr="001E05C6" w:rsidRDefault="003D20BA"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sz w:val="22"/>
          <w:szCs w:val="22"/>
        </w:rPr>
        <w:t>Como se puede observar, de acuerdo con el tenor del artículo citado, se considera flagrante cuando el incumplimiento sea evidente, en casos “tales como” cuando el incumplimiento recae sobre aspectos sustantivos sobre los cuales el TJCA se hubiese pronunciado con anterioridad. Así, resulta necesario que para calificar un supuesto incumplimiento como flagrante, tal incumplimiento deba ser evidente.</w:t>
      </w:r>
    </w:p>
    <w:p w:rsidR="003D20BA" w:rsidRPr="001E05C6" w:rsidRDefault="003D20BA" w:rsidP="001E05C6">
      <w:pPr>
        <w:pStyle w:val="Prrafodelista"/>
        <w:widowControl/>
        <w:adjustRightInd/>
        <w:spacing w:line="240" w:lineRule="auto"/>
        <w:ind w:left="0"/>
        <w:contextualSpacing w:val="0"/>
        <w:textAlignment w:val="auto"/>
        <w:rPr>
          <w:rFonts w:cs="Arial"/>
          <w:bCs/>
          <w:color w:val="000000"/>
          <w:sz w:val="22"/>
          <w:szCs w:val="22"/>
        </w:rPr>
      </w:pPr>
    </w:p>
    <w:p w:rsidR="002A2D8F" w:rsidRPr="001E05C6" w:rsidRDefault="00913C6D" w:rsidP="001E05C6">
      <w:pPr>
        <w:pStyle w:val="Prrafodelista"/>
        <w:widowControl/>
        <w:numPr>
          <w:ilvl w:val="0"/>
          <w:numId w:val="2"/>
        </w:numPr>
        <w:adjustRightInd/>
        <w:spacing w:line="240" w:lineRule="auto"/>
        <w:ind w:left="0" w:hanging="426"/>
        <w:contextualSpacing w:val="0"/>
        <w:textAlignment w:val="auto"/>
        <w:rPr>
          <w:rFonts w:cs="Arial"/>
          <w:sz w:val="22"/>
          <w:szCs w:val="22"/>
        </w:rPr>
      </w:pPr>
      <w:r w:rsidRPr="001E05C6">
        <w:rPr>
          <w:rFonts w:cs="Arial"/>
          <w:bCs/>
          <w:color w:val="000000"/>
          <w:sz w:val="22"/>
          <w:szCs w:val="22"/>
        </w:rPr>
        <w:t>En el presente caso y conforme a lo expresado en el punto anterior y lo señalado en este punto, no se aprecia que exista incumplimiento</w:t>
      </w:r>
      <w:r w:rsidR="002A2D8F" w:rsidRPr="001E05C6">
        <w:rPr>
          <w:rFonts w:cs="Arial"/>
          <w:bCs/>
          <w:color w:val="000000"/>
          <w:sz w:val="22"/>
          <w:szCs w:val="22"/>
        </w:rPr>
        <w:t xml:space="preserve">, por tanto, </w:t>
      </w:r>
      <w:r w:rsidR="001077CB" w:rsidRPr="001E05C6">
        <w:rPr>
          <w:rFonts w:cs="Arial"/>
          <w:bCs/>
          <w:color w:val="000000"/>
          <w:sz w:val="22"/>
          <w:szCs w:val="22"/>
        </w:rPr>
        <w:t>no corresponde calificar la flagrancia</w:t>
      </w:r>
      <w:r w:rsidR="00EF6B75" w:rsidRPr="001E05C6">
        <w:rPr>
          <w:rFonts w:cs="Arial"/>
          <w:bCs/>
          <w:color w:val="000000"/>
          <w:sz w:val="22"/>
          <w:szCs w:val="22"/>
        </w:rPr>
        <w:t xml:space="preserve"> alegada</w:t>
      </w:r>
      <w:r w:rsidR="002A2D8F" w:rsidRPr="001E05C6">
        <w:rPr>
          <w:rFonts w:cs="Arial"/>
          <w:bCs/>
          <w:color w:val="000000"/>
          <w:sz w:val="22"/>
          <w:szCs w:val="22"/>
        </w:rPr>
        <w:t xml:space="preserve">. </w:t>
      </w:r>
    </w:p>
    <w:p w:rsidR="00F2321C" w:rsidRDefault="00F2321C" w:rsidP="001E05C6">
      <w:pPr>
        <w:pStyle w:val="Prrafodelista"/>
        <w:widowControl/>
        <w:adjustRightInd/>
        <w:spacing w:line="240" w:lineRule="auto"/>
        <w:ind w:left="0"/>
        <w:contextualSpacing w:val="0"/>
        <w:textAlignment w:val="auto"/>
        <w:rPr>
          <w:rFonts w:cs="Arial"/>
          <w:sz w:val="22"/>
          <w:szCs w:val="22"/>
        </w:rPr>
      </w:pPr>
    </w:p>
    <w:p w:rsidR="00987445" w:rsidRPr="001E05C6" w:rsidRDefault="00987445" w:rsidP="001E05C6">
      <w:pPr>
        <w:pStyle w:val="Prrafodelista"/>
        <w:widowControl/>
        <w:adjustRightInd/>
        <w:spacing w:line="240" w:lineRule="auto"/>
        <w:ind w:left="0"/>
        <w:contextualSpacing w:val="0"/>
        <w:textAlignment w:val="auto"/>
        <w:rPr>
          <w:rFonts w:cs="Arial"/>
          <w:sz w:val="22"/>
          <w:szCs w:val="22"/>
        </w:rPr>
      </w:pPr>
    </w:p>
    <w:p w:rsidR="00820327" w:rsidRPr="001E05C6" w:rsidRDefault="00F677D2" w:rsidP="001E05C6">
      <w:pPr>
        <w:pStyle w:val="Prrafodelista"/>
        <w:widowControl/>
        <w:adjustRightInd/>
        <w:spacing w:line="240" w:lineRule="auto"/>
        <w:ind w:left="0" w:hanging="426"/>
        <w:contextualSpacing w:val="0"/>
        <w:textAlignment w:val="auto"/>
        <w:rPr>
          <w:rFonts w:cs="Arial"/>
          <w:b/>
          <w:sz w:val="22"/>
          <w:szCs w:val="22"/>
        </w:rPr>
      </w:pPr>
      <w:bookmarkStart w:id="0" w:name="_Toc264454126"/>
      <w:r w:rsidRPr="001E05C6">
        <w:rPr>
          <w:rFonts w:cs="Arial"/>
          <w:b/>
          <w:bCs/>
          <w:sz w:val="22"/>
          <w:szCs w:val="22"/>
        </w:rPr>
        <w:t>VI.</w:t>
      </w:r>
      <w:r w:rsidRPr="001E05C6">
        <w:rPr>
          <w:rFonts w:cs="Arial"/>
          <w:b/>
          <w:bCs/>
          <w:sz w:val="22"/>
          <w:szCs w:val="22"/>
        </w:rPr>
        <w:tab/>
      </w:r>
      <w:r w:rsidR="00820327" w:rsidRPr="001E05C6">
        <w:rPr>
          <w:rFonts w:cs="Arial"/>
          <w:b/>
          <w:sz w:val="22"/>
          <w:szCs w:val="22"/>
        </w:rPr>
        <w:t>CONCLUSIONES SOBRE EL ESTADO DE CUMPLIMIENTO DE LAS OBLIGACIONES COMUNITARIAS</w:t>
      </w:r>
      <w:bookmarkEnd w:id="0"/>
      <w:r w:rsidR="00F46142" w:rsidRPr="001E05C6">
        <w:rPr>
          <w:rFonts w:cs="Arial"/>
          <w:b/>
          <w:sz w:val="22"/>
          <w:szCs w:val="22"/>
        </w:rPr>
        <w:t>.-</w:t>
      </w:r>
    </w:p>
    <w:p w:rsidR="00820327" w:rsidRPr="001E05C6" w:rsidRDefault="00820327" w:rsidP="001E05C6">
      <w:pPr>
        <w:pStyle w:val="Prrafodelista"/>
        <w:widowControl/>
        <w:adjustRightInd/>
        <w:spacing w:line="240" w:lineRule="auto"/>
        <w:ind w:left="0"/>
        <w:contextualSpacing w:val="0"/>
        <w:textAlignment w:val="auto"/>
        <w:rPr>
          <w:rFonts w:cs="Arial"/>
          <w:b/>
          <w:sz w:val="22"/>
          <w:szCs w:val="22"/>
        </w:rPr>
      </w:pPr>
    </w:p>
    <w:p w:rsidR="00901D9A" w:rsidRPr="001E05C6" w:rsidRDefault="00901D9A" w:rsidP="001E05C6">
      <w:pPr>
        <w:pStyle w:val="Prrafodelista"/>
        <w:widowControl/>
        <w:numPr>
          <w:ilvl w:val="0"/>
          <w:numId w:val="2"/>
        </w:numPr>
        <w:adjustRightInd/>
        <w:spacing w:line="240" w:lineRule="auto"/>
        <w:ind w:left="0" w:hanging="426"/>
        <w:contextualSpacing w:val="0"/>
        <w:textAlignment w:val="auto"/>
        <w:rPr>
          <w:rFonts w:cs="Arial"/>
          <w:bCs/>
          <w:color w:val="000000"/>
          <w:sz w:val="22"/>
          <w:szCs w:val="22"/>
        </w:rPr>
      </w:pPr>
      <w:r w:rsidRPr="001E05C6">
        <w:rPr>
          <w:rFonts w:cs="Arial"/>
          <w:bCs/>
          <w:color w:val="000000"/>
          <w:sz w:val="22"/>
          <w:szCs w:val="22"/>
        </w:rPr>
        <w:t>Por todo lo anterior, la Secretaría General</w:t>
      </w:r>
      <w:r w:rsidR="00985B1E" w:rsidRPr="001E05C6">
        <w:rPr>
          <w:rFonts w:cs="Arial"/>
          <w:bCs/>
          <w:color w:val="000000"/>
          <w:sz w:val="22"/>
          <w:szCs w:val="22"/>
        </w:rPr>
        <w:t xml:space="preserve"> de la Comunidad Andina</w:t>
      </w:r>
      <w:r w:rsidRPr="001E05C6">
        <w:rPr>
          <w:rFonts w:cs="Arial"/>
          <w:bCs/>
          <w:color w:val="000000"/>
          <w:sz w:val="22"/>
          <w:szCs w:val="22"/>
        </w:rPr>
        <w:t xml:space="preserve">, con base en las consideraciones que se anteponen, la información suministrada por las Partes y los motivos expuestos en el presente Dictamen, considera que no ha quedado demostrado que la República de </w:t>
      </w:r>
      <w:r w:rsidR="00CE0745" w:rsidRPr="001E05C6">
        <w:rPr>
          <w:rFonts w:cs="Arial"/>
          <w:bCs/>
          <w:color w:val="000000"/>
          <w:sz w:val="22"/>
          <w:szCs w:val="22"/>
        </w:rPr>
        <w:t xml:space="preserve">Perú, actuando a través de la </w:t>
      </w:r>
      <w:r w:rsidR="00A00E3B" w:rsidRPr="001E05C6">
        <w:rPr>
          <w:rFonts w:cs="Arial"/>
          <w:sz w:val="22"/>
          <w:szCs w:val="22"/>
        </w:rPr>
        <w:t>Tercera Sala de Derecho Constitucional y Social Transitoria de la Corte Suprema de Justicia de la República</w:t>
      </w:r>
      <w:r w:rsidRPr="001E05C6">
        <w:rPr>
          <w:rFonts w:cs="Arial"/>
          <w:bCs/>
          <w:color w:val="000000"/>
          <w:sz w:val="22"/>
          <w:szCs w:val="22"/>
        </w:rPr>
        <w:t xml:space="preserve">, haya incumplido obligaciones derivadas del ordenamiento </w:t>
      </w:r>
      <w:r w:rsidR="00F278F3" w:rsidRPr="001E05C6">
        <w:rPr>
          <w:rFonts w:cs="Arial"/>
          <w:bCs/>
          <w:color w:val="000000"/>
          <w:sz w:val="22"/>
          <w:szCs w:val="22"/>
        </w:rPr>
        <w:t>jurídico de la Comunidad Andina.</w:t>
      </w:r>
    </w:p>
    <w:p w:rsidR="00DE6AA5" w:rsidRPr="001E05C6" w:rsidRDefault="00DE6AA5" w:rsidP="001E05C6">
      <w:pPr>
        <w:spacing w:line="240" w:lineRule="auto"/>
        <w:rPr>
          <w:rFonts w:cs="Arial"/>
          <w:sz w:val="22"/>
          <w:szCs w:val="22"/>
        </w:rPr>
      </w:pPr>
    </w:p>
    <w:p w:rsidR="00921DD9" w:rsidRPr="001E05C6" w:rsidRDefault="00921DD9" w:rsidP="001E05C6">
      <w:pPr>
        <w:spacing w:line="240" w:lineRule="auto"/>
        <w:rPr>
          <w:rFonts w:cs="Arial"/>
          <w:sz w:val="22"/>
          <w:szCs w:val="22"/>
        </w:rPr>
      </w:pPr>
    </w:p>
    <w:p w:rsidR="00921DD9" w:rsidRPr="001E05C6" w:rsidRDefault="00921DD9" w:rsidP="001E05C6">
      <w:pPr>
        <w:spacing w:line="240" w:lineRule="auto"/>
        <w:rPr>
          <w:rFonts w:cs="Arial"/>
          <w:sz w:val="22"/>
          <w:szCs w:val="22"/>
        </w:rPr>
      </w:pPr>
    </w:p>
    <w:p w:rsidR="00921DD9" w:rsidRPr="001E05C6" w:rsidRDefault="00921DD9" w:rsidP="001E05C6">
      <w:pPr>
        <w:spacing w:line="240" w:lineRule="auto"/>
        <w:rPr>
          <w:rFonts w:cs="Arial"/>
          <w:sz w:val="22"/>
          <w:szCs w:val="22"/>
        </w:rPr>
      </w:pPr>
    </w:p>
    <w:p w:rsidR="00985B1E" w:rsidRPr="001E05C6" w:rsidRDefault="00985B1E" w:rsidP="001E05C6">
      <w:pPr>
        <w:spacing w:line="240" w:lineRule="auto"/>
        <w:rPr>
          <w:rFonts w:cs="Arial"/>
          <w:sz w:val="22"/>
          <w:szCs w:val="22"/>
        </w:rPr>
      </w:pPr>
    </w:p>
    <w:p w:rsidR="00921DD9" w:rsidRPr="001E05C6" w:rsidRDefault="00921DD9" w:rsidP="001E05C6">
      <w:pPr>
        <w:spacing w:line="240" w:lineRule="auto"/>
        <w:rPr>
          <w:rFonts w:cs="Arial"/>
          <w:sz w:val="22"/>
          <w:szCs w:val="22"/>
        </w:rPr>
      </w:pPr>
    </w:p>
    <w:p w:rsidR="00921DD9" w:rsidRPr="00987445" w:rsidRDefault="00921DD9" w:rsidP="001E05C6">
      <w:pPr>
        <w:spacing w:line="240" w:lineRule="auto"/>
        <w:jc w:val="center"/>
        <w:rPr>
          <w:rFonts w:cs="Arial"/>
          <w:i/>
          <w:sz w:val="22"/>
          <w:szCs w:val="22"/>
        </w:rPr>
      </w:pPr>
      <w:r w:rsidRPr="00987445">
        <w:rPr>
          <w:rFonts w:cs="Arial"/>
          <w:i/>
          <w:sz w:val="22"/>
          <w:szCs w:val="22"/>
        </w:rPr>
        <w:t xml:space="preserve">Luz Marina </w:t>
      </w:r>
      <w:proofErr w:type="spellStart"/>
      <w:r w:rsidRPr="00987445">
        <w:rPr>
          <w:rFonts w:cs="Arial"/>
          <w:i/>
          <w:sz w:val="22"/>
          <w:szCs w:val="22"/>
        </w:rPr>
        <w:t>Monroy</w:t>
      </w:r>
      <w:proofErr w:type="spellEnd"/>
      <w:r w:rsidRPr="00987445">
        <w:rPr>
          <w:rFonts w:cs="Arial"/>
          <w:i/>
          <w:sz w:val="22"/>
          <w:szCs w:val="22"/>
        </w:rPr>
        <w:t xml:space="preserve"> Acevedo</w:t>
      </w:r>
    </w:p>
    <w:p w:rsidR="006A4608" w:rsidRPr="001E05C6" w:rsidRDefault="00921DD9" w:rsidP="001E05C6">
      <w:pPr>
        <w:spacing w:line="240" w:lineRule="auto"/>
        <w:jc w:val="center"/>
        <w:rPr>
          <w:rFonts w:cs="Arial"/>
          <w:b/>
          <w:sz w:val="22"/>
          <w:szCs w:val="22"/>
        </w:rPr>
      </w:pPr>
      <w:r w:rsidRPr="001E05C6">
        <w:rPr>
          <w:rFonts w:cs="Arial"/>
          <w:b/>
          <w:sz w:val="22"/>
          <w:szCs w:val="22"/>
        </w:rPr>
        <w:t xml:space="preserve">Secretaria General </w:t>
      </w:r>
      <w:proofErr w:type="spellStart"/>
      <w:r w:rsidRPr="001E05C6">
        <w:rPr>
          <w:rFonts w:cs="Arial"/>
          <w:b/>
          <w:sz w:val="22"/>
          <w:szCs w:val="22"/>
        </w:rPr>
        <w:t>a.i.</w:t>
      </w:r>
      <w:proofErr w:type="spellEnd"/>
    </w:p>
    <w:sectPr w:rsidR="006A4608" w:rsidRPr="001E05C6" w:rsidSect="001E05C6">
      <w:footerReference w:type="default" r:id="rId9"/>
      <w:pgSz w:w="11906" w:h="16838" w:code="9"/>
      <w:pgMar w:top="1418" w:right="1418"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A4" w:rsidRDefault="00306CA4" w:rsidP="00971FEA">
      <w:pPr>
        <w:spacing w:line="240" w:lineRule="auto"/>
      </w:pPr>
      <w:r>
        <w:separator/>
      </w:r>
    </w:p>
  </w:endnote>
  <w:endnote w:type="continuationSeparator" w:id="0">
    <w:p w:rsidR="00306CA4" w:rsidRDefault="00306CA4" w:rsidP="00971F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560743"/>
      <w:docPartObj>
        <w:docPartGallery w:val="Page Numbers (Bottom of Page)"/>
        <w:docPartUnique/>
      </w:docPartObj>
    </w:sdtPr>
    <w:sdtEndPr>
      <w:rPr>
        <w:sz w:val="18"/>
        <w:szCs w:val="18"/>
      </w:rPr>
    </w:sdtEndPr>
    <w:sdtContent>
      <w:p w:rsidR="006317CB" w:rsidRPr="006656C6" w:rsidRDefault="00176B6A">
        <w:pPr>
          <w:pStyle w:val="Piedepgina"/>
          <w:jc w:val="right"/>
          <w:rPr>
            <w:sz w:val="18"/>
            <w:szCs w:val="18"/>
          </w:rPr>
        </w:pPr>
        <w:r w:rsidRPr="006656C6">
          <w:rPr>
            <w:sz w:val="18"/>
            <w:szCs w:val="18"/>
          </w:rPr>
          <w:fldChar w:fldCharType="begin"/>
        </w:r>
        <w:r w:rsidR="006317CB" w:rsidRPr="006656C6">
          <w:rPr>
            <w:sz w:val="18"/>
            <w:szCs w:val="18"/>
          </w:rPr>
          <w:instrText>PAGE   \* MERGEFORMAT</w:instrText>
        </w:r>
        <w:r w:rsidRPr="006656C6">
          <w:rPr>
            <w:sz w:val="18"/>
            <w:szCs w:val="18"/>
          </w:rPr>
          <w:fldChar w:fldCharType="separate"/>
        </w:r>
        <w:r w:rsidR="000B5B2E" w:rsidRPr="000B5B2E">
          <w:rPr>
            <w:noProof/>
            <w:sz w:val="18"/>
            <w:szCs w:val="18"/>
            <w:lang w:val="es-ES"/>
          </w:rPr>
          <w:t>23</w:t>
        </w:r>
        <w:r w:rsidRPr="006656C6">
          <w:rPr>
            <w:sz w:val="18"/>
            <w:szCs w:val="18"/>
          </w:rPr>
          <w:fldChar w:fldCharType="end"/>
        </w:r>
      </w:p>
    </w:sdtContent>
  </w:sdt>
  <w:p w:rsidR="006317CB" w:rsidRDefault="006317C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A4" w:rsidRDefault="00306CA4" w:rsidP="00971FEA">
      <w:pPr>
        <w:spacing w:line="240" w:lineRule="auto"/>
      </w:pPr>
      <w:r>
        <w:separator/>
      </w:r>
    </w:p>
  </w:footnote>
  <w:footnote w:type="continuationSeparator" w:id="0">
    <w:p w:rsidR="00306CA4" w:rsidRDefault="00306CA4" w:rsidP="00971FEA">
      <w:pPr>
        <w:spacing w:line="240" w:lineRule="auto"/>
      </w:pPr>
      <w:r>
        <w:continuationSeparator/>
      </w:r>
    </w:p>
  </w:footnote>
  <w:footnote w:id="1">
    <w:p w:rsidR="006317CB" w:rsidRPr="00E61D33" w:rsidRDefault="006317CB" w:rsidP="000725EA">
      <w:pPr>
        <w:pStyle w:val="Sinespaciado"/>
        <w:tabs>
          <w:tab w:val="left" w:pos="142"/>
        </w:tabs>
        <w:ind w:left="142" w:hanging="142"/>
        <w:jc w:val="both"/>
        <w:rPr>
          <w:rFonts w:ascii="Arial" w:hAnsi="Arial" w:cs="Arial"/>
          <w:color w:val="000000" w:themeColor="text1"/>
          <w:sz w:val="16"/>
          <w:szCs w:val="16"/>
        </w:rPr>
      </w:pPr>
      <w:r w:rsidRPr="00E61D33">
        <w:rPr>
          <w:rStyle w:val="Refdenotaalpie"/>
          <w:rFonts w:ascii="Arial" w:hAnsi="Arial" w:cs="Arial"/>
          <w:sz w:val="16"/>
          <w:szCs w:val="16"/>
        </w:rPr>
        <w:footnoteRef/>
      </w:r>
      <w:r w:rsidRPr="00E61D33">
        <w:rPr>
          <w:rFonts w:ascii="Arial" w:hAnsi="Arial" w:cs="Arial"/>
          <w:sz w:val="16"/>
          <w:szCs w:val="16"/>
        </w:rPr>
        <w:t xml:space="preserve"> </w:t>
      </w:r>
      <w:r w:rsidR="000725EA">
        <w:rPr>
          <w:rFonts w:ascii="Arial" w:hAnsi="Arial" w:cs="Arial"/>
          <w:sz w:val="16"/>
          <w:szCs w:val="16"/>
        </w:rPr>
        <w:tab/>
      </w:r>
      <w:r w:rsidRPr="00E61D33">
        <w:rPr>
          <w:rFonts w:ascii="Arial" w:hAnsi="Arial" w:cs="Arial"/>
          <w:sz w:val="16"/>
          <w:szCs w:val="16"/>
        </w:rPr>
        <w:t>Tal como se indicó en la Comunicación No. SG/E/SJ/839/2018 de fecha 10 de mayo de 2018, emitido por la Secretaría General de la Comunidad Andina, el documento</w:t>
      </w:r>
      <w:r w:rsidRPr="00E61D33">
        <w:rPr>
          <w:rFonts w:ascii="Arial" w:hAnsi="Arial" w:cs="Arial"/>
          <w:color w:val="000000" w:themeColor="text1"/>
          <w:sz w:val="16"/>
          <w:szCs w:val="16"/>
        </w:rPr>
        <w:t xml:space="preserve"> “</w:t>
      </w:r>
      <w:r w:rsidRPr="00E61D33">
        <w:rPr>
          <w:rFonts w:ascii="Arial" w:hAnsi="Arial" w:cs="Arial"/>
          <w:i/>
          <w:color w:val="000000" w:themeColor="text1"/>
          <w:sz w:val="16"/>
          <w:szCs w:val="16"/>
        </w:rPr>
        <w:t>9.5. Copia de la solicitud de interpretación prejudicial radicada por TELEFÓNICA DEL PERÚ S.A.A. ante la Corte Suprema de Justicia el 03 de abril de 2018 (Anexo 3 A)</w:t>
      </w:r>
      <w:r w:rsidRPr="00E61D33">
        <w:rPr>
          <w:rFonts w:ascii="Arial" w:hAnsi="Arial" w:cs="Arial"/>
          <w:color w:val="000000" w:themeColor="text1"/>
          <w:sz w:val="16"/>
          <w:szCs w:val="16"/>
        </w:rPr>
        <w:t xml:space="preserve">” no fue remitido a la Secretaría General. </w:t>
      </w:r>
    </w:p>
  </w:footnote>
  <w:footnote w:id="2">
    <w:p w:rsidR="006317CB" w:rsidRPr="00C42D9C" w:rsidRDefault="006317CB" w:rsidP="00E61D33">
      <w:pPr>
        <w:pStyle w:val="Textonotapie"/>
        <w:spacing w:line="240" w:lineRule="auto"/>
        <w:rPr>
          <w:sz w:val="16"/>
          <w:szCs w:val="16"/>
        </w:rPr>
      </w:pPr>
      <w:r w:rsidRPr="00C42D9C">
        <w:rPr>
          <w:rStyle w:val="Refdenotaalpie"/>
          <w:sz w:val="16"/>
          <w:szCs w:val="16"/>
        </w:rPr>
        <w:footnoteRef/>
      </w:r>
      <w:r w:rsidRPr="00C42D9C">
        <w:rPr>
          <w:sz w:val="16"/>
          <w:szCs w:val="16"/>
        </w:rPr>
        <w:t xml:space="preserve"> </w:t>
      </w:r>
      <w:r w:rsidRPr="00E61D33">
        <w:rPr>
          <w:sz w:val="16"/>
          <w:szCs w:val="16"/>
        </w:rPr>
        <w:t>Reclamo presentado por la empresa TELEFÓNICA DEL PERÚ S.A.A. el 4 de mayo de 2018, acápite V.</w:t>
      </w:r>
    </w:p>
  </w:footnote>
  <w:footnote w:id="3">
    <w:p w:rsidR="006317CB" w:rsidRPr="00E61D33" w:rsidRDefault="006317CB" w:rsidP="00E61D33">
      <w:pPr>
        <w:pStyle w:val="Textonotapie"/>
        <w:spacing w:line="240" w:lineRule="auto"/>
        <w:rPr>
          <w:sz w:val="16"/>
          <w:szCs w:val="16"/>
        </w:rPr>
      </w:pPr>
      <w:r w:rsidRPr="00E61D33">
        <w:rPr>
          <w:rStyle w:val="Refdenotaalpie"/>
          <w:sz w:val="16"/>
          <w:szCs w:val="16"/>
        </w:rPr>
        <w:footnoteRef/>
      </w:r>
      <w:r w:rsidRPr="00E61D33">
        <w:rPr>
          <w:sz w:val="16"/>
          <w:szCs w:val="16"/>
        </w:rPr>
        <w:t xml:space="preserve"> Reclamo presentado por la empresa TELEFÓNICA DEL PERÚ S.A.A. el 4 de mayo de 2018, acápite VI.</w:t>
      </w:r>
    </w:p>
  </w:footnote>
  <w:footnote w:id="4">
    <w:p w:rsidR="006317CB" w:rsidRPr="00C42D9C" w:rsidRDefault="006317CB" w:rsidP="00E61D33">
      <w:pPr>
        <w:pStyle w:val="Textonotapie"/>
        <w:spacing w:line="240" w:lineRule="auto"/>
        <w:rPr>
          <w:sz w:val="16"/>
          <w:szCs w:val="16"/>
        </w:rPr>
      </w:pPr>
      <w:r w:rsidRPr="00E61D33">
        <w:rPr>
          <w:rStyle w:val="Refdenotaalpie"/>
          <w:sz w:val="16"/>
          <w:szCs w:val="16"/>
        </w:rPr>
        <w:footnoteRef/>
      </w:r>
      <w:r w:rsidRPr="00E61D33">
        <w:rPr>
          <w:sz w:val="16"/>
          <w:szCs w:val="16"/>
        </w:rPr>
        <w:t xml:space="preserve"> Reclamo presentado por la empresa TELEFÓNICA DEL PERÚ S.A.A. el 4 de mayo de 2018, párrafo 5.6.</w:t>
      </w:r>
    </w:p>
  </w:footnote>
  <w:footnote w:id="5">
    <w:p w:rsidR="006317CB" w:rsidRPr="00E61D33" w:rsidRDefault="006317CB" w:rsidP="00E61D33">
      <w:pPr>
        <w:pStyle w:val="Textonotapie"/>
        <w:spacing w:line="240" w:lineRule="auto"/>
        <w:rPr>
          <w:sz w:val="16"/>
          <w:szCs w:val="16"/>
        </w:rPr>
      </w:pPr>
      <w:r w:rsidRPr="00E61D33">
        <w:rPr>
          <w:rStyle w:val="Refdenotaalpie"/>
          <w:sz w:val="16"/>
          <w:szCs w:val="16"/>
        </w:rPr>
        <w:footnoteRef/>
      </w:r>
      <w:r w:rsidRPr="00E61D33">
        <w:rPr>
          <w:sz w:val="16"/>
          <w:szCs w:val="16"/>
        </w:rPr>
        <w:t xml:space="preserve"> Reclamo presentado por la empresa TELEFÓNICA DEL PERÚ S.A.A. el 4 de mayo de 2018, párrafo 5.7.</w:t>
      </w:r>
    </w:p>
  </w:footnote>
  <w:footnote w:id="6">
    <w:p w:rsidR="006317CB" w:rsidRPr="00E61D33" w:rsidRDefault="006317CB" w:rsidP="00E61D33">
      <w:pPr>
        <w:pStyle w:val="Textonotapie"/>
        <w:spacing w:line="240" w:lineRule="auto"/>
        <w:rPr>
          <w:sz w:val="16"/>
          <w:szCs w:val="16"/>
        </w:rPr>
      </w:pPr>
      <w:r w:rsidRPr="00E61D33">
        <w:rPr>
          <w:rStyle w:val="Refdenotaalpie"/>
          <w:sz w:val="16"/>
          <w:szCs w:val="16"/>
        </w:rPr>
        <w:footnoteRef/>
      </w:r>
      <w:r w:rsidRPr="00E61D33">
        <w:rPr>
          <w:sz w:val="16"/>
          <w:szCs w:val="16"/>
        </w:rPr>
        <w:t xml:space="preserve"> Reclamo presentado por la empresa TELEFÓNICA DEL PERÚ S.A.A. el 4 de mayo de 2018, párrafo 6.7.</w:t>
      </w:r>
    </w:p>
  </w:footnote>
  <w:footnote w:id="7">
    <w:p w:rsidR="006317CB" w:rsidRPr="00E61D33" w:rsidRDefault="006317CB" w:rsidP="00E61D33">
      <w:pPr>
        <w:pStyle w:val="Textonotapie"/>
        <w:spacing w:line="240" w:lineRule="auto"/>
        <w:rPr>
          <w:sz w:val="16"/>
          <w:szCs w:val="16"/>
        </w:rPr>
      </w:pPr>
      <w:r w:rsidRPr="00E61D33">
        <w:rPr>
          <w:rStyle w:val="Refdenotaalpie"/>
          <w:sz w:val="16"/>
          <w:szCs w:val="16"/>
        </w:rPr>
        <w:footnoteRef/>
      </w:r>
      <w:r w:rsidRPr="00E61D33">
        <w:rPr>
          <w:sz w:val="16"/>
          <w:szCs w:val="16"/>
        </w:rPr>
        <w:t xml:space="preserve"> Reclamo presentado por la empresa TELEFÓNICA DEL PERÚ S.A.A. el 4 de mayo de 2018, párrafo 6.4.3</w:t>
      </w:r>
      <w:r w:rsidR="00071F31">
        <w:rPr>
          <w:sz w:val="16"/>
          <w:szCs w:val="16"/>
        </w:rPr>
        <w:t>.</w:t>
      </w:r>
    </w:p>
  </w:footnote>
  <w:footnote w:id="8">
    <w:p w:rsidR="006317CB" w:rsidRPr="00E61D33" w:rsidRDefault="006317CB" w:rsidP="00E61D33">
      <w:pPr>
        <w:pStyle w:val="Textonotapie"/>
        <w:spacing w:line="240" w:lineRule="auto"/>
        <w:rPr>
          <w:sz w:val="16"/>
          <w:szCs w:val="16"/>
        </w:rPr>
      </w:pPr>
      <w:r w:rsidRPr="00E61D33">
        <w:rPr>
          <w:rStyle w:val="Refdenotaalpie"/>
          <w:sz w:val="16"/>
          <w:szCs w:val="16"/>
        </w:rPr>
        <w:footnoteRef/>
      </w:r>
      <w:r w:rsidRPr="00E61D33">
        <w:rPr>
          <w:sz w:val="16"/>
          <w:szCs w:val="16"/>
        </w:rPr>
        <w:t xml:space="preserve"> Reclamo presentado por la empresa TELEFÓNICA DEL PERÚ S.A.A. el 4 de mayo de 2018, párrafo 5.5.</w:t>
      </w:r>
    </w:p>
  </w:footnote>
  <w:footnote w:id="9">
    <w:p w:rsidR="006317CB" w:rsidRPr="00E61D33" w:rsidRDefault="006317CB" w:rsidP="00E61D33">
      <w:pPr>
        <w:pStyle w:val="Textonotapie"/>
        <w:spacing w:line="240" w:lineRule="auto"/>
        <w:rPr>
          <w:sz w:val="16"/>
          <w:szCs w:val="16"/>
        </w:rPr>
      </w:pPr>
      <w:r w:rsidRPr="00E61D33">
        <w:rPr>
          <w:rStyle w:val="Refdenotaalpie"/>
          <w:sz w:val="16"/>
          <w:szCs w:val="16"/>
        </w:rPr>
        <w:footnoteRef/>
      </w:r>
      <w:r w:rsidRPr="00E61D33">
        <w:rPr>
          <w:sz w:val="16"/>
          <w:szCs w:val="16"/>
        </w:rPr>
        <w:t xml:space="preserve"> La reclamante aclara que no alegó como causal para la declaratoria de la flagrancia, que el incumplimiento sea evidente. Ver. Escrito presentado por la empresa TELEFÓNICA DEL PERÚ S.A.A. el 14 de junio de 2018, “</w:t>
      </w:r>
      <w:r w:rsidRPr="00E61D33">
        <w:rPr>
          <w:sz w:val="16"/>
          <w:szCs w:val="16"/>
          <w:u w:val="single"/>
        </w:rPr>
        <w:t>Comentarios de Telefónica del Perú a la comunicación SG/E/SJ/1051/2015 por la cual se retiró la calificación de flagrancia</w:t>
      </w:r>
      <w:r>
        <w:rPr>
          <w:sz w:val="16"/>
          <w:szCs w:val="16"/>
        </w:rPr>
        <w:t>”, párrafo 2.5 y 2.6.</w:t>
      </w:r>
    </w:p>
  </w:footnote>
  <w:footnote w:id="10">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Escrito presentado por la empresa TELEFÓNICA DEL PERÚ S.A.A. el 14 de junio de 2018, “</w:t>
      </w:r>
      <w:r w:rsidRPr="00E61D33">
        <w:rPr>
          <w:sz w:val="16"/>
          <w:szCs w:val="16"/>
          <w:u w:val="single"/>
        </w:rPr>
        <w:t>Comentarios de Telefónica del Perú a la comunicación SG/E/SJ/1051/2015 por la cual se retiró la calificación de flagrancia</w:t>
      </w:r>
      <w:r w:rsidRPr="00E61D33">
        <w:rPr>
          <w:sz w:val="16"/>
          <w:szCs w:val="16"/>
        </w:rPr>
        <w:t>”, párrafo 2.6.</w:t>
      </w:r>
    </w:p>
  </w:footnote>
  <w:footnote w:id="11">
    <w:p w:rsidR="006317CB" w:rsidRPr="00E61D33" w:rsidRDefault="006317CB" w:rsidP="000725EA">
      <w:pPr>
        <w:pStyle w:val="Textonotapie"/>
        <w:tabs>
          <w:tab w:val="left" w:pos="142"/>
        </w:tabs>
        <w:spacing w:line="240" w:lineRule="auto"/>
        <w:ind w:left="142" w:hanging="142"/>
        <w:rPr>
          <w:rFonts w:cs="Arial"/>
          <w:sz w:val="16"/>
          <w:szCs w:val="16"/>
        </w:rPr>
      </w:pPr>
      <w:r w:rsidRPr="00E61D33">
        <w:rPr>
          <w:rStyle w:val="Refdenotaalpie"/>
          <w:rFonts w:cs="Arial"/>
          <w:sz w:val="16"/>
          <w:szCs w:val="16"/>
        </w:rPr>
        <w:footnoteRef/>
      </w:r>
      <w:r w:rsidRPr="00E61D33">
        <w:rPr>
          <w:rFonts w:cs="Arial"/>
          <w:sz w:val="16"/>
          <w:szCs w:val="16"/>
        </w:rPr>
        <w:t xml:space="preserve"> Cabe mencionar que en dicho escrito se hicieron referencias a otros procesos judiciales en sede nacional seguidos por la reclamante; sin embargo, para efectos del presente procedimiento, no resulta relevante tomar en cuenta las actuaciones procesales correspondientes a dichos procesos.</w:t>
      </w:r>
    </w:p>
  </w:footnote>
  <w:footnote w:id="12">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Escrito presentado por la empresa TELEFÓNICA DEL PERÚ S.A.A. el 20 de julio de 2018, “</w:t>
      </w:r>
      <w:r w:rsidRPr="00E61D33">
        <w:rPr>
          <w:sz w:val="16"/>
          <w:szCs w:val="16"/>
          <w:u w:val="single"/>
        </w:rPr>
        <w:t>Conclusiones de la reunión de información complementaria o facilitadora celebrada el 19 de julio de 2018</w:t>
      </w:r>
      <w:r w:rsidRPr="00E61D33">
        <w:rPr>
          <w:sz w:val="16"/>
          <w:szCs w:val="16"/>
        </w:rPr>
        <w:t>”, párrafo 5.2.</w:t>
      </w:r>
    </w:p>
  </w:footnote>
  <w:footnote w:id="13">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párrafos</w:t>
      </w:r>
      <w:r>
        <w:rPr>
          <w:sz w:val="16"/>
          <w:szCs w:val="16"/>
        </w:rPr>
        <w:t xml:space="preserve"> </w:t>
      </w:r>
      <w:r w:rsidRPr="00E61D33">
        <w:rPr>
          <w:sz w:val="16"/>
          <w:szCs w:val="16"/>
        </w:rPr>
        <w:t>20 a 26.</w:t>
      </w:r>
    </w:p>
  </w:footnote>
  <w:footnote w:id="14">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párrafos 27 a 38.</w:t>
      </w:r>
    </w:p>
  </w:footnote>
  <w:footnote w:id="15">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 42.</w:t>
      </w:r>
    </w:p>
  </w:footnote>
  <w:footnote w:id="16">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 38 a 74.</w:t>
      </w:r>
    </w:p>
  </w:footnote>
  <w:footnote w:id="17">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párrafos 40 y 69.</w:t>
      </w:r>
    </w:p>
  </w:footnote>
  <w:footnote w:id="18">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párrafos 57 a 67.</w:t>
      </w:r>
    </w:p>
  </w:footnote>
  <w:footnote w:id="19">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 81.</w:t>
      </w:r>
    </w:p>
  </w:footnote>
  <w:footnote w:id="20">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párrafos 98 a 103.</w:t>
      </w:r>
    </w:p>
  </w:footnote>
  <w:footnote w:id="21">
    <w:p w:rsidR="006317CB" w:rsidRPr="00E61D33" w:rsidRDefault="006317CB" w:rsidP="000725EA">
      <w:pPr>
        <w:pStyle w:val="Textonotapie"/>
        <w:tabs>
          <w:tab w:val="left" w:pos="142"/>
        </w:tabs>
        <w:spacing w:line="240" w:lineRule="auto"/>
        <w:ind w:left="142" w:hanging="142"/>
        <w:rPr>
          <w:sz w:val="16"/>
          <w:szCs w:val="16"/>
        </w:rPr>
      </w:pPr>
      <w:r w:rsidRPr="00E61D33">
        <w:rPr>
          <w:rStyle w:val="Refdenotaalpie"/>
          <w:sz w:val="16"/>
          <w:szCs w:val="16"/>
        </w:rPr>
        <w:footnoteRef/>
      </w:r>
      <w:r w:rsidRPr="00E61D33">
        <w:rPr>
          <w:sz w:val="16"/>
          <w:szCs w:val="16"/>
        </w:rPr>
        <w:t xml:space="preserve"> Contestación del gobierno del Perú al reclamo presentado por la empresa TELEFÓNICA DEL PERÚ S.A.A., párrafos 104 a 109.</w:t>
      </w:r>
    </w:p>
  </w:footnote>
  <w:footnote w:id="22">
    <w:p w:rsidR="006317CB" w:rsidRPr="00E61D33" w:rsidRDefault="006317CB" w:rsidP="000725EA">
      <w:pPr>
        <w:pStyle w:val="Textonotapie"/>
        <w:tabs>
          <w:tab w:val="left" w:pos="142"/>
          <w:tab w:val="left" w:pos="426"/>
        </w:tabs>
        <w:spacing w:line="240" w:lineRule="auto"/>
        <w:ind w:left="142" w:hanging="142"/>
        <w:rPr>
          <w:rFonts w:cs="Arial"/>
          <w:sz w:val="16"/>
          <w:szCs w:val="16"/>
        </w:rPr>
      </w:pPr>
      <w:r w:rsidRPr="00E61D33">
        <w:rPr>
          <w:rStyle w:val="Refdenotaalpie"/>
          <w:rFonts w:cs="Arial"/>
          <w:sz w:val="16"/>
          <w:szCs w:val="16"/>
        </w:rPr>
        <w:footnoteRef/>
      </w:r>
      <w:r w:rsidRPr="00E61D33">
        <w:rPr>
          <w:rStyle w:val="Refdenotaalpie"/>
          <w:rFonts w:cs="Arial"/>
          <w:sz w:val="16"/>
          <w:szCs w:val="16"/>
        </w:rPr>
        <w:t xml:space="preserve"> </w:t>
      </w:r>
      <w:r w:rsidRPr="00E61D33">
        <w:rPr>
          <w:rFonts w:cs="Arial"/>
          <w:sz w:val="16"/>
          <w:szCs w:val="16"/>
        </w:rPr>
        <w:t>Sentencia de fecha 8 de diciembre de 1998 del Proceso 03-AI-97.</w:t>
      </w:r>
    </w:p>
  </w:footnote>
  <w:footnote w:id="23">
    <w:p w:rsidR="006317CB" w:rsidRPr="003046CC" w:rsidRDefault="006317CB" w:rsidP="00E61D33">
      <w:pPr>
        <w:pStyle w:val="Textonotapie"/>
        <w:spacing w:line="240" w:lineRule="auto"/>
        <w:rPr>
          <w:rFonts w:cs="Arial"/>
          <w:sz w:val="16"/>
          <w:szCs w:val="16"/>
        </w:rPr>
      </w:pPr>
      <w:r w:rsidRPr="00E61D33">
        <w:rPr>
          <w:rStyle w:val="Refdenotaalpie"/>
          <w:rFonts w:cs="Arial"/>
          <w:sz w:val="16"/>
          <w:szCs w:val="16"/>
        </w:rPr>
        <w:footnoteRef/>
      </w:r>
      <w:r w:rsidRPr="00E61D33">
        <w:rPr>
          <w:rFonts w:cs="Arial"/>
          <w:sz w:val="16"/>
          <w:szCs w:val="16"/>
        </w:rPr>
        <w:t xml:space="preserve"> I</w:t>
      </w:r>
      <w:r w:rsidRPr="00E61D33">
        <w:rPr>
          <w:rFonts w:cs="Arial"/>
          <w:spacing w:val="-3"/>
          <w:sz w:val="16"/>
          <w:szCs w:val="16"/>
        </w:rPr>
        <w:t xml:space="preserve">nterpretación Prejudicial de fecha </w:t>
      </w:r>
      <w:r w:rsidRPr="00E61D33">
        <w:rPr>
          <w:rFonts w:cs="Arial"/>
          <w:sz w:val="16"/>
          <w:szCs w:val="16"/>
        </w:rPr>
        <w:t>21 de abril de 2010 del Proceso</w:t>
      </w:r>
      <w:r w:rsidRPr="00E61D33">
        <w:rPr>
          <w:rFonts w:cs="Arial"/>
          <w:spacing w:val="-3"/>
          <w:sz w:val="16"/>
          <w:szCs w:val="16"/>
        </w:rPr>
        <w:t>106-IP-2009.</w:t>
      </w:r>
    </w:p>
  </w:footnote>
  <w:footnote w:id="24">
    <w:p w:rsidR="006317CB" w:rsidRDefault="006317CB">
      <w:pPr>
        <w:widowControl/>
        <w:adjustRightInd/>
        <w:spacing w:line="240" w:lineRule="auto"/>
        <w:contextualSpacing/>
        <w:textAlignment w:val="auto"/>
        <w:rPr>
          <w:rFonts w:cs="Arial"/>
          <w:sz w:val="16"/>
          <w:szCs w:val="16"/>
        </w:rPr>
      </w:pPr>
      <w:r w:rsidRPr="003046CC">
        <w:rPr>
          <w:rStyle w:val="Refdenotaalpie"/>
          <w:rFonts w:cs="Arial"/>
          <w:sz w:val="16"/>
          <w:szCs w:val="16"/>
        </w:rPr>
        <w:footnoteRef/>
      </w:r>
      <w:r w:rsidRPr="003046CC">
        <w:rPr>
          <w:rFonts w:cs="Arial"/>
          <w:sz w:val="16"/>
          <w:szCs w:val="16"/>
        </w:rPr>
        <w:t xml:space="preserve"> </w:t>
      </w:r>
      <w:r>
        <w:rPr>
          <w:rFonts w:cs="Arial"/>
          <w:sz w:val="16"/>
          <w:szCs w:val="16"/>
        </w:rPr>
        <w:t>Los artículos 33 y 36 del TCTJCA establecen:</w:t>
      </w:r>
    </w:p>
    <w:p w:rsidR="006317CB" w:rsidRDefault="006317CB" w:rsidP="00C42D9C">
      <w:pPr>
        <w:widowControl/>
        <w:adjustRightInd/>
        <w:spacing w:line="240" w:lineRule="auto"/>
        <w:ind w:left="567" w:right="567"/>
        <w:contextualSpacing/>
        <w:textAlignment w:val="auto"/>
        <w:rPr>
          <w:rFonts w:cs="Arial"/>
          <w:i/>
          <w:sz w:val="16"/>
          <w:szCs w:val="16"/>
        </w:rPr>
      </w:pPr>
    </w:p>
    <w:p w:rsidR="006317CB" w:rsidRPr="003046CC" w:rsidRDefault="006317CB" w:rsidP="00C42D9C">
      <w:pPr>
        <w:widowControl/>
        <w:adjustRightInd/>
        <w:spacing w:line="240" w:lineRule="auto"/>
        <w:ind w:left="567" w:right="567"/>
        <w:contextualSpacing/>
        <w:textAlignment w:val="auto"/>
        <w:rPr>
          <w:rFonts w:cs="Arial"/>
          <w:sz w:val="16"/>
          <w:szCs w:val="16"/>
        </w:rPr>
      </w:pPr>
      <w:r w:rsidRPr="003046CC">
        <w:rPr>
          <w:rFonts w:cs="Arial"/>
          <w:i/>
          <w:sz w:val="16"/>
          <w:szCs w:val="16"/>
        </w:rPr>
        <w:t>“Artículo 33.- Los jueces nacionales que conozcan de un proceso en el que deba aplicarse o se controvierta alguna de las normas que conforman el ordenamiento jurídico de la Comunidad Andina, podrán solicitar, directamente, la interpretación del Tribunal acerca de dichas normas, siempre que la sentencia sea susceptible de recursos en derecho interno. Si llegare la oportunidad de dictar sentencia sin que hubiere recibido la interpretación del Tribunal, el juez deberá decidir el proceso.</w:t>
      </w:r>
    </w:p>
    <w:p w:rsidR="006317CB" w:rsidRDefault="006317CB" w:rsidP="00C42D9C">
      <w:pPr>
        <w:widowControl/>
        <w:adjustRightInd/>
        <w:spacing w:line="240" w:lineRule="auto"/>
        <w:ind w:left="567" w:right="567"/>
        <w:contextualSpacing/>
        <w:textAlignment w:val="auto"/>
        <w:rPr>
          <w:rFonts w:cs="Arial"/>
          <w:i/>
          <w:sz w:val="16"/>
          <w:szCs w:val="16"/>
        </w:rPr>
      </w:pPr>
      <w:r w:rsidRPr="003046CC">
        <w:rPr>
          <w:rFonts w:cs="Arial"/>
          <w:i/>
          <w:sz w:val="16"/>
          <w:szCs w:val="16"/>
        </w:rPr>
        <w:t>En todos los procesos en los que la sentencia no fuere susceptible de recursos en derecho interno, el juez suspenderá el procedimiento y solicitará directamente de oficio o a petición de parte la interpretación del Tribunal.</w:t>
      </w:r>
    </w:p>
    <w:p w:rsidR="006317CB" w:rsidRPr="003046CC" w:rsidRDefault="006317CB" w:rsidP="00C42D9C">
      <w:pPr>
        <w:widowControl/>
        <w:adjustRightInd/>
        <w:spacing w:line="240" w:lineRule="auto"/>
        <w:ind w:left="567" w:right="567"/>
        <w:contextualSpacing/>
        <w:textAlignment w:val="auto"/>
        <w:rPr>
          <w:rFonts w:cs="Arial"/>
          <w:i/>
          <w:sz w:val="16"/>
          <w:szCs w:val="16"/>
        </w:rPr>
      </w:pPr>
      <w:r>
        <w:rPr>
          <w:rFonts w:cs="Arial"/>
          <w:i/>
          <w:sz w:val="16"/>
          <w:szCs w:val="16"/>
        </w:rPr>
        <w:t>[…]</w:t>
      </w:r>
    </w:p>
    <w:p w:rsidR="006317CB" w:rsidRDefault="006317CB" w:rsidP="00C42D9C">
      <w:pPr>
        <w:spacing w:line="240" w:lineRule="auto"/>
        <w:ind w:left="567" w:right="567"/>
        <w:contextualSpacing/>
        <w:rPr>
          <w:rFonts w:cs="Arial"/>
          <w:i/>
          <w:sz w:val="16"/>
          <w:szCs w:val="16"/>
        </w:rPr>
      </w:pPr>
      <w:r w:rsidRPr="003046CC">
        <w:rPr>
          <w:rFonts w:cs="Arial"/>
          <w:i/>
          <w:sz w:val="16"/>
          <w:szCs w:val="16"/>
        </w:rPr>
        <w:t>Artículo 36.- Los Países Miembros de la Comunidad Andina velarán por el cumplimiento de las disposiciones del presente Tratado y en particular de la observancia por parte de los jueces nacionales a lo establecido en la presente Sección.”</w:t>
      </w:r>
    </w:p>
    <w:p w:rsidR="006317CB" w:rsidRPr="003046CC" w:rsidRDefault="006317CB" w:rsidP="00C42D9C">
      <w:pPr>
        <w:spacing w:line="240" w:lineRule="auto"/>
        <w:ind w:left="567" w:right="567"/>
        <w:contextualSpacing/>
        <w:rPr>
          <w:rFonts w:cs="Arial"/>
          <w:i/>
          <w:sz w:val="16"/>
          <w:szCs w:val="16"/>
        </w:rPr>
      </w:pPr>
    </w:p>
  </w:footnote>
  <w:footnote w:id="25">
    <w:p w:rsidR="006317CB" w:rsidRDefault="006317CB">
      <w:pPr>
        <w:pStyle w:val="Ttulo4"/>
        <w:keepNext w:val="0"/>
        <w:widowControl/>
        <w:tabs>
          <w:tab w:val="left" w:pos="426"/>
        </w:tabs>
        <w:spacing w:before="0" w:after="0"/>
        <w:contextualSpacing/>
        <w:jc w:val="both"/>
        <w:rPr>
          <w:rFonts w:cs="Arial"/>
          <w:b w:val="0"/>
          <w:sz w:val="16"/>
          <w:szCs w:val="16"/>
        </w:rPr>
      </w:pPr>
      <w:r w:rsidRPr="003046CC">
        <w:rPr>
          <w:rStyle w:val="Refdenotaalpie"/>
          <w:rFonts w:cs="Arial"/>
          <w:b w:val="0"/>
          <w:sz w:val="16"/>
          <w:szCs w:val="16"/>
        </w:rPr>
        <w:footnoteRef/>
      </w:r>
      <w:r w:rsidRPr="003046CC">
        <w:rPr>
          <w:rFonts w:cs="Arial"/>
          <w:b w:val="0"/>
          <w:sz w:val="16"/>
          <w:szCs w:val="16"/>
        </w:rPr>
        <w:t xml:space="preserve"> </w:t>
      </w:r>
      <w:r>
        <w:rPr>
          <w:rFonts w:cs="Arial"/>
          <w:b w:val="0"/>
          <w:sz w:val="16"/>
          <w:szCs w:val="16"/>
        </w:rPr>
        <w:t>Los artículos 123 y 128 de la Decisión 500 establecen:</w:t>
      </w:r>
    </w:p>
    <w:p w:rsidR="006317CB" w:rsidRDefault="006317CB">
      <w:pPr>
        <w:pStyle w:val="Ttulo4"/>
        <w:keepNext w:val="0"/>
        <w:widowControl/>
        <w:tabs>
          <w:tab w:val="left" w:pos="426"/>
        </w:tabs>
        <w:spacing w:before="0" w:after="0"/>
        <w:contextualSpacing/>
        <w:jc w:val="both"/>
        <w:rPr>
          <w:rFonts w:cs="Arial"/>
          <w:b w:val="0"/>
          <w:sz w:val="16"/>
          <w:szCs w:val="16"/>
        </w:rPr>
      </w:pPr>
    </w:p>
    <w:p w:rsidR="006317CB" w:rsidRPr="003046CC" w:rsidRDefault="006317CB" w:rsidP="00C42D9C">
      <w:pPr>
        <w:pStyle w:val="Ttulo4"/>
        <w:keepNext w:val="0"/>
        <w:widowControl/>
        <w:tabs>
          <w:tab w:val="left" w:pos="426"/>
        </w:tabs>
        <w:spacing w:before="0" w:after="0"/>
        <w:ind w:left="567" w:right="567"/>
        <w:contextualSpacing/>
        <w:jc w:val="both"/>
        <w:rPr>
          <w:rFonts w:cs="Arial"/>
          <w:b w:val="0"/>
          <w:sz w:val="16"/>
          <w:szCs w:val="16"/>
        </w:rPr>
      </w:pPr>
      <w:r w:rsidRPr="003046CC">
        <w:rPr>
          <w:rFonts w:cs="Arial"/>
          <w:b w:val="0"/>
          <w:sz w:val="16"/>
          <w:szCs w:val="16"/>
          <w:lang w:val="es-ES_tradnl"/>
        </w:rPr>
        <w:t>“</w:t>
      </w:r>
      <w:r w:rsidRPr="003046CC">
        <w:rPr>
          <w:rFonts w:cs="Arial"/>
          <w:b w:val="0"/>
          <w:i/>
          <w:sz w:val="16"/>
          <w:szCs w:val="16"/>
          <w:lang w:val="es-ES_tradnl"/>
        </w:rPr>
        <w:t>Artículo 123.- Consulta obligatoria</w:t>
      </w:r>
    </w:p>
    <w:p w:rsidR="006317CB" w:rsidRDefault="006317CB" w:rsidP="00C42D9C">
      <w:pPr>
        <w:pStyle w:val="Ttulo1"/>
        <w:keepNext w:val="0"/>
        <w:tabs>
          <w:tab w:val="left" w:pos="426"/>
        </w:tabs>
        <w:ind w:left="567" w:right="567"/>
        <w:contextualSpacing/>
        <w:jc w:val="both"/>
        <w:rPr>
          <w:rFonts w:cs="Arial"/>
          <w:b w:val="0"/>
          <w:i/>
          <w:sz w:val="16"/>
          <w:szCs w:val="16"/>
        </w:rPr>
      </w:pPr>
      <w:r w:rsidRPr="003046CC">
        <w:rPr>
          <w:rFonts w:cs="Arial"/>
          <w:b w:val="0"/>
          <w:i/>
          <w:sz w:val="16"/>
          <w:szCs w:val="16"/>
        </w:rPr>
        <w:t>De oficio o a petición de parte,</w:t>
      </w:r>
      <w:r w:rsidRPr="003046CC">
        <w:rPr>
          <w:rFonts w:cs="Arial"/>
          <w:b w:val="0"/>
          <w:i/>
          <w:sz w:val="16"/>
          <w:szCs w:val="16"/>
          <w:lang w:val="es-ES_tradnl"/>
        </w:rPr>
        <w:t xml:space="preserve"> el j</w:t>
      </w:r>
      <w:proofErr w:type="spellStart"/>
      <w:r w:rsidRPr="003046CC">
        <w:rPr>
          <w:rFonts w:cs="Arial"/>
          <w:b w:val="0"/>
          <w:i/>
          <w:sz w:val="16"/>
          <w:szCs w:val="16"/>
        </w:rPr>
        <w:t>uez</w:t>
      </w:r>
      <w:proofErr w:type="spellEnd"/>
      <w:r w:rsidRPr="003046CC">
        <w:rPr>
          <w:rFonts w:cs="Arial"/>
          <w:b w:val="0"/>
          <w:i/>
          <w:sz w:val="16"/>
          <w:szCs w:val="16"/>
        </w:rPr>
        <w:t xml:space="preserve"> nacional que conozca de un proceso en el cual la sentencia fuera de única o última instancia, que no fuere susceptible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p>
    <w:p w:rsidR="006317CB" w:rsidRPr="003046CC" w:rsidRDefault="006317CB" w:rsidP="00C42D9C">
      <w:pPr>
        <w:pStyle w:val="Ttulo1"/>
        <w:keepNext w:val="0"/>
        <w:tabs>
          <w:tab w:val="left" w:pos="426"/>
        </w:tabs>
        <w:ind w:left="567" w:right="567"/>
        <w:contextualSpacing/>
        <w:jc w:val="both"/>
        <w:rPr>
          <w:rFonts w:cs="Arial"/>
          <w:b w:val="0"/>
          <w:i/>
          <w:sz w:val="16"/>
          <w:szCs w:val="16"/>
        </w:rPr>
      </w:pPr>
      <w:r>
        <w:rPr>
          <w:rFonts w:cs="Arial"/>
          <w:b w:val="0"/>
          <w:i/>
          <w:sz w:val="16"/>
          <w:szCs w:val="16"/>
        </w:rPr>
        <w:t>[…]</w:t>
      </w:r>
    </w:p>
    <w:p w:rsidR="006317CB" w:rsidRPr="003046CC" w:rsidRDefault="006317CB" w:rsidP="00C42D9C">
      <w:pPr>
        <w:spacing w:line="240" w:lineRule="auto"/>
        <w:ind w:left="567" w:right="567"/>
        <w:contextualSpacing/>
        <w:rPr>
          <w:rFonts w:cs="Arial"/>
          <w:i/>
          <w:sz w:val="16"/>
          <w:szCs w:val="16"/>
        </w:rPr>
      </w:pPr>
      <w:r w:rsidRPr="003046CC">
        <w:rPr>
          <w:rFonts w:cs="Arial"/>
          <w:i/>
          <w:sz w:val="16"/>
          <w:szCs w:val="16"/>
        </w:rPr>
        <w:t>Artículo 128.- Obligaciones especiales y derechos en relación con la interpretación prejudicial</w:t>
      </w:r>
    </w:p>
    <w:p w:rsidR="006317CB" w:rsidRPr="003046CC" w:rsidRDefault="006317CB" w:rsidP="00C42D9C">
      <w:pPr>
        <w:spacing w:line="240" w:lineRule="auto"/>
        <w:ind w:left="567" w:right="567"/>
        <w:contextualSpacing/>
        <w:rPr>
          <w:rFonts w:cs="Arial"/>
          <w:i/>
          <w:sz w:val="16"/>
          <w:szCs w:val="16"/>
        </w:rPr>
      </w:pPr>
      <w:r w:rsidRPr="003046CC">
        <w:rPr>
          <w:rFonts w:cs="Arial"/>
          <w:i/>
          <w:sz w:val="16"/>
          <w:szCs w:val="16"/>
        </w:rPr>
        <w:t>Los Países Miembros y la Secretaría General velarán por el cumplimiento y la observancia por parte de los jueces nacionales de lo establecido respecto a la interpretación prejudicial.</w:t>
      </w:r>
    </w:p>
    <w:p w:rsidR="006317CB" w:rsidRDefault="006317CB" w:rsidP="00C42D9C">
      <w:pPr>
        <w:spacing w:line="240" w:lineRule="auto"/>
        <w:ind w:left="567" w:right="567"/>
        <w:contextualSpacing/>
        <w:rPr>
          <w:rFonts w:cs="Arial"/>
          <w:i/>
          <w:sz w:val="16"/>
          <w:szCs w:val="16"/>
        </w:rPr>
      </w:pPr>
    </w:p>
    <w:p w:rsidR="006317CB" w:rsidRPr="003046CC" w:rsidRDefault="006317CB" w:rsidP="00C42D9C">
      <w:pPr>
        <w:spacing w:line="240" w:lineRule="auto"/>
        <w:ind w:left="567" w:right="567"/>
        <w:contextualSpacing/>
        <w:rPr>
          <w:rFonts w:cs="Arial"/>
          <w:i/>
          <w:sz w:val="16"/>
          <w:szCs w:val="16"/>
        </w:rPr>
      </w:pPr>
      <w:r w:rsidRPr="003046CC">
        <w:rPr>
          <w:rFonts w:cs="Arial"/>
          <w:i/>
          <w:sz w:val="16"/>
          <w:szCs w:val="16"/>
        </w:rPr>
        <w:t>Los Países Miembros y los particulares tendrán derecho a acudir ante el Tribunal en ejercicio de la acción de incumplimiento, cuando el juez nacional obligado a realizar la consulta se abstenga de hacerlo, o cuando efectuada ésta, aplique interpretación diferente a la dictada por el Tribunal.</w:t>
      </w:r>
    </w:p>
    <w:p w:rsidR="006317CB" w:rsidRDefault="006317CB" w:rsidP="00C42D9C">
      <w:pPr>
        <w:spacing w:line="240" w:lineRule="auto"/>
        <w:ind w:left="567" w:right="567"/>
        <w:contextualSpacing/>
        <w:rPr>
          <w:rFonts w:cs="Arial"/>
          <w:i/>
          <w:sz w:val="16"/>
          <w:szCs w:val="16"/>
        </w:rPr>
      </w:pPr>
    </w:p>
    <w:p w:rsidR="006317CB" w:rsidRDefault="006317CB" w:rsidP="00C42D9C">
      <w:pPr>
        <w:spacing w:line="240" w:lineRule="auto"/>
        <w:ind w:left="567" w:right="567"/>
        <w:contextualSpacing/>
        <w:rPr>
          <w:rFonts w:cs="Arial"/>
          <w:i/>
          <w:sz w:val="16"/>
          <w:szCs w:val="16"/>
        </w:rPr>
      </w:pPr>
      <w:r w:rsidRPr="003046CC">
        <w:rPr>
          <w:rFonts w:cs="Arial"/>
          <w:i/>
          <w:sz w:val="16"/>
          <w:szCs w:val="16"/>
        </w:rPr>
        <w:t>En cumplimiento de las disposiciones de este Capítulo los jueces nacionales deberán enviar al Tribunal las sentencias dictadas en los casos objeto de interpretación prejudicial.”</w:t>
      </w:r>
    </w:p>
    <w:p w:rsidR="006317CB" w:rsidRPr="003046CC" w:rsidRDefault="006317CB" w:rsidP="001573D1">
      <w:pPr>
        <w:spacing w:line="240" w:lineRule="auto"/>
        <w:ind w:left="567" w:right="567"/>
        <w:contextualSpacing/>
        <w:rPr>
          <w:rFonts w:cs="Arial"/>
          <w:i/>
          <w:sz w:val="16"/>
          <w:szCs w:val="16"/>
        </w:rPr>
      </w:pPr>
    </w:p>
  </w:footnote>
  <w:footnote w:id="26">
    <w:p w:rsidR="006317CB" w:rsidRPr="003046CC" w:rsidRDefault="006317CB" w:rsidP="000725EA">
      <w:pPr>
        <w:pStyle w:val="Textonotapie"/>
        <w:tabs>
          <w:tab w:val="left" w:pos="142"/>
        </w:tabs>
        <w:spacing w:line="240" w:lineRule="auto"/>
        <w:ind w:left="142" w:hanging="142"/>
        <w:contextualSpacing/>
        <w:rPr>
          <w:rFonts w:cs="Arial"/>
          <w:sz w:val="16"/>
          <w:szCs w:val="16"/>
        </w:rPr>
      </w:pPr>
      <w:r w:rsidRPr="003046CC">
        <w:rPr>
          <w:rStyle w:val="Refdenotaalpie"/>
          <w:rFonts w:cs="Arial"/>
          <w:sz w:val="16"/>
          <w:szCs w:val="16"/>
        </w:rPr>
        <w:footnoteRef/>
      </w:r>
      <w:r w:rsidRPr="003046CC">
        <w:rPr>
          <w:rFonts w:cs="Arial"/>
          <w:sz w:val="16"/>
          <w:szCs w:val="16"/>
        </w:rPr>
        <w:t xml:space="preserve"> Sentencia de fecha 7 de julio de 2017 del Proceso 01-AI-2015, Interpretación Prejudicial de fecha 17 de febrero de 1994 del Proceso 6-IP-93, Interpretación Prejudicial de fecha 3 de setiembre de 1999 del Proceso 30-IP-99, Interpretación Prejudicial de fecha 3 de diciembre de 1987 del Proceso 01-IP-87, Interpretación Prejudicial de fecha 25 de setiembre de 1990 del Proceso 3-IP-90, Interpretación Prejudicial de fecha 29 de agosto de 1997 del Proceso 11-IP-96, e Interpretación Prejudicial de fecha 10 de abril de 2002 del Proceso 01-IP-2002.</w:t>
      </w:r>
    </w:p>
  </w:footnote>
  <w:footnote w:id="27">
    <w:p w:rsidR="006317CB" w:rsidRPr="007D37FA" w:rsidRDefault="006317CB" w:rsidP="00CC52BA">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7D37FA">
        <w:rPr>
          <w:rFonts w:cs="Arial"/>
          <w:sz w:val="16"/>
          <w:szCs w:val="16"/>
        </w:rPr>
        <w:t>Sentencia de fecha 7 de julio de 2017 del Proceso 01-AI-2015.</w:t>
      </w:r>
    </w:p>
  </w:footnote>
  <w:footnote w:id="28">
    <w:p w:rsidR="006317CB" w:rsidRPr="003046CC" w:rsidRDefault="006317CB" w:rsidP="000725EA">
      <w:pPr>
        <w:pStyle w:val="Textonotapie"/>
        <w:tabs>
          <w:tab w:val="left" w:pos="142"/>
        </w:tabs>
        <w:spacing w:line="240" w:lineRule="auto"/>
        <w:ind w:left="142" w:hanging="142"/>
        <w:rPr>
          <w:rFonts w:cs="Arial"/>
          <w:sz w:val="16"/>
          <w:szCs w:val="16"/>
        </w:rPr>
      </w:pPr>
      <w:r w:rsidRPr="00CD017B">
        <w:rPr>
          <w:rStyle w:val="Refdenotaalpie"/>
          <w:rFonts w:cs="Arial"/>
          <w:sz w:val="16"/>
          <w:szCs w:val="16"/>
        </w:rPr>
        <w:footnoteRef/>
      </w:r>
      <w:r w:rsidRPr="00CD017B">
        <w:rPr>
          <w:rFonts w:cs="Arial"/>
          <w:sz w:val="16"/>
          <w:szCs w:val="16"/>
        </w:rPr>
        <w:t xml:space="preserve"> Páginas 14 y 15 de la Sentencia Casación No. 474-2016.</w:t>
      </w:r>
    </w:p>
  </w:footnote>
  <w:footnote w:id="29">
    <w:p w:rsidR="006317CB" w:rsidRPr="00CC52BA" w:rsidRDefault="006317CB" w:rsidP="000725EA">
      <w:pPr>
        <w:pStyle w:val="Textonotapie"/>
        <w:tabs>
          <w:tab w:val="left" w:pos="142"/>
        </w:tabs>
        <w:spacing w:line="240" w:lineRule="auto"/>
        <w:ind w:left="142" w:hanging="142"/>
        <w:rPr>
          <w:sz w:val="16"/>
          <w:szCs w:val="16"/>
        </w:rPr>
      </w:pPr>
      <w:r w:rsidRPr="00CC52BA">
        <w:rPr>
          <w:rStyle w:val="Refdenotaalpie"/>
          <w:sz w:val="16"/>
          <w:szCs w:val="16"/>
        </w:rPr>
        <w:footnoteRef/>
      </w:r>
      <w:r w:rsidRPr="00CC52BA">
        <w:rPr>
          <w:sz w:val="16"/>
          <w:szCs w:val="16"/>
        </w:rPr>
        <w:t xml:space="preserve"> Mediante el cual SATMEX se compromete a proporcionar a Telefónica del Perú el servicio internacional de conducción de señales por satélite, de conformidad con los términos, condiciones, modalidades técnicas, legales y tarifarias contenidas en el contrato y en sus anexos.</w:t>
      </w:r>
    </w:p>
  </w:footnote>
  <w:footnote w:id="30">
    <w:p w:rsidR="006317CB" w:rsidRPr="00CC52BA" w:rsidRDefault="006317CB" w:rsidP="000725EA">
      <w:pPr>
        <w:pStyle w:val="Textonotapie"/>
        <w:tabs>
          <w:tab w:val="left" w:pos="142"/>
        </w:tabs>
        <w:spacing w:line="240" w:lineRule="auto"/>
        <w:ind w:left="142" w:hanging="142"/>
        <w:rPr>
          <w:sz w:val="16"/>
          <w:szCs w:val="16"/>
        </w:rPr>
      </w:pPr>
      <w:r w:rsidRPr="00CC52BA">
        <w:rPr>
          <w:rStyle w:val="Refdenotaalpie"/>
          <w:sz w:val="16"/>
          <w:szCs w:val="16"/>
        </w:rPr>
        <w:footnoteRef/>
      </w:r>
      <w:r w:rsidRPr="00CC52BA">
        <w:rPr>
          <w:sz w:val="16"/>
          <w:szCs w:val="16"/>
        </w:rPr>
        <w:t xml:space="preserve"> Mediante el cual </w:t>
      </w:r>
      <w:proofErr w:type="spellStart"/>
      <w:r w:rsidRPr="00CC52BA">
        <w:rPr>
          <w:sz w:val="16"/>
          <w:szCs w:val="16"/>
        </w:rPr>
        <w:t>PanAmSat</w:t>
      </w:r>
      <w:proofErr w:type="spellEnd"/>
      <w:r w:rsidRPr="00CC52BA">
        <w:rPr>
          <w:sz w:val="16"/>
          <w:szCs w:val="16"/>
        </w:rPr>
        <w:t xml:space="preserve"> se obliga a proporcionar en cada reunión de servicio los parámetros de transmisión aplicables y/o las normas de servicio.</w:t>
      </w:r>
    </w:p>
  </w:footnote>
  <w:footnote w:id="31">
    <w:p w:rsidR="006317CB" w:rsidRDefault="006317CB" w:rsidP="000725EA">
      <w:pPr>
        <w:pStyle w:val="Textonotapie"/>
        <w:tabs>
          <w:tab w:val="left" w:pos="142"/>
        </w:tabs>
        <w:spacing w:line="240" w:lineRule="auto"/>
        <w:ind w:left="142" w:hanging="142"/>
      </w:pPr>
      <w:r w:rsidRPr="00CC52BA">
        <w:rPr>
          <w:rStyle w:val="Refdenotaalpie"/>
          <w:sz w:val="16"/>
          <w:szCs w:val="16"/>
        </w:rPr>
        <w:footnoteRef/>
      </w:r>
      <w:r w:rsidRPr="00CC52BA">
        <w:rPr>
          <w:sz w:val="16"/>
          <w:szCs w:val="16"/>
        </w:rPr>
        <w:t xml:space="preserve"> Telefónica del Perú suscribió con </w:t>
      </w:r>
      <w:proofErr w:type="spellStart"/>
      <w:r w:rsidRPr="00CC52BA">
        <w:rPr>
          <w:rFonts w:cs="Arial"/>
          <w:sz w:val="16"/>
          <w:szCs w:val="16"/>
        </w:rPr>
        <w:t>Intelsat</w:t>
      </w:r>
      <w:proofErr w:type="spellEnd"/>
      <w:r w:rsidRPr="00CC52BA">
        <w:rPr>
          <w:rFonts w:cs="Arial"/>
          <w:sz w:val="16"/>
          <w:szCs w:val="16"/>
        </w:rPr>
        <w:t xml:space="preserve"> Global &amp; Marketing un contrato de servicio de alquiler </w:t>
      </w:r>
      <w:r w:rsidRPr="00CC52BA">
        <w:rPr>
          <w:rFonts w:cs="Arial"/>
          <w:i/>
          <w:sz w:val="16"/>
          <w:szCs w:val="16"/>
        </w:rPr>
        <w:t>“en el cual el cliente podrá encargar nuevos servicios de alquiler después de la fecha del cierre con el consentimiento de la sociedad, con la que habrá acordado las condiciones correspondientes”.</w:t>
      </w:r>
    </w:p>
  </w:footnote>
  <w:footnote w:id="32">
    <w:p w:rsidR="006317CB" w:rsidRPr="003046CC" w:rsidRDefault="006317CB" w:rsidP="000725EA">
      <w:pPr>
        <w:pStyle w:val="Textonotapie"/>
        <w:tabs>
          <w:tab w:val="left" w:pos="142"/>
        </w:tabs>
        <w:spacing w:line="240" w:lineRule="auto"/>
        <w:ind w:left="142" w:hanging="142"/>
        <w:rPr>
          <w:rFonts w:cs="Arial"/>
          <w:bCs/>
          <w:snapToGrid w:val="0"/>
          <w:sz w:val="16"/>
          <w:szCs w:val="16"/>
        </w:rPr>
      </w:pPr>
      <w:r w:rsidRPr="003046CC">
        <w:rPr>
          <w:rStyle w:val="Refdenotaalpie"/>
          <w:rFonts w:cs="Arial"/>
          <w:sz w:val="16"/>
          <w:szCs w:val="16"/>
        </w:rPr>
        <w:footnoteRef/>
      </w:r>
      <w:r w:rsidRPr="003046CC">
        <w:rPr>
          <w:rFonts w:cs="Arial"/>
          <w:sz w:val="16"/>
          <w:szCs w:val="16"/>
        </w:rPr>
        <w:t xml:space="preserve"> Página</w:t>
      </w:r>
      <w:r>
        <w:rPr>
          <w:rFonts w:cs="Arial"/>
          <w:sz w:val="16"/>
          <w:szCs w:val="16"/>
        </w:rPr>
        <w:t>s 4 y</w:t>
      </w:r>
      <w:r w:rsidRPr="003046CC">
        <w:rPr>
          <w:rFonts w:cs="Arial"/>
          <w:sz w:val="16"/>
          <w:szCs w:val="16"/>
        </w:rPr>
        <w:t xml:space="preserve"> 5 de la Sentencia de Casación No. 474-2016.</w:t>
      </w:r>
    </w:p>
  </w:footnote>
  <w:footnote w:id="33">
    <w:p w:rsidR="006317CB" w:rsidRPr="003046CC" w:rsidRDefault="006317CB" w:rsidP="000725EA">
      <w:pPr>
        <w:pStyle w:val="Textonotapie"/>
        <w:tabs>
          <w:tab w:val="left" w:pos="142"/>
        </w:tabs>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Página 6 de la Sentencia de Casación No. 474-2016.</w:t>
      </w:r>
    </w:p>
  </w:footnote>
  <w:footnote w:id="34">
    <w:p w:rsidR="006317CB" w:rsidRPr="003046CC" w:rsidRDefault="006317CB" w:rsidP="000725EA">
      <w:pPr>
        <w:pStyle w:val="Textonotapie"/>
        <w:tabs>
          <w:tab w:val="left" w:pos="142"/>
        </w:tabs>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 párrafo</w:t>
      </w:r>
      <w:r w:rsidRPr="003046CC">
        <w:rPr>
          <w:rFonts w:cs="Arial"/>
          <w:sz w:val="16"/>
          <w:szCs w:val="16"/>
        </w:rPr>
        <w:t xml:space="preserve"> 6.7. </w:t>
      </w:r>
    </w:p>
  </w:footnote>
  <w:footnote w:id="35">
    <w:p w:rsidR="006317CB" w:rsidRPr="003046CC" w:rsidRDefault="006317CB" w:rsidP="000725EA">
      <w:pPr>
        <w:pStyle w:val="Textonotapie"/>
        <w:tabs>
          <w:tab w:val="left" w:pos="142"/>
        </w:tabs>
        <w:spacing w:line="240" w:lineRule="auto"/>
        <w:ind w:left="142" w:hanging="142"/>
        <w:rPr>
          <w:rFonts w:cs="Arial"/>
          <w:sz w:val="16"/>
          <w:szCs w:val="16"/>
        </w:rPr>
      </w:pPr>
      <w:r w:rsidRPr="003046CC">
        <w:rPr>
          <w:rStyle w:val="Refdenotaalpie"/>
          <w:rFonts w:cs="Arial"/>
          <w:sz w:val="16"/>
          <w:szCs w:val="16"/>
        </w:rPr>
        <w:footnoteRef/>
      </w:r>
      <w:r>
        <w:rPr>
          <w:rFonts w:cs="Arial"/>
          <w:sz w:val="16"/>
          <w:szCs w:val="16"/>
        </w:rPr>
        <w:t xml:space="preserve"> </w:t>
      </w:r>
      <w:r w:rsidRPr="00E61D33">
        <w:rPr>
          <w:sz w:val="16"/>
          <w:szCs w:val="16"/>
        </w:rPr>
        <w:t>Contestación del gobierno del Perú al reclamo presentado por la empresa TELEFÓNICA DEL PERÚ S.A.A., párrafo</w:t>
      </w:r>
      <w:r>
        <w:rPr>
          <w:sz w:val="16"/>
          <w:szCs w:val="16"/>
        </w:rPr>
        <w:t xml:space="preserve"> </w:t>
      </w:r>
      <w:r w:rsidRPr="003046CC">
        <w:rPr>
          <w:rFonts w:cs="Arial"/>
          <w:sz w:val="16"/>
          <w:szCs w:val="16"/>
        </w:rPr>
        <w:t>30.</w:t>
      </w:r>
    </w:p>
  </w:footnote>
  <w:footnote w:id="36">
    <w:p w:rsidR="006317CB" w:rsidRPr="003046CC" w:rsidRDefault="006317CB" w:rsidP="000725EA">
      <w:pPr>
        <w:pStyle w:val="Textonotapie"/>
        <w:tabs>
          <w:tab w:val="left" w:pos="142"/>
        </w:tabs>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Contestación del gobierno del Perú al reclamo presentado por la empresa TELEFÓNICA DEL PERÚ S.A.A., párrafo</w:t>
      </w:r>
      <w:r w:rsidRPr="003046CC">
        <w:rPr>
          <w:rFonts w:cs="Arial"/>
          <w:sz w:val="16"/>
          <w:szCs w:val="16"/>
        </w:rPr>
        <w:t xml:space="preserve"> 3</w:t>
      </w:r>
      <w:r>
        <w:rPr>
          <w:rFonts w:cs="Arial"/>
          <w:sz w:val="16"/>
          <w:szCs w:val="16"/>
        </w:rPr>
        <w:t>1</w:t>
      </w:r>
      <w:r w:rsidRPr="003046CC">
        <w:rPr>
          <w:rFonts w:cs="Arial"/>
          <w:sz w:val="16"/>
          <w:szCs w:val="16"/>
        </w:rPr>
        <w:t>.</w:t>
      </w:r>
    </w:p>
  </w:footnote>
  <w:footnote w:id="37">
    <w:p w:rsidR="006317CB" w:rsidRPr="003046CC" w:rsidRDefault="006317CB" w:rsidP="000725EA">
      <w:pPr>
        <w:pStyle w:val="Textonotapie"/>
        <w:tabs>
          <w:tab w:val="left" w:pos="142"/>
        </w:tabs>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Página 16 de la Sentencia de Casación No. 474-2016. </w:t>
      </w:r>
    </w:p>
  </w:footnote>
  <w:footnote w:id="38">
    <w:p w:rsidR="006317CB" w:rsidRPr="003046CC" w:rsidRDefault="006317CB" w:rsidP="000725EA">
      <w:pPr>
        <w:pStyle w:val="Textonotapie"/>
        <w:tabs>
          <w:tab w:val="left" w:pos="142"/>
        </w:tabs>
        <w:spacing w:line="240" w:lineRule="auto"/>
        <w:ind w:left="142" w:hanging="142"/>
        <w:rPr>
          <w:rFonts w:cs="Arial"/>
          <w:i/>
          <w:sz w:val="16"/>
          <w:szCs w:val="16"/>
        </w:rPr>
      </w:pPr>
      <w:r w:rsidRPr="003046CC">
        <w:rPr>
          <w:rStyle w:val="Refdenotaalpie"/>
          <w:rFonts w:cs="Arial"/>
          <w:sz w:val="16"/>
          <w:szCs w:val="16"/>
        </w:rPr>
        <w:footnoteRef/>
      </w:r>
      <w:r w:rsidRPr="003046CC">
        <w:rPr>
          <w:rFonts w:cs="Arial"/>
          <w:sz w:val="16"/>
          <w:szCs w:val="16"/>
        </w:rPr>
        <w:t xml:space="preserve"> La Decisión de la Corte Suprema en la Sentencia Casación No. 474-2016 fue la siguiente: </w:t>
      </w:r>
      <w:r w:rsidRPr="003046CC">
        <w:rPr>
          <w:rFonts w:cs="Arial"/>
          <w:i/>
          <w:sz w:val="16"/>
          <w:szCs w:val="16"/>
        </w:rPr>
        <w:t>“Declararon INFUNDADOS los recursos de casación interpuestos por: i) (…) Tribunal Fiscal; ii) Telefónica del Perú (…); en consecuencia, NO CASARON la sentencia de vista, de fecha (…), que revocó la sentencia de primera instancia que declaró infundada la demanda, y reformándola declaró fundada la misma.</w:t>
      </w:r>
      <w:r w:rsidRPr="003046CC">
        <w:rPr>
          <w:rFonts w:cs="Arial"/>
          <w:sz w:val="16"/>
          <w:szCs w:val="16"/>
        </w:rPr>
        <w:t>”</w:t>
      </w:r>
    </w:p>
  </w:footnote>
  <w:footnote w:id="39">
    <w:p w:rsidR="006317CB" w:rsidRPr="003046CC" w:rsidRDefault="006317CB" w:rsidP="000725EA">
      <w:pPr>
        <w:pStyle w:val="Textonotapie"/>
        <w:tabs>
          <w:tab w:val="left" w:pos="142"/>
        </w:tabs>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Páginas 34, 35, 36 y 40 de la Sentencia Casación No. 474-2016 de fecha 27 de setiembre de 2017. La Corte Suprema analiza la infracción normativa de los incisos b) y c) del artículo 9 del Texto Único Ordenado de la Ley del Impuesto a la Renta.</w:t>
      </w:r>
    </w:p>
  </w:footnote>
  <w:footnote w:id="40">
    <w:p w:rsidR="006317CB" w:rsidRPr="003046CC" w:rsidRDefault="006317CB" w:rsidP="000725EA">
      <w:pPr>
        <w:pStyle w:val="Textonotapie"/>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Sin perjuicio de ello, cabe indicar que, en la Sentencia Casación No. 474-2016, la Corte Suprema también analizó: i) infracción normativa del inciso 3) del artículo 139 de la Constitución Política del Perú, así como del inciso 6) del artículo 50 y el artículo 266 del Código Procesal Civil (por supuesta incongruencia </w:t>
      </w:r>
      <w:r w:rsidRPr="003046CC">
        <w:rPr>
          <w:rFonts w:cs="Arial"/>
          <w:i/>
          <w:sz w:val="16"/>
          <w:szCs w:val="16"/>
        </w:rPr>
        <w:t xml:space="preserve">extra </w:t>
      </w:r>
      <w:proofErr w:type="spellStart"/>
      <w:r w:rsidRPr="003046CC">
        <w:rPr>
          <w:rFonts w:cs="Arial"/>
          <w:i/>
          <w:sz w:val="16"/>
          <w:szCs w:val="16"/>
        </w:rPr>
        <w:t>petita</w:t>
      </w:r>
      <w:proofErr w:type="spellEnd"/>
      <w:r w:rsidRPr="003046CC">
        <w:rPr>
          <w:rFonts w:cs="Arial"/>
          <w:sz w:val="16"/>
          <w:szCs w:val="16"/>
        </w:rPr>
        <w:t xml:space="preserve">); </w:t>
      </w:r>
      <w:proofErr w:type="spellStart"/>
      <w:r w:rsidRPr="003046CC">
        <w:rPr>
          <w:rFonts w:cs="Arial"/>
          <w:sz w:val="16"/>
          <w:szCs w:val="16"/>
        </w:rPr>
        <w:t>ii</w:t>
      </w:r>
      <w:proofErr w:type="spellEnd"/>
      <w:r w:rsidRPr="003046CC">
        <w:rPr>
          <w:rFonts w:cs="Arial"/>
          <w:sz w:val="16"/>
          <w:szCs w:val="16"/>
        </w:rPr>
        <w:t xml:space="preserve">) infracción normativa del inciso 5) del artículo 139 de la Constitución Política del Perú, así como el inciso 6) del artículo 50 y el artículo 121 del Código Procesal Civil (por supuesta falta de debida motivación); e, iii) infracción normativa de la Norma IX del Título Preliminar del Código Tributario, de los numerales 2.9) y 3) del artículo V y numeral 2) del artículo VI del Título Preliminar de la Ley No. 27444; así como del artículo 144 del Reglamento de Organización y Funciones de la SUNAT (relacionado a la aplicación retroactiva de un criterio emitido por la SUNAT). Adicionalmente, la Corte Suprema analizó Informes Técnicos y cláusulas de los contratos celebrados por Telefónica con las personas jurídicas no domiciliadas, y la naturaleza del uso de satélites de comunicaciones, precisando que: </w:t>
      </w:r>
      <w:r w:rsidRPr="003046CC">
        <w:rPr>
          <w:rFonts w:cs="Arial"/>
          <w:i/>
          <w:sz w:val="16"/>
          <w:szCs w:val="16"/>
        </w:rPr>
        <w:t>“(…) el satélite usa el segmento espacial para efectos de transmitir información a través del espectro radioeléctrico por lo que, el uso de la capacidad satelital constituye un bien intangible, sujeto a cesión o cualquier otra modalidad contractual</w:t>
      </w:r>
      <w:r w:rsidRPr="003046CC">
        <w:rPr>
          <w:rFonts w:cs="Arial"/>
          <w:sz w:val="16"/>
          <w:szCs w:val="16"/>
        </w:rPr>
        <w:t>.”</w:t>
      </w:r>
    </w:p>
  </w:footnote>
  <w:footnote w:id="41">
    <w:p w:rsidR="006317CB" w:rsidRPr="003046CC" w:rsidRDefault="006317CB" w:rsidP="000725EA">
      <w:pPr>
        <w:pStyle w:val="qowt-stl-normal"/>
        <w:spacing w:before="0" w:beforeAutospacing="0" w:after="0" w:afterAutospacing="0"/>
        <w:ind w:left="142" w:hanging="142"/>
        <w:jc w:val="both"/>
        <w:rPr>
          <w:rStyle w:val="qowt-font3-arial"/>
          <w:rFonts w:ascii="Arial" w:hAnsi="Arial" w:cs="Arial"/>
          <w:iCs/>
          <w:sz w:val="16"/>
          <w:szCs w:val="16"/>
        </w:rPr>
      </w:pPr>
      <w:r w:rsidRPr="003046CC">
        <w:rPr>
          <w:rStyle w:val="Refdenotaalpie"/>
          <w:rFonts w:ascii="Arial" w:hAnsi="Arial" w:cs="Arial"/>
          <w:sz w:val="16"/>
          <w:szCs w:val="16"/>
        </w:rPr>
        <w:footnoteRef/>
      </w:r>
      <w:r w:rsidRPr="003046CC">
        <w:rPr>
          <w:rFonts w:ascii="Arial" w:hAnsi="Arial" w:cs="Arial"/>
          <w:sz w:val="16"/>
          <w:szCs w:val="16"/>
        </w:rPr>
        <w:t xml:space="preserve"> </w:t>
      </w:r>
      <w:r w:rsidRPr="003046CC">
        <w:rPr>
          <w:rStyle w:val="qowt-font3-arial"/>
          <w:rFonts w:ascii="Arial" w:hAnsi="Arial" w:cs="Arial"/>
          <w:iCs/>
          <w:sz w:val="16"/>
          <w:szCs w:val="16"/>
        </w:rPr>
        <w:t>Interpretación Prejudicial de fecha 8 de octubre de 2013 del Proceso 168-IP-2013, Interpretación Prejudicial de fecha 6 de octubre de 2013 del Proceso 127-IP-2013, Interpretación Prejudicial de fecha 25 de setiembre de 2013 del Proceso 128-IP-2013, Interpretación Prejudicial de fecha 2 de octubre de 2013 del Proceso 132-IP-2013, Interpretación Prejudicial de fecha 16 de octubre de 2013 del Proceso 111-IP-2013, Interpretación Prejudicial de fecha 25 de setiembre de 2013 del Proceso 133-IP-2013, Interpretación Prejudicial de fecha 22 de enero de 2014 del Proceso 138-IP-2014, entre otras.</w:t>
      </w:r>
    </w:p>
    <w:p w:rsidR="006317CB" w:rsidRPr="003046CC" w:rsidRDefault="006317CB" w:rsidP="003046CC">
      <w:pPr>
        <w:pStyle w:val="Textonotapie"/>
        <w:spacing w:line="240" w:lineRule="auto"/>
        <w:rPr>
          <w:rFonts w:cs="Arial"/>
          <w:sz w:val="16"/>
          <w:szCs w:val="16"/>
        </w:rPr>
      </w:pPr>
    </w:p>
  </w:footnote>
  <w:footnote w:id="42">
    <w:p w:rsidR="006317CB" w:rsidRPr="003046CC" w:rsidRDefault="006317CB" w:rsidP="000725EA">
      <w:pPr>
        <w:pStyle w:val="Textonotapie"/>
        <w:spacing w:line="240" w:lineRule="auto"/>
        <w:ind w:left="142" w:hanging="142"/>
        <w:contextualSpacing/>
        <w:rPr>
          <w:rFonts w:cs="Arial"/>
          <w:sz w:val="16"/>
          <w:szCs w:val="16"/>
        </w:rPr>
      </w:pPr>
      <w:r w:rsidRPr="003046CC">
        <w:rPr>
          <w:rStyle w:val="Refdenotaalpie"/>
          <w:rFonts w:cs="Arial"/>
          <w:sz w:val="16"/>
          <w:szCs w:val="16"/>
        </w:rPr>
        <w:footnoteRef/>
      </w:r>
      <w:r w:rsidRPr="003046CC">
        <w:rPr>
          <w:rFonts w:cs="Arial"/>
          <w:sz w:val="16"/>
          <w:szCs w:val="16"/>
        </w:rPr>
        <w:t xml:space="preserve"> Medio probatorio presentado mediante el Anexo 2.1 del escrito de la reclamante, recibido por la SGCAN el 17 de mayo de 2018.</w:t>
      </w:r>
    </w:p>
  </w:footnote>
  <w:footnote w:id="43">
    <w:p w:rsidR="00D85484" w:rsidRDefault="006317CB" w:rsidP="000725EA">
      <w:pPr>
        <w:pStyle w:val="Textonotapie"/>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w:t>
      </w:r>
      <w:r w:rsidR="00D85484">
        <w:rPr>
          <w:rFonts w:cs="Arial"/>
          <w:sz w:val="16"/>
          <w:szCs w:val="16"/>
        </w:rPr>
        <w:t>En</w:t>
      </w:r>
      <w:r w:rsidRPr="003046CC">
        <w:rPr>
          <w:rFonts w:cs="Arial"/>
          <w:sz w:val="16"/>
          <w:szCs w:val="16"/>
        </w:rPr>
        <w:t xml:space="preserve"> la Resolución No. 3 SCST de fecha 23 de abril de 2018,</w:t>
      </w:r>
      <w:r w:rsidR="00D85484">
        <w:rPr>
          <w:rFonts w:cs="Arial"/>
          <w:sz w:val="16"/>
          <w:szCs w:val="16"/>
        </w:rPr>
        <w:t xml:space="preserve"> la Tercera Sala de Derecho Constitucional y Social Transitoria de la Corte Suprema de la República del Perú </w:t>
      </w:r>
      <w:r w:rsidR="006C0A88">
        <w:rPr>
          <w:rFonts w:cs="Arial"/>
          <w:sz w:val="16"/>
          <w:szCs w:val="16"/>
        </w:rPr>
        <w:t>señala</w:t>
      </w:r>
      <w:r w:rsidR="00D85484">
        <w:rPr>
          <w:rFonts w:cs="Arial"/>
          <w:sz w:val="16"/>
          <w:szCs w:val="16"/>
        </w:rPr>
        <w:t xml:space="preserve"> en su considerando primero</w:t>
      </w:r>
      <w:r w:rsidR="006C0A88">
        <w:rPr>
          <w:rFonts w:cs="Arial"/>
          <w:sz w:val="16"/>
          <w:szCs w:val="16"/>
        </w:rPr>
        <w:t xml:space="preserve">, que las solicitudes de interpretación fueron </w:t>
      </w:r>
      <w:r w:rsidR="00096BF0">
        <w:rPr>
          <w:rFonts w:cs="Arial"/>
          <w:sz w:val="16"/>
          <w:szCs w:val="16"/>
        </w:rPr>
        <w:t>presentadas</w:t>
      </w:r>
      <w:r w:rsidR="006C0A88">
        <w:rPr>
          <w:rFonts w:cs="Arial"/>
          <w:sz w:val="16"/>
          <w:szCs w:val="16"/>
        </w:rPr>
        <w:t xml:space="preserve"> el 4 y 16 de abril de 2018</w:t>
      </w:r>
      <w:r w:rsidR="00D85484">
        <w:rPr>
          <w:rFonts w:cs="Arial"/>
          <w:sz w:val="16"/>
          <w:szCs w:val="16"/>
        </w:rPr>
        <w:t>:</w:t>
      </w:r>
    </w:p>
    <w:p w:rsidR="00D85484" w:rsidRPr="000725EA" w:rsidRDefault="00D85484" w:rsidP="003046CC">
      <w:pPr>
        <w:pStyle w:val="Textonotapie"/>
        <w:spacing w:line="240" w:lineRule="auto"/>
        <w:rPr>
          <w:rFonts w:cs="Arial"/>
          <w:sz w:val="12"/>
          <w:szCs w:val="12"/>
        </w:rPr>
      </w:pPr>
    </w:p>
    <w:p w:rsidR="006317CB" w:rsidRPr="00D85484" w:rsidRDefault="00D85484" w:rsidP="00CC52BA">
      <w:pPr>
        <w:pStyle w:val="Textonotapie"/>
        <w:spacing w:line="240" w:lineRule="auto"/>
        <w:ind w:left="567" w:right="567"/>
        <w:rPr>
          <w:rFonts w:cs="Arial"/>
          <w:sz w:val="16"/>
          <w:szCs w:val="16"/>
        </w:rPr>
      </w:pPr>
      <w:r w:rsidRPr="00CC52BA">
        <w:rPr>
          <w:rFonts w:cs="Arial"/>
          <w:b/>
          <w:i/>
          <w:sz w:val="16"/>
          <w:szCs w:val="16"/>
        </w:rPr>
        <w:t>“</w:t>
      </w:r>
      <w:r w:rsidRPr="00CC52BA">
        <w:rPr>
          <w:rFonts w:cs="Arial"/>
          <w:b/>
          <w:i/>
          <w:sz w:val="16"/>
          <w:szCs w:val="16"/>
          <w:u w:val="single"/>
        </w:rPr>
        <w:t>PRIMERO</w:t>
      </w:r>
      <w:r w:rsidRPr="00CC52BA">
        <w:rPr>
          <w:rFonts w:cs="Arial"/>
          <w:b/>
          <w:i/>
          <w:sz w:val="16"/>
          <w:szCs w:val="16"/>
        </w:rPr>
        <w:t xml:space="preserve">.- </w:t>
      </w:r>
      <w:r w:rsidRPr="00CC52BA">
        <w:rPr>
          <w:rFonts w:cs="Arial"/>
          <w:i/>
          <w:sz w:val="16"/>
          <w:szCs w:val="16"/>
        </w:rPr>
        <w:t xml:space="preserve">La recurrente </w:t>
      </w:r>
      <w:r w:rsidRPr="00CC52BA">
        <w:rPr>
          <w:rFonts w:cs="Arial"/>
          <w:b/>
          <w:i/>
          <w:sz w:val="16"/>
          <w:szCs w:val="16"/>
        </w:rPr>
        <w:t xml:space="preserve">Telefónica del Perú Sociedad Anónima Abierta, </w:t>
      </w:r>
      <w:r w:rsidRPr="00CC52BA">
        <w:rPr>
          <w:rFonts w:cs="Arial"/>
          <w:i/>
          <w:sz w:val="16"/>
          <w:szCs w:val="16"/>
        </w:rPr>
        <w:t xml:space="preserve"> </w:t>
      </w:r>
      <w:r w:rsidRPr="00CC52BA">
        <w:rPr>
          <w:rFonts w:cs="Arial"/>
          <w:i/>
          <w:sz w:val="16"/>
          <w:szCs w:val="16"/>
          <w:u w:val="single"/>
        </w:rPr>
        <w:t>mediante escrito de fecha cuatro y dieciséis de abril del presente año</w:t>
      </w:r>
      <w:r w:rsidRPr="00CC52BA">
        <w:rPr>
          <w:rFonts w:cs="Arial"/>
          <w:i/>
          <w:sz w:val="16"/>
          <w:szCs w:val="16"/>
        </w:rPr>
        <w:t>, solicita que se oficie al Tribunal de Justicia de la Comunidad Andina, para que se emita interpretación prejudicial obligatoria, respecto de la presente controversia, en la cual – según su parecer – resultan aplicables las normas contenidas en la Decisión 462 y en la Decisión 707, y que según afirma son obligatorias para la continuación del presente proceso (…)</w:t>
      </w:r>
      <w:r w:rsidR="00F41763">
        <w:rPr>
          <w:rFonts w:cs="Arial"/>
          <w:i/>
          <w:sz w:val="16"/>
          <w:szCs w:val="16"/>
        </w:rPr>
        <w:t>.</w:t>
      </w:r>
      <w:r>
        <w:rPr>
          <w:rFonts w:cs="Arial"/>
          <w:i/>
          <w:sz w:val="16"/>
          <w:szCs w:val="16"/>
        </w:rPr>
        <w:t xml:space="preserve">” </w:t>
      </w:r>
      <w:r>
        <w:rPr>
          <w:rFonts w:cs="Arial"/>
          <w:sz w:val="16"/>
          <w:szCs w:val="16"/>
        </w:rPr>
        <w:t xml:space="preserve"> (El subrayado nos pertenece)</w:t>
      </w:r>
    </w:p>
  </w:footnote>
  <w:footnote w:id="44">
    <w:p w:rsidR="00070446" w:rsidRPr="003046CC" w:rsidRDefault="00070446" w:rsidP="000725EA">
      <w:pPr>
        <w:pStyle w:val="Textonotapie"/>
        <w:spacing w:line="240" w:lineRule="auto"/>
        <w:ind w:left="142" w:hanging="142"/>
        <w:contextualSpacing/>
        <w:rPr>
          <w:rFonts w:cs="Arial"/>
          <w:sz w:val="16"/>
          <w:szCs w:val="16"/>
        </w:rPr>
      </w:pPr>
      <w:r w:rsidRPr="003046CC">
        <w:rPr>
          <w:rStyle w:val="Refdenotaalpie"/>
          <w:rFonts w:cs="Arial"/>
          <w:sz w:val="16"/>
          <w:szCs w:val="16"/>
        </w:rPr>
        <w:footnoteRef/>
      </w:r>
      <w:r w:rsidRPr="003046CC">
        <w:rPr>
          <w:rFonts w:cs="Arial"/>
          <w:sz w:val="16"/>
          <w:szCs w:val="16"/>
        </w:rPr>
        <w:t xml:space="preserve"> Medio probatorio </w:t>
      </w:r>
      <w:r>
        <w:rPr>
          <w:rFonts w:cs="Arial"/>
          <w:sz w:val="16"/>
          <w:szCs w:val="16"/>
        </w:rPr>
        <w:t>presentado mediante el Anexo 2.2</w:t>
      </w:r>
      <w:r w:rsidRPr="003046CC">
        <w:rPr>
          <w:rFonts w:cs="Arial"/>
          <w:sz w:val="16"/>
          <w:szCs w:val="16"/>
        </w:rPr>
        <w:t xml:space="preserve"> del escrito de la reclamante, recibido por la SGCAN el 17 de mayo de 2018.</w:t>
      </w:r>
    </w:p>
  </w:footnote>
  <w:footnote w:id="45">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Sentencia de fecha 7 de julio de 2017 del Proceso 01-AI-2015.</w:t>
      </w:r>
    </w:p>
  </w:footnote>
  <w:footnote w:id="46">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w:t>
      </w:r>
      <w:r>
        <w:rPr>
          <w:sz w:val="16"/>
          <w:szCs w:val="16"/>
        </w:rPr>
        <w:t xml:space="preserve">, </w:t>
      </w:r>
      <w:r>
        <w:rPr>
          <w:rFonts w:cs="Arial"/>
          <w:sz w:val="16"/>
          <w:szCs w:val="16"/>
        </w:rPr>
        <w:t>p</w:t>
      </w:r>
      <w:r w:rsidRPr="003046CC">
        <w:rPr>
          <w:rFonts w:cs="Arial"/>
          <w:sz w:val="16"/>
          <w:szCs w:val="16"/>
        </w:rPr>
        <w:t>árrafo 5.2.3.</w:t>
      </w:r>
    </w:p>
  </w:footnote>
  <w:footnote w:id="47">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w:t>
      </w:r>
      <w:r>
        <w:rPr>
          <w:sz w:val="16"/>
          <w:szCs w:val="16"/>
        </w:rPr>
        <w:t xml:space="preserve">, </w:t>
      </w:r>
      <w:r>
        <w:rPr>
          <w:rFonts w:cs="Arial"/>
          <w:sz w:val="16"/>
          <w:szCs w:val="16"/>
        </w:rPr>
        <w:t>p</w:t>
      </w:r>
      <w:r w:rsidRPr="003046CC">
        <w:rPr>
          <w:rFonts w:cs="Arial"/>
          <w:sz w:val="16"/>
          <w:szCs w:val="16"/>
        </w:rPr>
        <w:t>árrafo 5.3.5.</w:t>
      </w:r>
    </w:p>
  </w:footnote>
  <w:footnote w:id="48">
    <w:p w:rsidR="006317CB" w:rsidRPr="003046CC" w:rsidRDefault="006317CB" w:rsidP="000725EA">
      <w:pPr>
        <w:pStyle w:val="Textonotapie"/>
        <w:spacing w:line="240" w:lineRule="auto"/>
        <w:ind w:left="142" w:hanging="142"/>
        <w:contextualSpacing/>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Escrito presentado por la empresa TELEFÓNICA DEL PERÚ S.A.A. el 20 de julio de 2018, “</w:t>
      </w:r>
      <w:r w:rsidRPr="00E61D33">
        <w:rPr>
          <w:sz w:val="16"/>
          <w:szCs w:val="16"/>
          <w:u w:val="single"/>
        </w:rPr>
        <w:t>Conclusiones de la reunión de información complementaria o facilitadora celebrada el 19 de julio de 2018</w:t>
      </w:r>
      <w:r w:rsidRPr="00E61D33">
        <w:rPr>
          <w:sz w:val="16"/>
          <w:szCs w:val="16"/>
        </w:rPr>
        <w:t>”, párrafo</w:t>
      </w:r>
      <w:r w:rsidRPr="003046CC">
        <w:rPr>
          <w:rFonts w:cs="Arial"/>
          <w:sz w:val="16"/>
          <w:szCs w:val="16"/>
        </w:rPr>
        <w:t xml:space="preserve"> 3.2.3.</w:t>
      </w:r>
    </w:p>
  </w:footnote>
  <w:footnote w:id="49">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w:t>
      </w:r>
      <w:r>
        <w:rPr>
          <w:sz w:val="16"/>
          <w:szCs w:val="16"/>
        </w:rPr>
        <w:t xml:space="preserve">, </w:t>
      </w:r>
      <w:r>
        <w:rPr>
          <w:rFonts w:cs="Arial"/>
          <w:sz w:val="16"/>
          <w:szCs w:val="16"/>
        </w:rPr>
        <w:t>p</w:t>
      </w:r>
      <w:r w:rsidRPr="003046CC">
        <w:rPr>
          <w:rFonts w:cs="Arial"/>
          <w:sz w:val="16"/>
          <w:szCs w:val="16"/>
        </w:rPr>
        <w:t>árrafo 5.3.12.</w:t>
      </w:r>
    </w:p>
  </w:footnote>
  <w:footnote w:id="50">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w:t>
      </w:r>
      <w:r>
        <w:rPr>
          <w:sz w:val="16"/>
          <w:szCs w:val="16"/>
        </w:rPr>
        <w:t xml:space="preserve">, </w:t>
      </w:r>
      <w:r>
        <w:rPr>
          <w:rFonts w:cs="Arial"/>
          <w:sz w:val="16"/>
          <w:szCs w:val="16"/>
        </w:rPr>
        <w:t>p</w:t>
      </w:r>
      <w:r w:rsidRPr="003046CC">
        <w:rPr>
          <w:rFonts w:cs="Arial"/>
          <w:sz w:val="16"/>
          <w:szCs w:val="16"/>
        </w:rPr>
        <w:t>árrafo 5.3</w:t>
      </w:r>
      <w:r>
        <w:rPr>
          <w:rFonts w:cs="Arial"/>
          <w:sz w:val="16"/>
          <w:szCs w:val="16"/>
        </w:rPr>
        <w:t>.21</w:t>
      </w:r>
      <w:r w:rsidRPr="003046CC">
        <w:rPr>
          <w:rFonts w:cs="Arial"/>
          <w:sz w:val="16"/>
          <w:szCs w:val="16"/>
        </w:rPr>
        <w:t>.</w:t>
      </w:r>
    </w:p>
  </w:footnote>
  <w:footnote w:id="51">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w:t>
      </w:r>
      <w:r>
        <w:rPr>
          <w:sz w:val="16"/>
          <w:szCs w:val="16"/>
        </w:rPr>
        <w:t xml:space="preserve">, </w:t>
      </w:r>
      <w:r>
        <w:rPr>
          <w:rFonts w:cs="Arial"/>
          <w:sz w:val="16"/>
          <w:szCs w:val="16"/>
        </w:rPr>
        <w:t>p</w:t>
      </w:r>
      <w:r w:rsidRPr="003046CC">
        <w:rPr>
          <w:rFonts w:cs="Arial"/>
          <w:sz w:val="16"/>
          <w:szCs w:val="16"/>
        </w:rPr>
        <w:t>árrafo 5.3.23.</w:t>
      </w:r>
    </w:p>
  </w:footnote>
  <w:footnote w:id="52">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w:t>
      </w:r>
      <w:r>
        <w:rPr>
          <w:sz w:val="16"/>
          <w:szCs w:val="16"/>
        </w:rPr>
        <w:t xml:space="preserve">, </w:t>
      </w:r>
      <w:r>
        <w:rPr>
          <w:rFonts w:cs="Arial"/>
          <w:sz w:val="16"/>
          <w:szCs w:val="16"/>
        </w:rPr>
        <w:t>p</w:t>
      </w:r>
      <w:r w:rsidRPr="003046CC">
        <w:rPr>
          <w:rFonts w:cs="Arial"/>
          <w:sz w:val="16"/>
          <w:szCs w:val="16"/>
        </w:rPr>
        <w:t xml:space="preserve">árrafo </w:t>
      </w:r>
      <w:r>
        <w:rPr>
          <w:rFonts w:cs="Arial"/>
          <w:sz w:val="16"/>
          <w:szCs w:val="16"/>
        </w:rPr>
        <w:t>5.4</w:t>
      </w:r>
      <w:r w:rsidRPr="003046CC">
        <w:rPr>
          <w:rFonts w:cs="Arial"/>
          <w:sz w:val="16"/>
          <w:szCs w:val="16"/>
        </w:rPr>
        <w:t>.</w:t>
      </w:r>
    </w:p>
  </w:footnote>
  <w:footnote w:id="53">
    <w:p w:rsidR="006317CB" w:rsidRPr="003046CC" w:rsidRDefault="006317CB" w:rsidP="003046CC">
      <w:pPr>
        <w:tabs>
          <w:tab w:val="left" w:pos="426"/>
        </w:tabs>
        <w:spacing w:line="240" w:lineRule="auto"/>
        <w:ind w:left="-11"/>
        <w:rPr>
          <w:rFonts w:cs="Arial"/>
          <w:color w:val="000000"/>
          <w:sz w:val="16"/>
          <w:szCs w:val="16"/>
        </w:rPr>
      </w:pPr>
      <w:r w:rsidRPr="003046CC">
        <w:rPr>
          <w:rStyle w:val="Refdenotaalpie"/>
          <w:rFonts w:cs="Arial"/>
          <w:sz w:val="16"/>
          <w:szCs w:val="16"/>
        </w:rPr>
        <w:footnoteRef/>
      </w:r>
      <w:r w:rsidRPr="003046CC">
        <w:rPr>
          <w:rFonts w:cs="Arial"/>
          <w:sz w:val="16"/>
          <w:szCs w:val="16"/>
        </w:rPr>
        <w:t xml:space="preserve"> Ello se ve reforzado con lo dispuesto en el Dictamen 02-2010 de fecha 24 de marzo de 2010, en donde esta SGCA señaló que: “</w:t>
      </w:r>
      <w:r w:rsidRPr="003046CC">
        <w:rPr>
          <w:rFonts w:cs="Arial"/>
          <w:i/>
          <w:sz w:val="16"/>
          <w:szCs w:val="16"/>
        </w:rPr>
        <w:t xml:space="preserve">(…), </w:t>
      </w:r>
      <w:r w:rsidRPr="003046CC">
        <w:rPr>
          <w:rFonts w:cs="Arial"/>
          <w:i/>
          <w:color w:val="000000"/>
          <w:sz w:val="16"/>
          <w:szCs w:val="16"/>
        </w:rPr>
        <w:t xml:space="preserve">tanto en la fase prejudicial como judicial, los órganos comunitarios: i) no tienen a su disposición todos los actuados del proceso judicial en sede nacional en el que se ha emitido una decisión o sentencia, por lo que una revisión de ésta en cuanto a la solución que ha proporcionado a determinada controversia podría afectar la observancia del principio de verdad procesal que exige que la verdad en un proceso surja de los medios probatorios y de lo actuado íntegramente en el mismo; ii) no se encuentran habilitados para confrontar a las partes del proceso judicial en sede nacional, por lo que una revisión de la decisión o sentencia del juez nacional en cuanto a la solución que éste ha proporcionado a determinada controversia podría afectar la observancia del principio de contradicción o audiencia bilateral que exige que todos los actos de un proceso deban realizarse con conocimiento de las partes; y, iii) no disponen de competencia para calificar los hechos materia del proceso judicial en sede nacional, calificación que tampoco corresponde al Tribunal de Justicia de </w:t>
      </w:r>
      <w:smartTag w:uri="urn:schemas-microsoft-com:office:smarttags" w:element="PersonName">
        <w:smartTagPr>
          <w:attr w:name="ProductID" w:val="la Comunidad Andina"/>
        </w:smartTagPr>
        <w:r w:rsidRPr="003046CC">
          <w:rPr>
            <w:rFonts w:cs="Arial"/>
            <w:i/>
            <w:color w:val="000000"/>
            <w:sz w:val="16"/>
            <w:szCs w:val="16"/>
          </w:rPr>
          <w:t>la Comunidad Andina</w:t>
        </w:r>
      </w:smartTag>
      <w:r w:rsidRPr="003046CC">
        <w:rPr>
          <w:rFonts w:cs="Arial"/>
          <w:i/>
          <w:color w:val="000000"/>
          <w:sz w:val="16"/>
          <w:szCs w:val="16"/>
        </w:rPr>
        <w:t xml:space="preserve"> en la tramitación de una solicitud de Interpretación Prejudicial aun cuando en este caso sí se dispone de un informe de los hechos que el juez nacional considera relevantes para la interpretación, lo que no ocurre en el contexto de una Acción de Incumplimiento</w:t>
      </w:r>
      <w:r w:rsidRPr="003046CC">
        <w:rPr>
          <w:rFonts w:cs="Arial"/>
          <w:color w:val="000000"/>
          <w:sz w:val="16"/>
          <w:szCs w:val="16"/>
        </w:rPr>
        <w:t>.”</w:t>
      </w:r>
    </w:p>
  </w:footnote>
  <w:footnote w:id="54">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Interpretación Prejudicial de fecha 26 de febrero de 1991 del Proceso 02-IP-91.</w:t>
      </w:r>
    </w:p>
  </w:footnote>
  <w:footnote w:id="55">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w:t>
      </w:r>
      <w:r>
        <w:rPr>
          <w:sz w:val="16"/>
          <w:szCs w:val="16"/>
        </w:rPr>
        <w:t xml:space="preserve">, </w:t>
      </w:r>
      <w:r>
        <w:rPr>
          <w:rFonts w:cs="Arial"/>
          <w:sz w:val="16"/>
          <w:szCs w:val="16"/>
        </w:rPr>
        <w:t>p</w:t>
      </w:r>
      <w:r w:rsidRPr="003046CC">
        <w:rPr>
          <w:rFonts w:cs="Arial"/>
          <w:sz w:val="16"/>
          <w:szCs w:val="16"/>
        </w:rPr>
        <w:t>árrafo 5.4.</w:t>
      </w:r>
    </w:p>
  </w:footnote>
  <w:footnote w:id="56">
    <w:p w:rsidR="006317CB" w:rsidRDefault="006317CB" w:rsidP="00686E1B">
      <w:pPr>
        <w:pStyle w:val="Textonotapie"/>
        <w:spacing w:line="240" w:lineRule="auto"/>
        <w:contextualSpacing/>
        <w:rPr>
          <w:rFonts w:cs="Arial"/>
          <w:sz w:val="16"/>
          <w:szCs w:val="16"/>
        </w:rPr>
      </w:pPr>
      <w:r w:rsidRPr="003046CC">
        <w:rPr>
          <w:rStyle w:val="Refdenotaalpie"/>
          <w:rFonts w:cs="Arial"/>
          <w:sz w:val="16"/>
          <w:szCs w:val="16"/>
        </w:rPr>
        <w:footnoteRef/>
      </w:r>
      <w:r w:rsidRPr="003046CC">
        <w:rPr>
          <w:rFonts w:cs="Arial"/>
          <w:sz w:val="16"/>
          <w:szCs w:val="16"/>
        </w:rPr>
        <w:t xml:space="preserve"> </w:t>
      </w:r>
      <w:r>
        <w:rPr>
          <w:rFonts w:cs="Arial"/>
          <w:sz w:val="16"/>
          <w:szCs w:val="16"/>
        </w:rPr>
        <w:t>El artículo 1 de la Decisión 462 establece:</w:t>
      </w:r>
    </w:p>
    <w:p w:rsidR="006317CB" w:rsidRDefault="006317CB" w:rsidP="00686E1B">
      <w:pPr>
        <w:pStyle w:val="Textonotapie"/>
        <w:spacing w:line="240" w:lineRule="auto"/>
        <w:contextualSpacing/>
        <w:rPr>
          <w:rFonts w:cs="Arial"/>
          <w:sz w:val="16"/>
          <w:szCs w:val="16"/>
        </w:rPr>
      </w:pPr>
    </w:p>
    <w:p w:rsidR="006317CB" w:rsidRPr="003046CC" w:rsidRDefault="006317CB" w:rsidP="00686E1B">
      <w:pPr>
        <w:pStyle w:val="Textonotapie"/>
        <w:spacing w:line="240" w:lineRule="auto"/>
        <w:ind w:left="567" w:right="567"/>
        <w:contextualSpacing/>
        <w:rPr>
          <w:rFonts w:cs="Arial"/>
          <w:sz w:val="16"/>
          <w:szCs w:val="16"/>
        </w:rPr>
      </w:pPr>
      <w:r w:rsidRPr="003046CC">
        <w:rPr>
          <w:rFonts w:cs="Arial"/>
          <w:i/>
          <w:sz w:val="16"/>
          <w:szCs w:val="16"/>
        </w:rPr>
        <w:t>“Artículo 1.</w:t>
      </w:r>
      <w:r w:rsidRPr="003046CC">
        <w:rPr>
          <w:rFonts w:cs="Arial"/>
          <w:i/>
          <w:sz w:val="16"/>
          <w:szCs w:val="16"/>
        </w:rPr>
        <w:noBreakHyphen/>
        <w:t xml:space="preserve"> Objetivo</w:t>
      </w:r>
    </w:p>
    <w:p w:rsidR="006317CB" w:rsidRPr="003046CC" w:rsidRDefault="006317CB" w:rsidP="00686E1B">
      <w:pPr>
        <w:tabs>
          <w:tab w:val="left" w:pos="425"/>
        </w:tabs>
        <w:spacing w:line="240" w:lineRule="auto"/>
        <w:ind w:left="567" w:right="567"/>
        <w:contextualSpacing/>
        <w:rPr>
          <w:rFonts w:cs="Arial"/>
          <w:i/>
          <w:sz w:val="16"/>
          <w:szCs w:val="16"/>
        </w:rPr>
      </w:pPr>
      <w:r w:rsidRPr="003046CC">
        <w:rPr>
          <w:rFonts w:cs="Arial"/>
          <w:i/>
          <w:sz w:val="16"/>
          <w:szCs w:val="16"/>
        </w:rPr>
        <w:t>La presente Decisión tiene como objetivo fomentar el proceso de liberalización progresiva del comercio de los servicios públicos de telecomunicaciones a fin de alcanzar la creación de un Mercado Común Andino de servicios, contribuyendo así al proceso de integración de la Subregión Andina.</w:t>
      </w:r>
    </w:p>
    <w:p w:rsidR="006317CB" w:rsidRPr="003046CC" w:rsidRDefault="006317CB" w:rsidP="00686E1B">
      <w:pPr>
        <w:tabs>
          <w:tab w:val="left" w:pos="425"/>
        </w:tabs>
        <w:spacing w:line="240" w:lineRule="auto"/>
        <w:ind w:left="567" w:right="567"/>
        <w:contextualSpacing/>
        <w:rPr>
          <w:rFonts w:cs="Arial"/>
          <w:i/>
          <w:sz w:val="16"/>
          <w:szCs w:val="16"/>
        </w:rPr>
      </w:pPr>
      <w:r w:rsidRPr="003046CC">
        <w:rPr>
          <w:rFonts w:cs="Arial"/>
          <w:i/>
          <w:sz w:val="16"/>
          <w:szCs w:val="16"/>
        </w:rPr>
        <w:t>Tendrá además los siguientes objetivos específicos:</w:t>
      </w:r>
    </w:p>
    <w:p w:rsidR="006317CB" w:rsidRPr="003046CC" w:rsidRDefault="006317CB" w:rsidP="00686E1B">
      <w:pPr>
        <w:tabs>
          <w:tab w:val="left" w:pos="425"/>
        </w:tabs>
        <w:spacing w:line="240" w:lineRule="auto"/>
        <w:ind w:left="567" w:right="567"/>
        <w:contextualSpacing/>
        <w:rPr>
          <w:rFonts w:cs="Arial"/>
          <w:i/>
          <w:sz w:val="16"/>
          <w:szCs w:val="16"/>
        </w:rPr>
      </w:pPr>
      <w:r w:rsidRPr="003046CC">
        <w:rPr>
          <w:rFonts w:cs="Arial"/>
          <w:i/>
          <w:sz w:val="16"/>
          <w:szCs w:val="16"/>
        </w:rPr>
        <w:t>a) Eliminar las restricciones y obstáculos al libre comercio de los servicios públicos de telecomunicaciones, de acuerdo al cronograma establecido en la presente Decisión;</w:t>
      </w:r>
    </w:p>
    <w:p w:rsidR="006317CB" w:rsidRPr="003046CC" w:rsidRDefault="006317CB" w:rsidP="00686E1B">
      <w:pPr>
        <w:tabs>
          <w:tab w:val="left" w:pos="425"/>
        </w:tabs>
        <w:spacing w:line="240" w:lineRule="auto"/>
        <w:ind w:left="567" w:right="567"/>
        <w:contextualSpacing/>
        <w:rPr>
          <w:rFonts w:cs="Arial"/>
          <w:i/>
          <w:sz w:val="16"/>
          <w:szCs w:val="16"/>
        </w:rPr>
      </w:pPr>
      <w:r w:rsidRPr="003046CC">
        <w:rPr>
          <w:rFonts w:cs="Arial"/>
          <w:i/>
          <w:sz w:val="16"/>
          <w:szCs w:val="16"/>
        </w:rPr>
        <w:t>b) Propiciar la armonización de las normas necesarias para la conformación del Mercado Común Andino de telecomunicaciones;</w:t>
      </w:r>
    </w:p>
    <w:p w:rsidR="006317CB" w:rsidRPr="003046CC" w:rsidRDefault="006317CB" w:rsidP="00686E1B">
      <w:pPr>
        <w:tabs>
          <w:tab w:val="left" w:pos="425"/>
        </w:tabs>
        <w:spacing w:line="240" w:lineRule="auto"/>
        <w:ind w:left="567" w:right="567"/>
        <w:contextualSpacing/>
        <w:rPr>
          <w:rFonts w:cs="Arial"/>
          <w:i/>
          <w:sz w:val="16"/>
          <w:szCs w:val="16"/>
        </w:rPr>
      </w:pPr>
      <w:r w:rsidRPr="003046CC">
        <w:rPr>
          <w:rFonts w:cs="Arial"/>
          <w:i/>
          <w:sz w:val="16"/>
          <w:szCs w:val="16"/>
        </w:rPr>
        <w:t>c) Proponer definiciones comunes de los servicios de telecomunicaciones en los Países Miembros;</w:t>
      </w:r>
    </w:p>
    <w:p w:rsidR="006317CB" w:rsidRDefault="006317CB" w:rsidP="00686E1B">
      <w:pPr>
        <w:tabs>
          <w:tab w:val="left" w:pos="425"/>
        </w:tabs>
        <w:spacing w:line="240" w:lineRule="auto"/>
        <w:ind w:left="567" w:right="567"/>
        <w:contextualSpacing/>
        <w:rPr>
          <w:rFonts w:cs="Arial"/>
          <w:i/>
          <w:sz w:val="16"/>
          <w:szCs w:val="16"/>
        </w:rPr>
      </w:pPr>
      <w:r w:rsidRPr="003046CC">
        <w:rPr>
          <w:rFonts w:cs="Arial"/>
          <w:i/>
          <w:sz w:val="16"/>
          <w:szCs w:val="16"/>
        </w:rPr>
        <w:t>d) Propiciar la inversión en los servicios de telecomunicaciones en los Países Miembros.”</w:t>
      </w:r>
    </w:p>
    <w:p w:rsidR="006317CB" w:rsidRPr="003046CC" w:rsidRDefault="006317CB" w:rsidP="00686E1B">
      <w:pPr>
        <w:tabs>
          <w:tab w:val="left" w:pos="425"/>
        </w:tabs>
        <w:spacing w:line="240" w:lineRule="auto"/>
        <w:ind w:left="567" w:right="567"/>
        <w:contextualSpacing/>
        <w:rPr>
          <w:rFonts w:cs="Arial"/>
          <w:i/>
          <w:sz w:val="16"/>
          <w:szCs w:val="16"/>
        </w:rPr>
      </w:pPr>
    </w:p>
  </w:footnote>
  <w:footnote w:id="57">
    <w:p w:rsidR="006317CB" w:rsidRDefault="006317CB" w:rsidP="00686E1B">
      <w:pPr>
        <w:tabs>
          <w:tab w:val="left" w:pos="425"/>
        </w:tabs>
        <w:spacing w:line="240" w:lineRule="auto"/>
        <w:contextualSpacing/>
        <w:rPr>
          <w:rFonts w:cs="Arial"/>
          <w:sz w:val="16"/>
          <w:szCs w:val="16"/>
        </w:rPr>
      </w:pPr>
      <w:r w:rsidRPr="003046CC">
        <w:rPr>
          <w:rStyle w:val="Refdenotaalpie"/>
          <w:rFonts w:cs="Arial"/>
          <w:sz w:val="16"/>
          <w:szCs w:val="16"/>
        </w:rPr>
        <w:footnoteRef/>
      </w:r>
      <w:r w:rsidRPr="003046CC">
        <w:rPr>
          <w:rFonts w:cs="Arial"/>
          <w:sz w:val="16"/>
          <w:szCs w:val="16"/>
        </w:rPr>
        <w:t xml:space="preserve"> </w:t>
      </w:r>
      <w:r>
        <w:rPr>
          <w:rFonts w:cs="Arial"/>
          <w:sz w:val="16"/>
          <w:szCs w:val="16"/>
        </w:rPr>
        <w:t>El artículo 3 de la Decisión 462 establece:</w:t>
      </w:r>
    </w:p>
    <w:p w:rsidR="006317CB" w:rsidRPr="000725EA" w:rsidRDefault="006317CB" w:rsidP="00686E1B">
      <w:pPr>
        <w:tabs>
          <w:tab w:val="left" w:pos="425"/>
        </w:tabs>
        <w:spacing w:line="240" w:lineRule="auto"/>
        <w:contextualSpacing/>
        <w:rPr>
          <w:rFonts w:cs="Arial"/>
          <w:sz w:val="12"/>
          <w:szCs w:val="12"/>
        </w:rPr>
      </w:pPr>
    </w:p>
    <w:p w:rsidR="006317CB" w:rsidRPr="003046CC" w:rsidRDefault="006317CB" w:rsidP="00686E1B">
      <w:pPr>
        <w:tabs>
          <w:tab w:val="left" w:pos="425"/>
        </w:tabs>
        <w:spacing w:line="240" w:lineRule="auto"/>
        <w:ind w:left="567" w:right="567"/>
        <w:contextualSpacing/>
        <w:rPr>
          <w:rFonts w:cs="Arial"/>
          <w:i/>
          <w:sz w:val="16"/>
          <w:szCs w:val="16"/>
        </w:rPr>
      </w:pPr>
      <w:r w:rsidRPr="003046CC">
        <w:rPr>
          <w:rFonts w:cs="Arial"/>
          <w:i/>
          <w:sz w:val="16"/>
          <w:szCs w:val="16"/>
        </w:rPr>
        <w:t>“Artículo 3.</w:t>
      </w:r>
      <w:r w:rsidRPr="003046CC">
        <w:rPr>
          <w:rFonts w:cs="Arial"/>
          <w:i/>
          <w:sz w:val="16"/>
          <w:szCs w:val="16"/>
        </w:rPr>
        <w:noBreakHyphen/>
        <w:t xml:space="preserve"> Alcance</w:t>
      </w:r>
    </w:p>
    <w:p w:rsidR="006317CB" w:rsidRPr="003046CC" w:rsidRDefault="006317CB" w:rsidP="00686E1B">
      <w:pPr>
        <w:tabs>
          <w:tab w:val="left" w:pos="425"/>
        </w:tabs>
        <w:spacing w:line="240" w:lineRule="auto"/>
        <w:ind w:left="567" w:right="567"/>
        <w:contextualSpacing/>
        <w:rPr>
          <w:rFonts w:cs="Arial"/>
          <w:i/>
          <w:sz w:val="16"/>
          <w:szCs w:val="16"/>
        </w:rPr>
      </w:pPr>
      <w:r w:rsidRPr="003046CC">
        <w:rPr>
          <w:rFonts w:cs="Arial"/>
          <w:i/>
          <w:sz w:val="16"/>
          <w:szCs w:val="16"/>
        </w:rPr>
        <w:t>La presente Decisión abarca todos los servicios de telecomunicaciones y todos los modos de prestación, excepto los servicios de radiodifusión sonora y televisión.”</w:t>
      </w:r>
    </w:p>
  </w:footnote>
  <w:footnote w:id="58">
    <w:p w:rsidR="006317CB" w:rsidRPr="003046CC" w:rsidRDefault="006317CB" w:rsidP="000725EA">
      <w:pPr>
        <w:pStyle w:val="Textonotapie"/>
        <w:spacing w:before="120" w:line="240" w:lineRule="auto"/>
        <w:ind w:left="142" w:hanging="142"/>
        <w:rPr>
          <w:rFonts w:cs="Arial"/>
          <w:i/>
          <w:sz w:val="16"/>
          <w:szCs w:val="16"/>
        </w:rPr>
      </w:pPr>
      <w:r w:rsidRPr="003046CC">
        <w:rPr>
          <w:rStyle w:val="Refdenotaalpie"/>
          <w:rFonts w:cs="Arial"/>
          <w:sz w:val="16"/>
          <w:szCs w:val="16"/>
        </w:rPr>
        <w:footnoteRef/>
      </w:r>
      <w:r w:rsidRPr="003046CC">
        <w:rPr>
          <w:rFonts w:cs="Arial"/>
          <w:sz w:val="16"/>
          <w:szCs w:val="16"/>
        </w:rPr>
        <w:t xml:space="preserve"> En la Interpretación Prejudicial de fecha del Proceso 89-IP-2013, el TJCA señaló que </w:t>
      </w:r>
      <w:r w:rsidRPr="003046CC">
        <w:rPr>
          <w:rFonts w:cs="Arial"/>
          <w:i/>
          <w:sz w:val="16"/>
          <w:szCs w:val="16"/>
        </w:rPr>
        <w:t>“[e]s importante aclarar en este punto que la “simple remisión” que la normativa comunitaria hace de la UIT y OMC, es un mero complemento a la regulación comunitaria andina en cuanto a la definición de ciertos términos (artículos 1 de la Decisión 462 y 2 de la Resolución 432). Esto no implica que se deban adoptar obligatoriamente las definiciones de la UIT, ya que deben ser consecuentes con las bases axiológicas de la normativa andina sobre la materia. Además, si entran en contradicción con la normativa comunitaria, sobre la base del principio de primacía, resultarían ser inaplicables. Por tal motivo, la autoridad competente deberá analizar si las definiciones o conceptos potencialmente aplicables podrían reñir con el sistema comunitario andino.</w:t>
      </w:r>
      <w:r w:rsidRPr="003046CC">
        <w:rPr>
          <w:rFonts w:cs="Arial"/>
          <w:sz w:val="16"/>
          <w:szCs w:val="16"/>
        </w:rPr>
        <w:t>”</w:t>
      </w:r>
    </w:p>
  </w:footnote>
  <w:footnote w:id="59">
    <w:p w:rsidR="006317CB" w:rsidRPr="003046CC" w:rsidRDefault="006317CB" w:rsidP="000725EA">
      <w:pPr>
        <w:widowControl/>
        <w:tabs>
          <w:tab w:val="left" w:pos="567"/>
        </w:tabs>
        <w:adjustRightInd/>
        <w:spacing w:line="240" w:lineRule="auto"/>
        <w:ind w:left="142" w:hanging="142"/>
        <w:textAlignment w:val="auto"/>
        <w:rPr>
          <w:rFonts w:cs="Arial"/>
          <w:bCs/>
          <w:snapToGrid w:val="0"/>
          <w:sz w:val="16"/>
          <w:szCs w:val="16"/>
        </w:rPr>
      </w:pPr>
      <w:r w:rsidRPr="003046CC">
        <w:rPr>
          <w:rStyle w:val="Refdenotaalpie"/>
          <w:rFonts w:cs="Arial"/>
          <w:sz w:val="16"/>
          <w:szCs w:val="16"/>
        </w:rPr>
        <w:footnoteRef/>
      </w:r>
      <w:r w:rsidRPr="003046CC">
        <w:rPr>
          <w:rFonts w:cs="Arial"/>
          <w:sz w:val="16"/>
          <w:szCs w:val="16"/>
        </w:rPr>
        <w:t xml:space="preserve"> En la Sentencia Casación No. 474-2016</w:t>
      </w:r>
      <w:r>
        <w:rPr>
          <w:rFonts w:cs="Arial"/>
          <w:sz w:val="16"/>
          <w:szCs w:val="16"/>
        </w:rPr>
        <w:t xml:space="preserve"> (página 40)</w:t>
      </w:r>
      <w:r w:rsidRPr="003046CC">
        <w:rPr>
          <w:rFonts w:cs="Arial"/>
          <w:sz w:val="16"/>
          <w:szCs w:val="16"/>
        </w:rPr>
        <w:t xml:space="preserve"> la Corte Suprema señala que </w:t>
      </w:r>
      <w:r w:rsidRPr="003046CC">
        <w:rPr>
          <w:rFonts w:cs="Arial"/>
          <w:bCs/>
          <w:snapToGrid w:val="0"/>
          <w:sz w:val="16"/>
          <w:szCs w:val="16"/>
        </w:rPr>
        <w:t>los bienes espectro radioeléctrico y estación terrena fueron utilizados económicamente en el país para que se lleve a cabo la actividad económica (servicio de capacidad satelital), y, en consecuencia, el pago realizado por TELEFÓNICA por concepto de la operación de capacidad satelital constituye renta de fuente peruana.</w:t>
      </w:r>
    </w:p>
  </w:footnote>
  <w:footnote w:id="60">
    <w:p w:rsidR="006317CB" w:rsidRPr="003046CC" w:rsidRDefault="006317CB" w:rsidP="000725EA">
      <w:pPr>
        <w:pStyle w:val="Prrafodelista"/>
        <w:widowControl/>
        <w:adjustRightInd/>
        <w:spacing w:line="240" w:lineRule="auto"/>
        <w:ind w:left="142" w:hanging="142"/>
        <w:contextualSpacing w:val="0"/>
        <w:textAlignment w:val="auto"/>
        <w:rPr>
          <w:rFonts w:cs="Arial"/>
          <w:sz w:val="16"/>
          <w:szCs w:val="16"/>
        </w:rPr>
      </w:pPr>
      <w:r w:rsidRPr="003046CC">
        <w:rPr>
          <w:rStyle w:val="Refdenotaalpie"/>
          <w:rFonts w:cs="Arial"/>
          <w:sz w:val="16"/>
          <w:szCs w:val="16"/>
        </w:rPr>
        <w:footnoteRef/>
      </w:r>
      <w:r>
        <w:rPr>
          <w:rFonts w:cs="Arial"/>
          <w:sz w:val="16"/>
          <w:szCs w:val="16"/>
        </w:rPr>
        <w:t xml:space="preserve"> </w:t>
      </w:r>
      <w:r w:rsidRPr="003046CC">
        <w:rPr>
          <w:rFonts w:cs="Arial"/>
          <w:sz w:val="16"/>
          <w:szCs w:val="16"/>
        </w:rPr>
        <w:t xml:space="preserve">Cabe mencionar que la Secretaría General, como órgano administrativo, debe poder tramitar y encausar los procedimientos ante ella iniciados, y resolver conforme a derecho sobre el fondo de los mismos; lo cual implica necesariamente una actividad de </w:t>
      </w:r>
      <w:r w:rsidRPr="003046CC">
        <w:rPr>
          <w:rFonts w:cs="Arial"/>
          <w:b/>
          <w:sz w:val="16"/>
          <w:szCs w:val="16"/>
          <w:u w:val="single"/>
        </w:rPr>
        <w:t>interpretación del orden jurídico comunitario</w:t>
      </w:r>
      <w:r w:rsidRPr="003046CC">
        <w:rPr>
          <w:rFonts w:cs="Arial"/>
          <w:sz w:val="16"/>
          <w:szCs w:val="16"/>
        </w:rPr>
        <w:t xml:space="preserve">. Ello no puede confundirse con el ejercicio interpretativo que lleva adelante el TJCA con carácter de cosa juzgada en el marco de un procedimiento judicial y en particular en el de la interpretación prejudicial; tal como lo ha establecido el TJCA: </w:t>
      </w:r>
      <w:r w:rsidRPr="003046CC">
        <w:rPr>
          <w:rFonts w:cs="Arial"/>
          <w:i/>
          <w:sz w:val="16"/>
          <w:szCs w:val="16"/>
        </w:rPr>
        <w:t>“</w:t>
      </w:r>
      <w:r w:rsidRPr="003046CC">
        <w:rPr>
          <w:rFonts w:cs="Arial"/>
          <w:b/>
          <w:i/>
          <w:sz w:val="16"/>
          <w:szCs w:val="16"/>
          <w:u w:val="single"/>
        </w:rPr>
        <w:t>No cabe duda tampoco de la necesidad que tiene la Secretaría General de hacer interpretación de la norma comunitaria</w:t>
      </w:r>
      <w:r w:rsidRPr="003046CC">
        <w:rPr>
          <w:rFonts w:cs="Arial"/>
          <w:i/>
          <w:sz w:val="16"/>
          <w:szCs w:val="16"/>
        </w:rPr>
        <w:t xml:space="preserve"> para pronunciar su juicio acerca de la apertura y desarrollo de la investigación disciplinada por la Decisión 283, así como en torno a la procedencia y nivel de los derechos antidumping que establezca en la Resolución definitiva, puesto que la aplicación de la Decisión citada, por parte del órgano administrativo competente, presupone, por razones lógicas, la determinación de su significado y alcance. Y </w:t>
      </w:r>
      <w:r w:rsidRPr="003046CC">
        <w:rPr>
          <w:rFonts w:cs="Arial"/>
          <w:b/>
          <w:i/>
          <w:sz w:val="16"/>
          <w:szCs w:val="16"/>
          <w:u w:val="single"/>
        </w:rPr>
        <w:t>la interpretación jurídica que hace la Secretaría General, en sede administrativa, no impide ni se confunde con la que este Tribunal lleva a cabo en los juicios que pronuncia en torno a las solicitudes de interpretación prejudicial y a las controversias sometidas a su conocimiento, visto que, a diferencia de los que se encuentran a cargo de la autoridad administrativa, los pronunciamientos del Tribunal tienen autoridad de cosa juzgada</w:t>
      </w:r>
      <w:r w:rsidRPr="003046CC">
        <w:rPr>
          <w:rFonts w:cs="Arial"/>
          <w:sz w:val="16"/>
          <w:szCs w:val="16"/>
        </w:rPr>
        <w:t>.</w:t>
      </w:r>
      <w:r w:rsidRPr="00B22A27">
        <w:rPr>
          <w:rFonts w:cs="Arial"/>
          <w:sz w:val="16"/>
          <w:szCs w:val="16"/>
        </w:rPr>
        <w:t>”</w:t>
      </w:r>
      <w:r w:rsidRPr="00B22A27">
        <w:rPr>
          <w:rStyle w:val="Refdenotaalpie"/>
          <w:rFonts w:cs="Arial"/>
          <w:i/>
          <w:sz w:val="16"/>
          <w:szCs w:val="16"/>
        </w:rPr>
        <w:footnoteRef/>
      </w:r>
      <w:r w:rsidRPr="003046CC">
        <w:rPr>
          <w:rFonts w:cs="Arial"/>
          <w:sz w:val="16"/>
          <w:szCs w:val="16"/>
        </w:rPr>
        <w:t xml:space="preserve"> (Énfasis agregado)</w:t>
      </w:r>
    </w:p>
  </w:footnote>
  <w:footnote w:id="61">
    <w:p w:rsidR="006317CB" w:rsidRPr="003046CC" w:rsidRDefault="006317CB" w:rsidP="00987445">
      <w:pPr>
        <w:pStyle w:val="Textonotapie"/>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Interpretación Prejudicial de fecha </w:t>
      </w:r>
      <w:r>
        <w:rPr>
          <w:rFonts w:cs="Arial"/>
          <w:sz w:val="16"/>
          <w:szCs w:val="16"/>
        </w:rPr>
        <w:t xml:space="preserve">7 de agosto de 1995 </w:t>
      </w:r>
      <w:r w:rsidRPr="003046CC">
        <w:rPr>
          <w:rFonts w:cs="Arial"/>
          <w:sz w:val="16"/>
          <w:szCs w:val="16"/>
        </w:rPr>
        <w:t xml:space="preserve">del Proceso 4-IP-94 e Interpretación </w:t>
      </w:r>
      <w:r>
        <w:rPr>
          <w:rFonts w:cs="Arial"/>
          <w:sz w:val="16"/>
          <w:szCs w:val="16"/>
        </w:rPr>
        <w:t>P</w:t>
      </w:r>
      <w:r w:rsidRPr="003046CC">
        <w:rPr>
          <w:rFonts w:cs="Arial"/>
          <w:sz w:val="16"/>
          <w:szCs w:val="16"/>
        </w:rPr>
        <w:t>rejudicial de fecha 3 de diciembre de 1987 del Proceso 1-IP-87.</w:t>
      </w:r>
    </w:p>
  </w:footnote>
  <w:footnote w:id="62">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Interpretación Prejudicial de fecha 7 de agosto de 1995 del Proceso 04-IP-94.</w:t>
      </w:r>
    </w:p>
  </w:footnote>
  <w:footnote w:id="63">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Reclamo presentado por la empresa TELEFÓNICA DEL PERÚ S.A.A. el 4 de mayo de 2018</w:t>
      </w:r>
      <w:r>
        <w:rPr>
          <w:sz w:val="16"/>
          <w:szCs w:val="16"/>
        </w:rPr>
        <w:t xml:space="preserve">, </w:t>
      </w:r>
      <w:r>
        <w:rPr>
          <w:rFonts w:cs="Arial"/>
          <w:sz w:val="16"/>
          <w:szCs w:val="16"/>
        </w:rPr>
        <w:t>p</w:t>
      </w:r>
      <w:r w:rsidRPr="003046CC">
        <w:rPr>
          <w:rFonts w:cs="Arial"/>
          <w:sz w:val="16"/>
          <w:szCs w:val="16"/>
        </w:rPr>
        <w:t>árraf</w:t>
      </w:r>
      <w:r>
        <w:rPr>
          <w:rFonts w:cs="Arial"/>
          <w:sz w:val="16"/>
          <w:szCs w:val="16"/>
        </w:rPr>
        <w:t>o 5.5</w:t>
      </w:r>
      <w:r w:rsidRPr="003046CC">
        <w:rPr>
          <w:rFonts w:cs="Arial"/>
          <w:sz w:val="16"/>
          <w:szCs w:val="16"/>
        </w:rPr>
        <w:t>.</w:t>
      </w:r>
    </w:p>
  </w:footnote>
  <w:footnote w:id="64">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Contestación del gobierno del Perú al reclamo presentado por la empresa TELEFÓNICA DEL PERÚ S.A.A., párrafo</w:t>
      </w:r>
      <w:r w:rsidRPr="003046CC">
        <w:rPr>
          <w:rFonts w:cs="Arial"/>
          <w:sz w:val="16"/>
          <w:szCs w:val="16"/>
        </w:rPr>
        <w:t xml:space="preserve"> 100.</w:t>
      </w:r>
    </w:p>
  </w:footnote>
  <w:footnote w:id="65">
    <w:p w:rsidR="006317CB" w:rsidRPr="003046CC" w:rsidRDefault="006317CB" w:rsidP="003046CC">
      <w:pPr>
        <w:pStyle w:val="Textonotapie"/>
        <w:spacing w:line="240" w:lineRule="auto"/>
        <w:rPr>
          <w:rFonts w:cs="Arial"/>
          <w:sz w:val="16"/>
          <w:szCs w:val="16"/>
        </w:rPr>
      </w:pPr>
      <w:r w:rsidRPr="003046CC">
        <w:rPr>
          <w:rStyle w:val="Refdenotaalpie"/>
          <w:rFonts w:cs="Arial"/>
          <w:sz w:val="16"/>
          <w:szCs w:val="16"/>
        </w:rPr>
        <w:footnoteRef/>
      </w:r>
      <w:r w:rsidRPr="003046CC">
        <w:rPr>
          <w:rFonts w:cs="Arial"/>
          <w:sz w:val="16"/>
          <w:szCs w:val="16"/>
        </w:rPr>
        <w:t xml:space="preserve"> </w:t>
      </w:r>
      <w:r w:rsidRPr="00E61D33">
        <w:rPr>
          <w:sz w:val="16"/>
          <w:szCs w:val="16"/>
        </w:rPr>
        <w:t>Contestación del gobierno del Perú al reclamo presentado por la empresa TELEFÓNICA DEL PERÚ S.A.A., párrafo</w:t>
      </w:r>
      <w:r w:rsidRPr="003046CC">
        <w:rPr>
          <w:rFonts w:cs="Arial"/>
          <w:sz w:val="16"/>
          <w:szCs w:val="16"/>
        </w:rPr>
        <w:t xml:space="preserve"> 102.</w:t>
      </w:r>
    </w:p>
  </w:footnote>
  <w:footnote w:id="66">
    <w:p w:rsidR="006317CB" w:rsidRPr="003046CC" w:rsidRDefault="006317CB" w:rsidP="00987445">
      <w:pPr>
        <w:pStyle w:val="Textonotapie"/>
        <w:spacing w:line="240" w:lineRule="auto"/>
        <w:ind w:left="142" w:hanging="142"/>
        <w:rPr>
          <w:rFonts w:cs="Arial"/>
          <w:sz w:val="16"/>
          <w:szCs w:val="16"/>
        </w:rPr>
      </w:pPr>
      <w:r w:rsidRPr="003046CC">
        <w:rPr>
          <w:rStyle w:val="Refdenotaalpie"/>
          <w:rFonts w:cs="Arial"/>
          <w:sz w:val="16"/>
          <w:szCs w:val="16"/>
        </w:rPr>
        <w:footnoteRef/>
      </w:r>
      <w:r w:rsidRPr="003046CC">
        <w:rPr>
          <w:rFonts w:cs="Arial"/>
          <w:sz w:val="16"/>
          <w:szCs w:val="16"/>
        </w:rPr>
        <w:t xml:space="preserve"> </w:t>
      </w:r>
      <w:r w:rsidR="00071F31" w:rsidRPr="003046CC">
        <w:rPr>
          <w:rFonts w:cs="Arial"/>
          <w:sz w:val="16"/>
          <w:szCs w:val="16"/>
        </w:rPr>
        <w:t xml:space="preserve">Sentencia de fecha 24 de noviembre de 2000 del </w:t>
      </w:r>
      <w:r w:rsidR="00071F31">
        <w:rPr>
          <w:rFonts w:cs="Arial"/>
          <w:bCs/>
          <w:color w:val="000000"/>
          <w:sz w:val="16"/>
          <w:szCs w:val="16"/>
        </w:rPr>
        <w:t>Proceso 16-AI-2000. Citada en la Sentencia de fecha 27 de agosto de 2003 del Proceso 52-AI-2002.</w:t>
      </w:r>
    </w:p>
  </w:footnote>
  <w:footnote w:id="67">
    <w:p w:rsidR="006317CB" w:rsidRPr="00E61D33" w:rsidRDefault="006317CB" w:rsidP="00987445">
      <w:pPr>
        <w:pStyle w:val="Textonotapie"/>
        <w:spacing w:line="240" w:lineRule="auto"/>
        <w:ind w:left="142" w:hanging="142"/>
        <w:rPr>
          <w:sz w:val="16"/>
          <w:szCs w:val="16"/>
        </w:rPr>
      </w:pPr>
      <w:r w:rsidRPr="00E61D33">
        <w:rPr>
          <w:rStyle w:val="Refdenotaalpie"/>
          <w:sz w:val="16"/>
          <w:szCs w:val="16"/>
        </w:rPr>
        <w:footnoteRef/>
      </w:r>
      <w:r w:rsidRPr="00E61D33">
        <w:rPr>
          <w:sz w:val="16"/>
          <w:szCs w:val="16"/>
        </w:rPr>
        <w:t xml:space="preserve"> Escrito presentado por la empresa TELEFÓNICA DEL PERÚ S.A.A. el 14 de junio de 2018, “</w:t>
      </w:r>
      <w:r w:rsidRPr="00E61D33">
        <w:rPr>
          <w:sz w:val="16"/>
          <w:szCs w:val="16"/>
          <w:u w:val="single"/>
        </w:rPr>
        <w:t>Comentarios de Telefónica del Perú a la comunicación SG/E/SJ/1051/2015 por la cual se retiró la calificación de flagrancia</w:t>
      </w:r>
      <w:r>
        <w:rPr>
          <w:sz w:val="16"/>
          <w:szCs w:val="16"/>
        </w:rPr>
        <w:t>”, párrafo 2.5.</w:t>
      </w:r>
    </w:p>
  </w:footnote>
  <w:footnote w:id="68">
    <w:p w:rsidR="006317CB" w:rsidRPr="00E61D33" w:rsidRDefault="006317CB" w:rsidP="00987445">
      <w:pPr>
        <w:pStyle w:val="Textonotapie"/>
        <w:spacing w:line="240" w:lineRule="auto"/>
        <w:ind w:left="142" w:hanging="142"/>
        <w:rPr>
          <w:sz w:val="16"/>
          <w:szCs w:val="16"/>
        </w:rPr>
      </w:pPr>
      <w:r w:rsidRPr="00E61D33">
        <w:rPr>
          <w:rStyle w:val="Refdenotaalpie"/>
          <w:sz w:val="16"/>
          <w:szCs w:val="16"/>
        </w:rPr>
        <w:footnoteRef/>
      </w:r>
      <w:r w:rsidRPr="00E61D33">
        <w:rPr>
          <w:sz w:val="16"/>
          <w:szCs w:val="16"/>
        </w:rPr>
        <w:t xml:space="preserve"> Escrito presentado por la empresa TELEFÓNICA DEL PERÚ S.A.A. el 14 de junio de 2018, “</w:t>
      </w:r>
      <w:r w:rsidRPr="00E61D33">
        <w:rPr>
          <w:sz w:val="16"/>
          <w:szCs w:val="16"/>
          <w:u w:val="single"/>
        </w:rPr>
        <w:t>Comentarios de Telefónica del Perú a la comunicación SG/E/SJ/1051/2015 por la cual se retiró la calificación de flagrancia</w:t>
      </w:r>
      <w:r>
        <w:rPr>
          <w:sz w:val="16"/>
          <w:szCs w:val="16"/>
        </w:rPr>
        <w:t>”, párrafo 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885"/>
    <w:multiLevelType w:val="hybridMultilevel"/>
    <w:tmpl w:val="4CA85494"/>
    <w:lvl w:ilvl="0" w:tplc="6E82D026">
      <w:start w:val="1"/>
      <w:numFmt w:val="decimal"/>
      <w:lvlText w:val="[%1]"/>
      <w:lvlJc w:val="left"/>
      <w:pPr>
        <w:ind w:left="1495"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0E6CA5"/>
    <w:multiLevelType w:val="hybridMultilevel"/>
    <w:tmpl w:val="D110D30A"/>
    <w:lvl w:ilvl="0" w:tplc="90D0F53E">
      <w:start w:val="1"/>
      <w:numFmt w:val="lowerRoman"/>
      <w:lvlText w:val="%1)"/>
      <w:lvlJc w:val="left"/>
      <w:pPr>
        <w:ind w:left="708" w:hanging="720"/>
      </w:pPr>
      <w:rPr>
        <w:rFonts w:hint="default"/>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2">
    <w:nsid w:val="0E2A0804"/>
    <w:multiLevelType w:val="hybridMultilevel"/>
    <w:tmpl w:val="78503516"/>
    <w:lvl w:ilvl="0" w:tplc="280A0001">
      <w:start w:val="1"/>
      <w:numFmt w:val="bullet"/>
      <w:lvlText w:val=""/>
      <w:lvlJc w:val="left"/>
      <w:pPr>
        <w:ind w:left="708" w:hanging="360"/>
      </w:pPr>
      <w:rPr>
        <w:rFonts w:ascii="Symbol" w:hAnsi="Symbol" w:hint="default"/>
      </w:rPr>
    </w:lvl>
    <w:lvl w:ilvl="1" w:tplc="280A0003" w:tentative="1">
      <w:start w:val="1"/>
      <w:numFmt w:val="bullet"/>
      <w:lvlText w:val="o"/>
      <w:lvlJc w:val="left"/>
      <w:pPr>
        <w:ind w:left="1428" w:hanging="360"/>
      </w:pPr>
      <w:rPr>
        <w:rFonts w:ascii="Courier New" w:hAnsi="Courier New" w:cs="Courier New" w:hint="default"/>
      </w:rPr>
    </w:lvl>
    <w:lvl w:ilvl="2" w:tplc="280A0005" w:tentative="1">
      <w:start w:val="1"/>
      <w:numFmt w:val="bullet"/>
      <w:lvlText w:val=""/>
      <w:lvlJc w:val="left"/>
      <w:pPr>
        <w:ind w:left="2148" w:hanging="360"/>
      </w:pPr>
      <w:rPr>
        <w:rFonts w:ascii="Wingdings" w:hAnsi="Wingdings" w:hint="default"/>
      </w:rPr>
    </w:lvl>
    <w:lvl w:ilvl="3" w:tplc="280A0001" w:tentative="1">
      <w:start w:val="1"/>
      <w:numFmt w:val="bullet"/>
      <w:lvlText w:val=""/>
      <w:lvlJc w:val="left"/>
      <w:pPr>
        <w:ind w:left="2868" w:hanging="360"/>
      </w:pPr>
      <w:rPr>
        <w:rFonts w:ascii="Symbol" w:hAnsi="Symbol" w:hint="default"/>
      </w:rPr>
    </w:lvl>
    <w:lvl w:ilvl="4" w:tplc="280A0003" w:tentative="1">
      <w:start w:val="1"/>
      <w:numFmt w:val="bullet"/>
      <w:lvlText w:val="o"/>
      <w:lvlJc w:val="left"/>
      <w:pPr>
        <w:ind w:left="3588" w:hanging="360"/>
      </w:pPr>
      <w:rPr>
        <w:rFonts w:ascii="Courier New" w:hAnsi="Courier New" w:cs="Courier New" w:hint="default"/>
      </w:rPr>
    </w:lvl>
    <w:lvl w:ilvl="5" w:tplc="280A0005" w:tentative="1">
      <w:start w:val="1"/>
      <w:numFmt w:val="bullet"/>
      <w:lvlText w:val=""/>
      <w:lvlJc w:val="left"/>
      <w:pPr>
        <w:ind w:left="4308" w:hanging="360"/>
      </w:pPr>
      <w:rPr>
        <w:rFonts w:ascii="Wingdings" w:hAnsi="Wingdings" w:hint="default"/>
      </w:rPr>
    </w:lvl>
    <w:lvl w:ilvl="6" w:tplc="280A0001" w:tentative="1">
      <w:start w:val="1"/>
      <w:numFmt w:val="bullet"/>
      <w:lvlText w:val=""/>
      <w:lvlJc w:val="left"/>
      <w:pPr>
        <w:ind w:left="5028" w:hanging="360"/>
      </w:pPr>
      <w:rPr>
        <w:rFonts w:ascii="Symbol" w:hAnsi="Symbol" w:hint="default"/>
      </w:rPr>
    </w:lvl>
    <w:lvl w:ilvl="7" w:tplc="280A0003" w:tentative="1">
      <w:start w:val="1"/>
      <w:numFmt w:val="bullet"/>
      <w:lvlText w:val="o"/>
      <w:lvlJc w:val="left"/>
      <w:pPr>
        <w:ind w:left="5748" w:hanging="360"/>
      </w:pPr>
      <w:rPr>
        <w:rFonts w:ascii="Courier New" w:hAnsi="Courier New" w:cs="Courier New" w:hint="default"/>
      </w:rPr>
    </w:lvl>
    <w:lvl w:ilvl="8" w:tplc="280A0005" w:tentative="1">
      <w:start w:val="1"/>
      <w:numFmt w:val="bullet"/>
      <w:lvlText w:val=""/>
      <w:lvlJc w:val="left"/>
      <w:pPr>
        <w:ind w:left="6468" w:hanging="360"/>
      </w:pPr>
      <w:rPr>
        <w:rFonts w:ascii="Wingdings" w:hAnsi="Wingdings" w:hint="default"/>
      </w:rPr>
    </w:lvl>
  </w:abstractNum>
  <w:abstractNum w:abstractNumId="3">
    <w:nsid w:val="0FFD0A5A"/>
    <w:multiLevelType w:val="hybridMultilevel"/>
    <w:tmpl w:val="D0C475C0"/>
    <w:lvl w:ilvl="0" w:tplc="E2C65AEE">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0A42072"/>
    <w:multiLevelType w:val="multilevel"/>
    <w:tmpl w:val="B2B68F42"/>
    <w:lvl w:ilvl="0">
      <w:start w:val="5"/>
      <w:numFmt w:val="decimal"/>
      <w:lvlText w:val="%1."/>
      <w:lvlJc w:val="left"/>
      <w:pPr>
        <w:ind w:left="540" w:hanging="54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39D27A3"/>
    <w:multiLevelType w:val="hybridMultilevel"/>
    <w:tmpl w:val="4252B0D6"/>
    <w:lvl w:ilvl="0" w:tplc="B9DCBCA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433186F"/>
    <w:multiLevelType w:val="hybridMultilevel"/>
    <w:tmpl w:val="F8E8A4E2"/>
    <w:lvl w:ilvl="0" w:tplc="D7569F7C">
      <w:start w:val="1"/>
      <w:numFmt w:val="decimal"/>
      <w:lvlText w:val="1.%1"/>
      <w:lvlJc w:val="left"/>
      <w:pPr>
        <w:ind w:left="720" w:hanging="360"/>
      </w:pPr>
      <w:rPr>
        <w:rFonts w:hint="default"/>
        <w:b/>
        <w:i w:val="0"/>
        <w:color w:val="00000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9BF5785"/>
    <w:multiLevelType w:val="multilevel"/>
    <w:tmpl w:val="5A7C9D1C"/>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A404DD5"/>
    <w:multiLevelType w:val="hybridMultilevel"/>
    <w:tmpl w:val="14A44E6C"/>
    <w:lvl w:ilvl="0" w:tplc="E182D404">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AAD1A8C"/>
    <w:multiLevelType w:val="hybridMultilevel"/>
    <w:tmpl w:val="6C28AD60"/>
    <w:lvl w:ilvl="0" w:tplc="DC82FEE4">
      <w:start w:val="1"/>
      <w:numFmt w:val="low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DD95688"/>
    <w:multiLevelType w:val="hybridMultilevel"/>
    <w:tmpl w:val="CCE871BA"/>
    <w:lvl w:ilvl="0" w:tplc="1DD86A9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8E7A2E"/>
    <w:multiLevelType w:val="hybridMultilevel"/>
    <w:tmpl w:val="C5725454"/>
    <w:lvl w:ilvl="0" w:tplc="BE02026C">
      <w:start w:val="1"/>
      <w:numFmt w:val="decimal"/>
      <w:lvlText w:val="2.%1."/>
      <w:lvlJc w:val="left"/>
      <w:pPr>
        <w:ind w:left="720" w:hanging="360"/>
      </w:pPr>
      <w:rPr>
        <w:rFonts w:hint="default"/>
        <w:b/>
        <w:i w:val="0"/>
        <w:color w:val="00000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2445177"/>
    <w:multiLevelType w:val="hybridMultilevel"/>
    <w:tmpl w:val="843C766A"/>
    <w:lvl w:ilvl="0" w:tplc="5EB243B6">
      <w:start w:val="1"/>
      <w:numFmt w:val="lowerRoman"/>
      <w:lvlText w:val="(%1)"/>
      <w:lvlJc w:val="left"/>
      <w:pPr>
        <w:ind w:left="1080" w:hanging="720"/>
      </w:pPr>
      <w:rPr>
        <w:rFonts w:hint="default"/>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30105F8"/>
    <w:multiLevelType w:val="hybridMultilevel"/>
    <w:tmpl w:val="5BC29440"/>
    <w:lvl w:ilvl="0" w:tplc="5286539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3FB07EF"/>
    <w:multiLevelType w:val="hybridMultilevel"/>
    <w:tmpl w:val="384052E2"/>
    <w:lvl w:ilvl="0" w:tplc="280A0001">
      <w:start w:val="1"/>
      <w:numFmt w:val="bullet"/>
      <w:lvlText w:val=""/>
      <w:lvlJc w:val="left"/>
      <w:pPr>
        <w:ind w:left="708" w:hanging="360"/>
      </w:pPr>
      <w:rPr>
        <w:rFonts w:ascii="Symbol" w:hAnsi="Symbol" w:hint="default"/>
      </w:rPr>
    </w:lvl>
    <w:lvl w:ilvl="1" w:tplc="280A0003" w:tentative="1">
      <w:start w:val="1"/>
      <w:numFmt w:val="bullet"/>
      <w:lvlText w:val="o"/>
      <w:lvlJc w:val="left"/>
      <w:pPr>
        <w:ind w:left="1428" w:hanging="360"/>
      </w:pPr>
      <w:rPr>
        <w:rFonts w:ascii="Courier New" w:hAnsi="Courier New" w:cs="Courier New" w:hint="default"/>
      </w:rPr>
    </w:lvl>
    <w:lvl w:ilvl="2" w:tplc="280A0005" w:tentative="1">
      <w:start w:val="1"/>
      <w:numFmt w:val="bullet"/>
      <w:lvlText w:val=""/>
      <w:lvlJc w:val="left"/>
      <w:pPr>
        <w:ind w:left="2148" w:hanging="360"/>
      </w:pPr>
      <w:rPr>
        <w:rFonts w:ascii="Wingdings" w:hAnsi="Wingdings" w:hint="default"/>
      </w:rPr>
    </w:lvl>
    <w:lvl w:ilvl="3" w:tplc="280A0001" w:tentative="1">
      <w:start w:val="1"/>
      <w:numFmt w:val="bullet"/>
      <w:lvlText w:val=""/>
      <w:lvlJc w:val="left"/>
      <w:pPr>
        <w:ind w:left="2868" w:hanging="360"/>
      </w:pPr>
      <w:rPr>
        <w:rFonts w:ascii="Symbol" w:hAnsi="Symbol" w:hint="default"/>
      </w:rPr>
    </w:lvl>
    <w:lvl w:ilvl="4" w:tplc="280A0003" w:tentative="1">
      <w:start w:val="1"/>
      <w:numFmt w:val="bullet"/>
      <w:lvlText w:val="o"/>
      <w:lvlJc w:val="left"/>
      <w:pPr>
        <w:ind w:left="3588" w:hanging="360"/>
      </w:pPr>
      <w:rPr>
        <w:rFonts w:ascii="Courier New" w:hAnsi="Courier New" w:cs="Courier New" w:hint="default"/>
      </w:rPr>
    </w:lvl>
    <w:lvl w:ilvl="5" w:tplc="280A0005" w:tentative="1">
      <w:start w:val="1"/>
      <w:numFmt w:val="bullet"/>
      <w:lvlText w:val=""/>
      <w:lvlJc w:val="left"/>
      <w:pPr>
        <w:ind w:left="4308" w:hanging="360"/>
      </w:pPr>
      <w:rPr>
        <w:rFonts w:ascii="Wingdings" w:hAnsi="Wingdings" w:hint="default"/>
      </w:rPr>
    </w:lvl>
    <w:lvl w:ilvl="6" w:tplc="280A0001" w:tentative="1">
      <w:start w:val="1"/>
      <w:numFmt w:val="bullet"/>
      <w:lvlText w:val=""/>
      <w:lvlJc w:val="left"/>
      <w:pPr>
        <w:ind w:left="5028" w:hanging="360"/>
      </w:pPr>
      <w:rPr>
        <w:rFonts w:ascii="Symbol" w:hAnsi="Symbol" w:hint="default"/>
      </w:rPr>
    </w:lvl>
    <w:lvl w:ilvl="7" w:tplc="280A0003" w:tentative="1">
      <w:start w:val="1"/>
      <w:numFmt w:val="bullet"/>
      <w:lvlText w:val="o"/>
      <w:lvlJc w:val="left"/>
      <w:pPr>
        <w:ind w:left="5748" w:hanging="360"/>
      </w:pPr>
      <w:rPr>
        <w:rFonts w:ascii="Courier New" w:hAnsi="Courier New" w:cs="Courier New" w:hint="default"/>
      </w:rPr>
    </w:lvl>
    <w:lvl w:ilvl="8" w:tplc="280A0005" w:tentative="1">
      <w:start w:val="1"/>
      <w:numFmt w:val="bullet"/>
      <w:lvlText w:val=""/>
      <w:lvlJc w:val="left"/>
      <w:pPr>
        <w:ind w:left="6468" w:hanging="360"/>
      </w:pPr>
      <w:rPr>
        <w:rFonts w:ascii="Wingdings" w:hAnsi="Wingdings" w:hint="default"/>
      </w:rPr>
    </w:lvl>
  </w:abstractNum>
  <w:abstractNum w:abstractNumId="15">
    <w:nsid w:val="26327522"/>
    <w:multiLevelType w:val="hybridMultilevel"/>
    <w:tmpl w:val="107A869E"/>
    <w:lvl w:ilvl="0" w:tplc="280A0001">
      <w:start w:val="1"/>
      <w:numFmt w:val="bullet"/>
      <w:lvlText w:val=""/>
      <w:lvlJc w:val="left"/>
      <w:pPr>
        <w:ind w:left="708" w:hanging="360"/>
      </w:pPr>
      <w:rPr>
        <w:rFonts w:ascii="Symbol" w:hAnsi="Symbol" w:hint="default"/>
      </w:rPr>
    </w:lvl>
    <w:lvl w:ilvl="1" w:tplc="280A0003" w:tentative="1">
      <w:start w:val="1"/>
      <w:numFmt w:val="bullet"/>
      <w:lvlText w:val="o"/>
      <w:lvlJc w:val="left"/>
      <w:pPr>
        <w:ind w:left="1428" w:hanging="360"/>
      </w:pPr>
      <w:rPr>
        <w:rFonts w:ascii="Courier New" w:hAnsi="Courier New" w:cs="Courier New" w:hint="default"/>
      </w:rPr>
    </w:lvl>
    <w:lvl w:ilvl="2" w:tplc="280A0005" w:tentative="1">
      <w:start w:val="1"/>
      <w:numFmt w:val="bullet"/>
      <w:lvlText w:val=""/>
      <w:lvlJc w:val="left"/>
      <w:pPr>
        <w:ind w:left="2148" w:hanging="360"/>
      </w:pPr>
      <w:rPr>
        <w:rFonts w:ascii="Wingdings" w:hAnsi="Wingdings" w:hint="default"/>
      </w:rPr>
    </w:lvl>
    <w:lvl w:ilvl="3" w:tplc="280A0001" w:tentative="1">
      <w:start w:val="1"/>
      <w:numFmt w:val="bullet"/>
      <w:lvlText w:val=""/>
      <w:lvlJc w:val="left"/>
      <w:pPr>
        <w:ind w:left="2868" w:hanging="360"/>
      </w:pPr>
      <w:rPr>
        <w:rFonts w:ascii="Symbol" w:hAnsi="Symbol" w:hint="default"/>
      </w:rPr>
    </w:lvl>
    <w:lvl w:ilvl="4" w:tplc="280A0003" w:tentative="1">
      <w:start w:val="1"/>
      <w:numFmt w:val="bullet"/>
      <w:lvlText w:val="o"/>
      <w:lvlJc w:val="left"/>
      <w:pPr>
        <w:ind w:left="3588" w:hanging="360"/>
      </w:pPr>
      <w:rPr>
        <w:rFonts w:ascii="Courier New" w:hAnsi="Courier New" w:cs="Courier New" w:hint="default"/>
      </w:rPr>
    </w:lvl>
    <w:lvl w:ilvl="5" w:tplc="280A0005" w:tentative="1">
      <w:start w:val="1"/>
      <w:numFmt w:val="bullet"/>
      <w:lvlText w:val=""/>
      <w:lvlJc w:val="left"/>
      <w:pPr>
        <w:ind w:left="4308" w:hanging="360"/>
      </w:pPr>
      <w:rPr>
        <w:rFonts w:ascii="Wingdings" w:hAnsi="Wingdings" w:hint="default"/>
      </w:rPr>
    </w:lvl>
    <w:lvl w:ilvl="6" w:tplc="280A0001" w:tentative="1">
      <w:start w:val="1"/>
      <w:numFmt w:val="bullet"/>
      <w:lvlText w:val=""/>
      <w:lvlJc w:val="left"/>
      <w:pPr>
        <w:ind w:left="5028" w:hanging="360"/>
      </w:pPr>
      <w:rPr>
        <w:rFonts w:ascii="Symbol" w:hAnsi="Symbol" w:hint="default"/>
      </w:rPr>
    </w:lvl>
    <w:lvl w:ilvl="7" w:tplc="280A0003" w:tentative="1">
      <w:start w:val="1"/>
      <w:numFmt w:val="bullet"/>
      <w:lvlText w:val="o"/>
      <w:lvlJc w:val="left"/>
      <w:pPr>
        <w:ind w:left="5748" w:hanging="360"/>
      </w:pPr>
      <w:rPr>
        <w:rFonts w:ascii="Courier New" w:hAnsi="Courier New" w:cs="Courier New" w:hint="default"/>
      </w:rPr>
    </w:lvl>
    <w:lvl w:ilvl="8" w:tplc="280A0005" w:tentative="1">
      <w:start w:val="1"/>
      <w:numFmt w:val="bullet"/>
      <w:lvlText w:val=""/>
      <w:lvlJc w:val="left"/>
      <w:pPr>
        <w:ind w:left="6468" w:hanging="360"/>
      </w:pPr>
      <w:rPr>
        <w:rFonts w:ascii="Wingdings" w:hAnsi="Wingdings" w:hint="default"/>
      </w:rPr>
    </w:lvl>
  </w:abstractNum>
  <w:abstractNum w:abstractNumId="16">
    <w:nsid w:val="2759481D"/>
    <w:multiLevelType w:val="hybridMultilevel"/>
    <w:tmpl w:val="829035E0"/>
    <w:lvl w:ilvl="0" w:tplc="F0DCE7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nsid w:val="27A77E41"/>
    <w:multiLevelType w:val="hybridMultilevel"/>
    <w:tmpl w:val="5D1EC7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98765D6"/>
    <w:multiLevelType w:val="hybridMultilevel"/>
    <w:tmpl w:val="33DE3430"/>
    <w:lvl w:ilvl="0" w:tplc="95704E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2F23CA7"/>
    <w:multiLevelType w:val="multilevel"/>
    <w:tmpl w:val="050CD7D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80551D6"/>
    <w:multiLevelType w:val="hybridMultilevel"/>
    <w:tmpl w:val="9D16BEC6"/>
    <w:lvl w:ilvl="0" w:tplc="280A0001">
      <w:start w:val="1"/>
      <w:numFmt w:val="bullet"/>
      <w:lvlText w:val=""/>
      <w:lvlJc w:val="left"/>
      <w:pPr>
        <w:ind w:left="1080" w:hanging="360"/>
      </w:pPr>
      <w:rPr>
        <w:rFonts w:ascii="Symbol" w:hAnsi="Symbo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nsid w:val="3BE9137B"/>
    <w:multiLevelType w:val="hybridMultilevel"/>
    <w:tmpl w:val="FC26CA98"/>
    <w:lvl w:ilvl="0" w:tplc="C5FC0EB8">
      <w:start w:val="1"/>
      <w:numFmt w:val="lowerRoman"/>
      <w:lvlText w:val="%1)"/>
      <w:lvlJc w:val="left"/>
      <w:pPr>
        <w:ind w:left="708" w:hanging="720"/>
      </w:pPr>
      <w:rPr>
        <w:rFonts w:hint="default"/>
      </w:rPr>
    </w:lvl>
    <w:lvl w:ilvl="1" w:tplc="280A0019" w:tentative="1">
      <w:start w:val="1"/>
      <w:numFmt w:val="lowerLetter"/>
      <w:lvlText w:val="%2."/>
      <w:lvlJc w:val="left"/>
      <w:pPr>
        <w:ind w:left="1068" w:hanging="360"/>
      </w:pPr>
    </w:lvl>
    <w:lvl w:ilvl="2" w:tplc="280A001B" w:tentative="1">
      <w:start w:val="1"/>
      <w:numFmt w:val="lowerRoman"/>
      <w:lvlText w:val="%3."/>
      <w:lvlJc w:val="right"/>
      <w:pPr>
        <w:ind w:left="1788" w:hanging="180"/>
      </w:pPr>
    </w:lvl>
    <w:lvl w:ilvl="3" w:tplc="280A000F" w:tentative="1">
      <w:start w:val="1"/>
      <w:numFmt w:val="decimal"/>
      <w:lvlText w:val="%4."/>
      <w:lvlJc w:val="left"/>
      <w:pPr>
        <w:ind w:left="2508" w:hanging="360"/>
      </w:pPr>
    </w:lvl>
    <w:lvl w:ilvl="4" w:tplc="280A0019" w:tentative="1">
      <w:start w:val="1"/>
      <w:numFmt w:val="lowerLetter"/>
      <w:lvlText w:val="%5."/>
      <w:lvlJc w:val="left"/>
      <w:pPr>
        <w:ind w:left="3228" w:hanging="360"/>
      </w:pPr>
    </w:lvl>
    <w:lvl w:ilvl="5" w:tplc="280A001B" w:tentative="1">
      <w:start w:val="1"/>
      <w:numFmt w:val="lowerRoman"/>
      <w:lvlText w:val="%6."/>
      <w:lvlJc w:val="right"/>
      <w:pPr>
        <w:ind w:left="3948" w:hanging="180"/>
      </w:pPr>
    </w:lvl>
    <w:lvl w:ilvl="6" w:tplc="280A000F" w:tentative="1">
      <w:start w:val="1"/>
      <w:numFmt w:val="decimal"/>
      <w:lvlText w:val="%7."/>
      <w:lvlJc w:val="left"/>
      <w:pPr>
        <w:ind w:left="4668" w:hanging="360"/>
      </w:pPr>
    </w:lvl>
    <w:lvl w:ilvl="7" w:tplc="280A0019" w:tentative="1">
      <w:start w:val="1"/>
      <w:numFmt w:val="lowerLetter"/>
      <w:lvlText w:val="%8."/>
      <w:lvlJc w:val="left"/>
      <w:pPr>
        <w:ind w:left="5388" w:hanging="360"/>
      </w:pPr>
    </w:lvl>
    <w:lvl w:ilvl="8" w:tplc="280A001B" w:tentative="1">
      <w:start w:val="1"/>
      <w:numFmt w:val="lowerRoman"/>
      <w:lvlText w:val="%9."/>
      <w:lvlJc w:val="right"/>
      <w:pPr>
        <w:ind w:left="6108" w:hanging="180"/>
      </w:pPr>
    </w:lvl>
  </w:abstractNum>
  <w:abstractNum w:abstractNumId="22">
    <w:nsid w:val="4131272A"/>
    <w:multiLevelType w:val="hybridMultilevel"/>
    <w:tmpl w:val="EED02D6C"/>
    <w:lvl w:ilvl="0" w:tplc="CB10B5A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3F67A8E"/>
    <w:multiLevelType w:val="hybridMultilevel"/>
    <w:tmpl w:val="D428B886"/>
    <w:lvl w:ilvl="0" w:tplc="9ACAA130">
      <w:start w:val="1"/>
      <w:numFmt w:val="lowerLetter"/>
      <w:lvlText w:val="%1)"/>
      <w:lvlJc w:val="left"/>
      <w:pPr>
        <w:tabs>
          <w:tab w:val="num" w:pos="780"/>
        </w:tabs>
        <w:ind w:left="7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nsid w:val="47B65FAA"/>
    <w:multiLevelType w:val="hybridMultilevel"/>
    <w:tmpl w:val="29064B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F6E6E1A"/>
    <w:multiLevelType w:val="hybridMultilevel"/>
    <w:tmpl w:val="69BCD11C"/>
    <w:lvl w:ilvl="0" w:tplc="280A0001">
      <w:start w:val="1"/>
      <w:numFmt w:val="bullet"/>
      <w:lvlText w:val=""/>
      <w:lvlJc w:val="left"/>
      <w:pPr>
        <w:ind w:left="770" w:hanging="360"/>
      </w:pPr>
      <w:rPr>
        <w:rFonts w:ascii="Symbol" w:hAnsi="Symbol" w:hint="default"/>
      </w:rPr>
    </w:lvl>
    <w:lvl w:ilvl="1" w:tplc="280A0003" w:tentative="1">
      <w:start w:val="1"/>
      <w:numFmt w:val="bullet"/>
      <w:lvlText w:val="o"/>
      <w:lvlJc w:val="left"/>
      <w:pPr>
        <w:ind w:left="1490" w:hanging="360"/>
      </w:pPr>
      <w:rPr>
        <w:rFonts w:ascii="Courier New" w:hAnsi="Courier New" w:cs="Courier New" w:hint="default"/>
      </w:rPr>
    </w:lvl>
    <w:lvl w:ilvl="2" w:tplc="280A0005" w:tentative="1">
      <w:start w:val="1"/>
      <w:numFmt w:val="bullet"/>
      <w:lvlText w:val=""/>
      <w:lvlJc w:val="left"/>
      <w:pPr>
        <w:ind w:left="2210" w:hanging="360"/>
      </w:pPr>
      <w:rPr>
        <w:rFonts w:ascii="Wingdings" w:hAnsi="Wingdings" w:hint="default"/>
      </w:rPr>
    </w:lvl>
    <w:lvl w:ilvl="3" w:tplc="280A0001" w:tentative="1">
      <w:start w:val="1"/>
      <w:numFmt w:val="bullet"/>
      <w:lvlText w:val=""/>
      <w:lvlJc w:val="left"/>
      <w:pPr>
        <w:ind w:left="2930" w:hanging="360"/>
      </w:pPr>
      <w:rPr>
        <w:rFonts w:ascii="Symbol" w:hAnsi="Symbol" w:hint="default"/>
      </w:rPr>
    </w:lvl>
    <w:lvl w:ilvl="4" w:tplc="280A0003" w:tentative="1">
      <w:start w:val="1"/>
      <w:numFmt w:val="bullet"/>
      <w:lvlText w:val="o"/>
      <w:lvlJc w:val="left"/>
      <w:pPr>
        <w:ind w:left="3650" w:hanging="360"/>
      </w:pPr>
      <w:rPr>
        <w:rFonts w:ascii="Courier New" w:hAnsi="Courier New" w:cs="Courier New" w:hint="default"/>
      </w:rPr>
    </w:lvl>
    <w:lvl w:ilvl="5" w:tplc="280A0005" w:tentative="1">
      <w:start w:val="1"/>
      <w:numFmt w:val="bullet"/>
      <w:lvlText w:val=""/>
      <w:lvlJc w:val="left"/>
      <w:pPr>
        <w:ind w:left="4370" w:hanging="360"/>
      </w:pPr>
      <w:rPr>
        <w:rFonts w:ascii="Wingdings" w:hAnsi="Wingdings" w:hint="default"/>
      </w:rPr>
    </w:lvl>
    <w:lvl w:ilvl="6" w:tplc="280A0001" w:tentative="1">
      <w:start w:val="1"/>
      <w:numFmt w:val="bullet"/>
      <w:lvlText w:val=""/>
      <w:lvlJc w:val="left"/>
      <w:pPr>
        <w:ind w:left="5090" w:hanging="360"/>
      </w:pPr>
      <w:rPr>
        <w:rFonts w:ascii="Symbol" w:hAnsi="Symbol" w:hint="default"/>
      </w:rPr>
    </w:lvl>
    <w:lvl w:ilvl="7" w:tplc="280A0003" w:tentative="1">
      <w:start w:val="1"/>
      <w:numFmt w:val="bullet"/>
      <w:lvlText w:val="o"/>
      <w:lvlJc w:val="left"/>
      <w:pPr>
        <w:ind w:left="5810" w:hanging="360"/>
      </w:pPr>
      <w:rPr>
        <w:rFonts w:ascii="Courier New" w:hAnsi="Courier New" w:cs="Courier New" w:hint="default"/>
      </w:rPr>
    </w:lvl>
    <w:lvl w:ilvl="8" w:tplc="280A0005" w:tentative="1">
      <w:start w:val="1"/>
      <w:numFmt w:val="bullet"/>
      <w:lvlText w:val=""/>
      <w:lvlJc w:val="left"/>
      <w:pPr>
        <w:ind w:left="6530" w:hanging="360"/>
      </w:pPr>
      <w:rPr>
        <w:rFonts w:ascii="Wingdings" w:hAnsi="Wingdings" w:hint="default"/>
      </w:rPr>
    </w:lvl>
  </w:abstractNum>
  <w:abstractNum w:abstractNumId="26">
    <w:nsid w:val="4F84338F"/>
    <w:multiLevelType w:val="multilevel"/>
    <w:tmpl w:val="5A7C9D1C"/>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nsid w:val="51D948A7"/>
    <w:multiLevelType w:val="hybridMultilevel"/>
    <w:tmpl w:val="1DE8D1BA"/>
    <w:lvl w:ilvl="0" w:tplc="776E1994">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1E75833"/>
    <w:multiLevelType w:val="hybridMultilevel"/>
    <w:tmpl w:val="BC86E41C"/>
    <w:lvl w:ilvl="0" w:tplc="9B6646B2">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68A4147"/>
    <w:multiLevelType w:val="hybridMultilevel"/>
    <w:tmpl w:val="A552BED0"/>
    <w:lvl w:ilvl="0" w:tplc="A8AA0A34">
      <w:start w:val="1"/>
      <w:numFmt w:val="lowerRoman"/>
      <w:lvlText w:val="(%1)"/>
      <w:lvlJc w:val="left"/>
      <w:pPr>
        <w:ind w:left="1080" w:hanging="720"/>
      </w:pPr>
      <w:rPr>
        <w:rFonts w:ascii="Arial" w:eastAsia="Times New Roman"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C2950C4"/>
    <w:multiLevelType w:val="hybridMultilevel"/>
    <w:tmpl w:val="00DE8C1C"/>
    <w:lvl w:ilvl="0" w:tplc="4A2E2BF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C46368E"/>
    <w:multiLevelType w:val="hybridMultilevel"/>
    <w:tmpl w:val="3A3CA148"/>
    <w:lvl w:ilvl="0" w:tplc="F5A09F88">
      <w:start w:val="1"/>
      <w:numFmt w:val="decimal"/>
      <w:lvlText w:val="[%1]"/>
      <w:lvlJc w:val="left"/>
      <w:pPr>
        <w:ind w:left="720" w:hanging="360"/>
      </w:pPr>
      <w:rPr>
        <w:rFonts w:hint="default"/>
        <w:i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CA859B5"/>
    <w:multiLevelType w:val="hybridMultilevel"/>
    <w:tmpl w:val="5F2EEC20"/>
    <w:lvl w:ilvl="0" w:tplc="95704E24">
      <w:start w:val="1"/>
      <w:numFmt w:val="lowerRoman"/>
      <w:lvlText w:val="(%1)"/>
      <w:lvlJc w:val="left"/>
      <w:pPr>
        <w:ind w:left="502" w:hanging="360"/>
      </w:pPr>
      <w:rPr>
        <w:rFonts w:hint="default"/>
        <w:b w:val="0"/>
        <w:i w:val="0"/>
        <w:color w:val="auto"/>
        <w:sz w:val="16"/>
        <w:szCs w:val="16"/>
        <w:lang w:val="es-E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CE57A85"/>
    <w:multiLevelType w:val="multilevel"/>
    <w:tmpl w:val="221CF900"/>
    <w:lvl w:ilvl="0">
      <w:start w:val="5"/>
      <w:numFmt w:val="decimal"/>
      <w:lvlText w:val="%1"/>
      <w:lvlJc w:val="left"/>
      <w:pPr>
        <w:ind w:left="360" w:hanging="360"/>
      </w:pPr>
      <w:rPr>
        <w:rFonts w:hint="default"/>
        <w:b/>
        <w:color w:val="000000"/>
      </w:rPr>
    </w:lvl>
    <w:lvl w:ilvl="1">
      <w:start w:val="1"/>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34">
    <w:nsid w:val="5D717CD4"/>
    <w:multiLevelType w:val="hybridMultilevel"/>
    <w:tmpl w:val="64B4B2F2"/>
    <w:lvl w:ilvl="0" w:tplc="85F445AE">
      <w:start w:val="74"/>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DB94C1C"/>
    <w:multiLevelType w:val="hybridMultilevel"/>
    <w:tmpl w:val="31F4BA36"/>
    <w:lvl w:ilvl="0" w:tplc="DC82FEE4">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609E60A8"/>
    <w:multiLevelType w:val="hybridMultilevel"/>
    <w:tmpl w:val="BC84A666"/>
    <w:lvl w:ilvl="0" w:tplc="E182D404">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60D401EF"/>
    <w:multiLevelType w:val="hybridMultilevel"/>
    <w:tmpl w:val="6686BED0"/>
    <w:lvl w:ilvl="0" w:tplc="BF326F18">
      <w:start w:val="1"/>
      <w:numFmt w:val="lowerRoman"/>
      <w:lvlText w:val="%1)"/>
      <w:lvlJc w:val="left"/>
      <w:pPr>
        <w:ind w:left="2138" w:hanging="720"/>
      </w:pPr>
      <w:rPr>
        <w:rFonts w:hint="default"/>
        <w:sz w:val="24"/>
        <w:szCs w:val="24"/>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38">
    <w:nsid w:val="60FF6853"/>
    <w:multiLevelType w:val="hybridMultilevel"/>
    <w:tmpl w:val="08424848"/>
    <w:lvl w:ilvl="0" w:tplc="280A0011">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nsid w:val="62F64F67"/>
    <w:multiLevelType w:val="multilevel"/>
    <w:tmpl w:val="B2B68F42"/>
    <w:lvl w:ilvl="0">
      <w:start w:val="5"/>
      <w:numFmt w:val="decimal"/>
      <w:lvlText w:val="%1."/>
      <w:lvlJc w:val="left"/>
      <w:pPr>
        <w:ind w:left="540" w:hanging="54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1571"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nsid w:val="66F76BD1"/>
    <w:multiLevelType w:val="hybridMultilevel"/>
    <w:tmpl w:val="467C7440"/>
    <w:lvl w:ilvl="0" w:tplc="3B86E32E">
      <w:start w:val="1"/>
      <w:numFmt w:val="lowerRoman"/>
      <w:lvlText w:val="(%1)"/>
      <w:lvlJc w:val="left"/>
      <w:pPr>
        <w:ind w:left="720" w:hanging="360"/>
      </w:pPr>
      <w:rPr>
        <w:rFonts w:hint="default"/>
        <w:i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68623574"/>
    <w:multiLevelType w:val="hybridMultilevel"/>
    <w:tmpl w:val="EED02D6C"/>
    <w:lvl w:ilvl="0" w:tplc="CB10B5A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20172E4"/>
    <w:multiLevelType w:val="hybridMultilevel"/>
    <w:tmpl w:val="F2F06832"/>
    <w:lvl w:ilvl="0" w:tplc="F44C8EF0">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7CA056DE"/>
    <w:multiLevelType w:val="hybridMultilevel"/>
    <w:tmpl w:val="FA1CBB9A"/>
    <w:lvl w:ilvl="0" w:tplc="923474AC">
      <w:start w:val="1"/>
      <w:numFmt w:val="decimal"/>
      <w:lvlText w:val="[%1]."/>
      <w:lvlJc w:val="left"/>
      <w:pPr>
        <w:ind w:left="502" w:hanging="360"/>
      </w:pPr>
      <w:rPr>
        <w:sz w:val="18"/>
        <w:szCs w:val="1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4">
    <w:nsid w:val="7FEC670E"/>
    <w:multiLevelType w:val="multilevel"/>
    <w:tmpl w:val="733AF81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0"/>
  </w:num>
  <w:num w:numId="3">
    <w:abstractNumId w:val="41"/>
  </w:num>
  <w:num w:numId="4">
    <w:abstractNumId w:val="32"/>
  </w:num>
  <w:num w:numId="5">
    <w:abstractNumId w:val="33"/>
  </w:num>
  <w:num w:numId="6">
    <w:abstractNumId w:val="6"/>
  </w:num>
  <w:num w:numId="7">
    <w:abstractNumId w:val="11"/>
  </w:num>
  <w:num w:numId="8">
    <w:abstractNumId w:val="38"/>
  </w:num>
  <w:num w:numId="9">
    <w:abstractNumId w:val="20"/>
  </w:num>
  <w:num w:numId="10">
    <w:abstractNumId w:val="31"/>
  </w:num>
  <w:num w:numId="11">
    <w:abstractNumId w:val="27"/>
  </w:num>
  <w:num w:numId="12">
    <w:abstractNumId w:val="24"/>
  </w:num>
  <w:num w:numId="13">
    <w:abstractNumId w:val="19"/>
  </w:num>
  <w:num w:numId="14">
    <w:abstractNumId w:val="26"/>
  </w:num>
  <w:num w:numId="15">
    <w:abstractNumId w:val="7"/>
  </w:num>
  <w:num w:numId="16">
    <w:abstractNumId w:val="39"/>
  </w:num>
  <w:num w:numId="17">
    <w:abstractNumId w:val="13"/>
  </w:num>
  <w:num w:numId="18">
    <w:abstractNumId w:val="34"/>
  </w:num>
  <w:num w:numId="19">
    <w:abstractNumId w:val="10"/>
  </w:num>
  <w:num w:numId="20">
    <w:abstractNumId w:val="3"/>
  </w:num>
  <w:num w:numId="21">
    <w:abstractNumId w:val="29"/>
  </w:num>
  <w:num w:numId="22">
    <w:abstractNumId w:val="22"/>
  </w:num>
  <w:num w:numId="23">
    <w:abstractNumId w:val="17"/>
  </w:num>
  <w:num w:numId="24">
    <w:abstractNumId w:val="9"/>
  </w:num>
  <w:num w:numId="25">
    <w:abstractNumId w:val="35"/>
  </w:num>
  <w:num w:numId="26">
    <w:abstractNumId w:val="40"/>
  </w:num>
  <w:num w:numId="27">
    <w:abstractNumId w:val="23"/>
  </w:num>
  <w:num w:numId="28">
    <w:abstractNumId w:val="21"/>
  </w:num>
  <w:num w:numId="29">
    <w:abstractNumId w:val="1"/>
  </w:num>
  <w:num w:numId="30">
    <w:abstractNumId w:val="5"/>
  </w:num>
  <w:num w:numId="31">
    <w:abstractNumId w:val="8"/>
  </w:num>
  <w:num w:numId="32">
    <w:abstractNumId w:val="42"/>
  </w:num>
  <w:num w:numId="33">
    <w:abstractNumId w:val="25"/>
  </w:num>
  <w:num w:numId="34">
    <w:abstractNumId w:val="2"/>
  </w:num>
  <w:num w:numId="35">
    <w:abstractNumId w:val="43"/>
  </w:num>
  <w:num w:numId="36">
    <w:abstractNumId w:val="18"/>
  </w:num>
  <w:num w:numId="37">
    <w:abstractNumId w:val="16"/>
  </w:num>
  <w:num w:numId="38">
    <w:abstractNumId w:val="14"/>
  </w:num>
  <w:num w:numId="39">
    <w:abstractNumId w:val="12"/>
  </w:num>
  <w:num w:numId="40">
    <w:abstractNumId w:val="36"/>
  </w:num>
  <w:num w:numId="41">
    <w:abstractNumId w:val="28"/>
  </w:num>
  <w:num w:numId="42">
    <w:abstractNumId w:val="30"/>
  </w:num>
  <w:num w:numId="43">
    <w:abstractNumId w:val="4"/>
  </w:num>
  <w:num w:numId="44">
    <w:abstractNumId w:val="15"/>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971FEA"/>
    <w:rsid w:val="000006AF"/>
    <w:rsid w:val="00000D0C"/>
    <w:rsid w:val="0000116F"/>
    <w:rsid w:val="000015B0"/>
    <w:rsid w:val="000024E8"/>
    <w:rsid w:val="00003075"/>
    <w:rsid w:val="00005E85"/>
    <w:rsid w:val="00006173"/>
    <w:rsid w:val="0001047E"/>
    <w:rsid w:val="00011109"/>
    <w:rsid w:val="00016566"/>
    <w:rsid w:val="00017031"/>
    <w:rsid w:val="00022611"/>
    <w:rsid w:val="000232DB"/>
    <w:rsid w:val="00024CA2"/>
    <w:rsid w:val="00025460"/>
    <w:rsid w:val="00026C1B"/>
    <w:rsid w:val="000315BD"/>
    <w:rsid w:val="00031932"/>
    <w:rsid w:val="00037F4C"/>
    <w:rsid w:val="00043338"/>
    <w:rsid w:val="00044540"/>
    <w:rsid w:val="00044BF5"/>
    <w:rsid w:val="000452A1"/>
    <w:rsid w:val="0004601E"/>
    <w:rsid w:val="00051EBC"/>
    <w:rsid w:val="000555F7"/>
    <w:rsid w:val="00056A52"/>
    <w:rsid w:val="00057F0E"/>
    <w:rsid w:val="0006126A"/>
    <w:rsid w:val="00063B11"/>
    <w:rsid w:val="00063C69"/>
    <w:rsid w:val="00064270"/>
    <w:rsid w:val="0006433E"/>
    <w:rsid w:val="00065CD7"/>
    <w:rsid w:val="00065DF8"/>
    <w:rsid w:val="00067C43"/>
    <w:rsid w:val="00070446"/>
    <w:rsid w:val="00071996"/>
    <w:rsid w:val="00071F31"/>
    <w:rsid w:val="000725EA"/>
    <w:rsid w:val="00072EE2"/>
    <w:rsid w:val="00073880"/>
    <w:rsid w:val="000747DF"/>
    <w:rsid w:val="00076E63"/>
    <w:rsid w:val="0007706C"/>
    <w:rsid w:val="000812DF"/>
    <w:rsid w:val="0008430A"/>
    <w:rsid w:val="00084E1B"/>
    <w:rsid w:val="00085AA4"/>
    <w:rsid w:val="00085C70"/>
    <w:rsid w:val="000862F6"/>
    <w:rsid w:val="00087B91"/>
    <w:rsid w:val="00087FF8"/>
    <w:rsid w:val="0009110D"/>
    <w:rsid w:val="0009138E"/>
    <w:rsid w:val="0009327E"/>
    <w:rsid w:val="00095120"/>
    <w:rsid w:val="00096BF0"/>
    <w:rsid w:val="00096EC2"/>
    <w:rsid w:val="00097DF2"/>
    <w:rsid w:val="00097FE7"/>
    <w:rsid w:val="000A4364"/>
    <w:rsid w:val="000A4E0C"/>
    <w:rsid w:val="000A703B"/>
    <w:rsid w:val="000B5B17"/>
    <w:rsid w:val="000B5B2E"/>
    <w:rsid w:val="000C1FE8"/>
    <w:rsid w:val="000C4811"/>
    <w:rsid w:val="000D199C"/>
    <w:rsid w:val="000D7E70"/>
    <w:rsid w:val="000E0E23"/>
    <w:rsid w:val="000E16D1"/>
    <w:rsid w:val="000E4B30"/>
    <w:rsid w:val="000E57B5"/>
    <w:rsid w:val="000E598F"/>
    <w:rsid w:val="000E7602"/>
    <w:rsid w:val="000E7C5A"/>
    <w:rsid w:val="000F4D55"/>
    <w:rsid w:val="000F5085"/>
    <w:rsid w:val="00100031"/>
    <w:rsid w:val="001005CF"/>
    <w:rsid w:val="00105CFA"/>
    <w:rsid w:val="00106E89"/>
    <w:rsid w:val="001077CB"/>
    <w:rsid w:val="001078A9"/>
    <w:rsid w:val="00107FA9"/>
    <w:rsid w:val="001124CB"/>
    <w:rsid w:val="00112E0D"/>
    <w:rsid w:val="0011365F"/>
    <w:rsid w:val="00113A2A"/>
    <w:rsid w:val="00116645"/>
    <w:rsid w:val="0011694C"/>
    <w:rsid w:val="00120A0E"/>
    <w:rsid w:val="0012135A"/>
    <w:rsid w:val="001218DC"/>
    <w:rsid w:val="001235FB"/>
    <w:rsid w:val="00124CA9"/>
    <w:rsid w:val="0012567F"/>
    <w:rsid w:val="00130716"/>
    <w:rsid w:val="00131B13"/>
    <w:rsid w:val="00132FAD"/>
    <w:rsid w:val="00134E26"/>
    <w:rsid w:val="00134E7B"/>
    <w:rsid w:val="0013550A"/>
    <w:rsid w:val="00140538"/>
    <w:rsid w:val="001409E0"/>
    <w:rsid w:val="00146607"/>
    <w:rsid w:val="00154E78"/>
    <w:rsid w:val="001573D1"/>
    <w:rsid w:val="00161558"/>
    <w:rsid w:val="00163671"/>
    <w:rsid w:val="00164F64"/>
    <w:rsid w:val="00165569"/>
    <w:rsid w:val="00167569"/>
    <w:rsid w:val="00167925"/>
    <w:rsid w:val="00167E8F"/>
    <w:rsid w:val="001727D5"/>
    <w:rsid w:val="00175AD4"/>
    <w:rsid w:val="001763A0"/>
    <w:rsid w:val="00176B6A"/>
    <w:rsid w:val="001773BF"/>
    <w:rsid w:val="00182662"/>
    <w:rsid w:val="00183CF3"/>
    <w:rsid w:val="001858E3"/>
    <w:rsid w:val="001922D2"/>
    <w:rsid w:val="00192446"/>
    <w:rsid w:val="00194089"/>
    <w:rsid w:val="0019444D"/>
    <w:rsid w:val="00194D62"/>
    <w:rsid w:val="001954CD"/>
    <w:rsid w:val="00195ACF"/>
    <w:rsid w:val="00195F7B"/>
    <w:rsid w:val="001A06BA"/>
    <w:rsid w:val="001A0ECD"/>
    <w:rsid w:val="001A2596"/>
    <w:rsid w:val="001B24B4"/>
    <w:rsid w:val="001C2CBA"/>
    <w:rsid w:val="001C44E1"/>
    <w:rsid w:val="001C52E2"/>
    <w:rsid w:val="001C55AF"/>
    <w:rsid w:val="001D2355"/>
    <w:rsid w:val="001D7E99"/>
    <w:rsid w:val="001E05C6"/>
    <w:rsid w:val="001E2D4F"/>
    <w:rsid w:val="001E36E0"/>
    <w:rsid w:val="001E3A56"/>
    <w:rsid w:val="001E5E09"/>
    <w:rsid w:val="001E60FF"/>
    <w:rsid w:val="001F0E2B"/>
    <w:rsid w:val="001F4959"/>
    <w:rsid w:val="00200041"/>
    <w:rsid w:val="00200B03"/>
    <w:rsid w:val="00202EBE"/>
    <w:rsid w:val="002078FF"/>
    <w:rsid w:val="0021361A"/>
    <w:rsid w:val="0021496B"/>
    <w:rsid w:val="00215D05"/>
    <w:rsid w:val="00220F0F"/>
    <w:rsid w:val="00222BE8"/>
    <w:rsid w:val="00224091"/>
    <w:rsid w:val="00225694"/>
    <w:rsid w:val="00226D0E"/>
    <w:rsid w:val="00227EF3"/>
    <w:rsid w:val="00232584"/>
    <w:rsid w:val="00233EC3"/>
    <w:rsid w:val="0023797A"/>
    <w:rsid w:val="0024035C"/>
    <w:rsid w:val="00243E48"/>
    <w:rsid w:val="002444AE"/>
    <w:rsid w:val="00244C28"/>
    <w:rsid w:val="00245E14"/>
    <w:rsid w:val="00245FFF"/>
    <w:rsid w:val="00251E4F"/>
    <w:rsid w:val="00253649"/>
    <w:rsid w:val="00254C9B"/>
    <w:rsid w:val="002574D2"/>
    <w:rsid w:val="002574DF"/>
    <w:rsid w:val="00273688"/>
    <w:rsid w:val="00274650"/>
    <w:rsid w:val="00274D6F"/>
    <w:rsid w:val="0027567D"/>
    <w:rsid w:val="002860D0"/>
    <w:rsid w:val="00287358"/>
    <w:rsid w:val="002929EE"/>
    <w:rsid w:val="002949AD"/>
    <w:rsid w:val="002A1668"/>
    <w:rsid w:val="002A26E6"/>
    <w:rsid w:val="002A2D8F"/>
    <w:rsid w:val="002A4127"/>
    <w:rsid w:val="002A56D0"/>
    <w:rsid w:val="002B02BF"/>
    <w:rsid w:val="002B2F99"/>
    <w:rsid w:val="002B74B6"/>
    <w:rsid w:val="002B74CA"/>
    <w:rsid w:val="002B7517"/>
    <w:rsid w:val="002C12EA"/>
    <w:rsid w:val="002C2555"/>
    <w:rsid w:val="002C4F7A"/>
    <w:rsid w:val="002C5096"/>
    <w:rsid w:val="002C71B4"/>
    <w:rsid w:val="002D16B1"/>
    <w:rsid w:val="002D3A1A"/>
    <w:rsid w:val="002F3E32"/>
    <w:rsid w:val="003014CC"/>
    <w:rsid w:val="003046CC"/>
    <w:rsid w:val="003049AC"/>
    <w:rsid w:val="003051B0"/>
    <w:rsid w:val="00305717"/>
    <w:rsid w:val="00305EB0"/>
    <w:rsid w:val="00306CA4"/>
    <w:rsid w:val="00307513"/>
    <w:rsid w:val="00307814"/>
    <w:rsid w:val="00307DF3"/>
    <w:rsid w:val="003108F3"/>
    <w:rsid w:val="00311EE2"/>
    <w:rsid w:val="00313566"/>
    <w:rsid w:val="003145AC"/>
    <w:rsid w:val="003159E2"/>
    <w:rsid w:val="003201B8"/>
    <w:rsid w:val="003212C4"/>
    <w:rsid w:val="00323AC2"/>
    <w:rsid w:val="00325FB0"/>
    <w:rsid w:val="00330A58"/>
    <w:rsid w:val="00331C3C"/>
    <w:rsid w:val="00332A78"/>
    <w:rsid w:val="003341B2"/>
    <w:rsid w:val="003351EE"/>
    <w:rsid w:val="00336FF9"/>
    <w:rsid w:val="0034133F"/>
    <w:rsid w:val="003417ED"/>
    <w:rsid w:val="003433DD"/>
    <w:rsid w:val="0034552E"/>
    <w:rsid w:val="0035012C"/>
    <w:rsid w:val="00351315"/>
    <w:rsid w:val="003605CE"/>
    <w:rsid w:val="003608C9"/>
    <w:rsid w:val="00362848"/>
    <w:rsid w:val="003629D2"/>
    <w:rsid w:val="003649A0"/>
    <w:rsid w:val="00370E96"/>
    <w:rsid w:val="00370EE1"/>
    <w:rsid w:val="00373918"/>
    <w:rsid w:val="00377F7A"/>
    <w:rsid w:val="00380131"/>
    <w:rsid w:val="003912B2"/>
    <w:rsid w:val="003955F4"/>
    <w:rsid w:val="00396A64"/>
    <w:rsid w:val="003A041A"/>
    <w:rsid w:val="003A2B30"/>
    <w:rsid w:val="003A4773"/>
    <w:rsid w:val="003B10B2"/>
    <w:rsid w:val="003B1FB8"/>
    <w:rsid w:val="003B31A7"/>
    <w:rsid w:val="003C00D6"/>
    <w:rsid w:val="003C2FC7"/>
    <w:rsid w:val="003C5C7F"/>
    <w:rsid w:val="003C7FC8"/>
    <w:rsid w:val="003D20BA"/>
    <w:rsid w:val="003D3095"/>
    <w:rsid w:val="003D347D"/>
    <w:rsid w:val="003D3C14"/>
    <w:rsid w:val="003D603D"/>
    <w:rsid w:val="003D6342"/>
    <w:rsid w:val="003D7662"/>
    <w:rsid w:val="003E5458"/>
    <w:rsid w:val="003E713C"/>
    <w:rsid w:val="003F1196"/>
    <w:rsid w:val="003F1745"/>
    <w:rsid w:val="003F24F0"/>
    <w:rsid w:val="003F3FDD"/>
    <w:rsid w:val="003F4A92"/>
    <w:rsid w:val="00400021"/>
    <w:rsid w:val="0040253F"/>
    <w:rsid w:val="0040365A"/>
    <w:rsid w:val="00407E0F"/>
    <w:rsid w:val="0041073B"/>
    <w:rsid w:val="004148D4"/>
    <w:rsid w:val="00415BA1"/>
    <w:rsid w:val="00416BD1"/>
    <w:rsid w:val="00421F3F"/>
    <w:rsid w:val="004340C4"/>
    <w:rsid w:val="004352AF"/>
    <w:rsid w:val="00435976"/>
    <w:rsid w:val="004377FF"/>
    <w:rsid w:val="00437C70"/>
    <w:rsid w:val="00441C1F"/>
    <w:rsid w:val="004461BD"/>
    <w:rsid w:val="004473F4"/>
    <w:rsid w:val="00447769"/>
    <w:rsid w:val="00455C27"/>
    <w:rsid w:val="00455D06"/>
    <w:rsid w:val="004574A8"/>
    <w:rsid w:val="004641C1"/>
    <w:rsid w:val="00474798"/>
    <w:rsid w:val="0047597F"/>
    <w:rsid w:val="004808B0"/>
    <w:rsid w:val="00483BA9"/>
    <w:rsid w:val="00484249"/>
    <w:rsid w:val="0048431E"/>
    <w:rsid w:val="00487B22"/>
    <w:rsid w:val="004905EC"/>
    <w:rsid w:val="00495100"/>
    <w:rsid w:val="004A1D3B"/>
    <w:rsid w:val="004A3032"/>
    <w:rsid w:val="004B0E92"/>
    <w:rsid w:val="004B1907"/>
    <w:rsid w:val="004B1CE9"/>
    <w:rsid w:val="004B4DBC"/>
    <w:rsid w:val="004B5B38"/>
    <w:rsid w:val="004B7F26"/>
    <w:rsid w:val="004C0326"/>
    <w:rsid w:val="004C18DA"/>
    <w:rsid w:val="004C4466"/>
    <w:rsid w:val="004D1B3C"/>
    <w:rsid w:val="004D53F9"/>
    <w:rsid w:val="004D6E19"/>
    <w:rsid w:val="004D7E4E"/>
    <w:rsid w:val="004E02C6"/>
    <w:rsid w:val="004E143F"/>
    <w:rsid w:val="004E400C"/>
    <w:rsid w:val="004F2854"/>
    <w:rsid w:val="004F493E"/>
    <w:rsid w:val="004F52A2"/>
    <w:rsid w:val="004F5BCB"/>
    <w:rsid w:val="004F6160"/>
    <w:rsid w:val="004F69B6"/>
    <w:rsid w:val="004F6FBA"/>
    <w:rsid w:val="00501690"/>
    <w:rsid w:val="00503409"/>
    <w:rsid w:val="00504AC7"/>
    <w:rsid w:val="005101F1"/>
    <w:rsid w:val="00511F80"/>
    <w:rsid w:val="00512DCD"/>
    <w:rsid w:val="0051412A"/>
    <w:rsid w:val="0051588A"/>
    <w:rsid w:val="00520AC5"/>
    <w:rsid w:val="005215E6"/>
    <w:rsid w:val="0052239C"/>
    <w:rsid w:val="00530C0B"/>
    <w:rsid w:val="00532477"/>
    <w:rsid w:val="0053715B"/>
    <w:rsid w:val="00541465"/>
    <w:rsid w:val="0054197A"/>
    <w:rsid w:val="00545996"/>
    <w:rsid w:val="00546862"/>
    <w:rsid w:val="00546937"/>
    <w:rsid w:val="00550D3D"/>
    <w:rsid w:val="00551823"/>
    <w:rsid w:val="00553C42"/>
    <w:rsid w:val="00556056"/>
    <w:rsid w:val="00557026"/>
    <w:rsid w:val="00557908"/>
    <w:rsid w:val="00565B04"/>
    <w:rsid w:val="00566E7F"/>
    <w:rsid w:val="005773B0"/>
    <w:rsid w:val="00581350"/>
    <w:rsid w:val="00581BC0"/>
    <w:rsid w:val="00582BAB"/>
    <w:rsid w:val="00583022"/>
    <w:rsid w:val="0058397E"/>
    <w:rsid w:val="0058434A"/>
    <w:rsid w:val="00585D1C"/>
    <w:rsid w:val="005901B0"/>
    <w:rsid w:val="005A0C65"/>
    <w:rsid w:val="005A1D5E"/>
    <w:rsid w:val="005A34B6"/>
    <w:rsid w:val="005A4316"/>
    <w:rsid w:val="005A6F94"/>
    <w:rsid w:val="005B3B01"/>
    <w:rsid w:val="005B5266"/>
    <w:rsid w:val="005B6A77"/>
    <w:rsid w:val="005C058D"/>
    <w:rsid w:val="005C2BAE"/>
    <w:rsid w:val="005C36C0"/>
    <w:rsid w:val="005C3A17"/>
    <w:rsid w:val="005C532D"/>
    <w:rsid w:val="005C54A6"/>
    <w:rsid w:val="005C5D3D"/>
    <w:rsid w:val="005C78EC"/>
    <w:rsid w:val="005D1F9E"/>
    <w:rsid w:val="005D3DE4"/>
    <w:rsid w:val="005D4045"/>
    <w:rsid w:val="005D5557"/>
    <w:rsid w:val="005D559E"/>
    <w:rsid w:val="005D6E8C"/>
    <w:rsid w:val="005D7F07"/>
    <w:rsid w:val="005E0178"/>
    <w:rsid w:val="005E063A"/>
    <w:rsid w:val="005E0C6E"/>
    <w:rsid w:val="005E1028"/>
    <w:rsid w:val="005E7068"/>
    <w:rsid w:val="005F1835"/>
    <w:rsid w:val="005F405A"/>
    <w:rsid w:val="005F4D50"/>
    <w:rsid w:val="005F67E4"/>
    <w:rsid w:val="005F7C0C"/>
    <w:rsid w:val="005F7ECD"/>
    <w:rsid w:val="00600529"/>
    <w:rsid w:val="006010FD"/>
    <w:rsid w:val="006011B0"/>
    <w:rsid w:val="006024F0"/>
    <w:rsid w:val="00607789"/>
    <w:rsid w:val="0061252D"/>
    <w:rsid w:val="00621A40"/>
    <w:rsid w:val="0062429C"/>
    <w:rsid w:val="0062739A"/>
    <w:rsid w:val="006317CB"/>
    <w:rsid w:val="00633B67"/>
    <w:rsid w:val="006403DB"/>
    <w:rsid w:val="00640ECD"/>
    <w:rsid w:val="006440E3"/>
    <w:rsid w:val="00645FF1"/>
    <w:rsid w:val="00646EB7"/>
    <w:rsid w:val="00653B55"/>
    <w:rsid w:val="00653BF7"/>
    <w:rsid w:val="00660E43"/>
    <w:rsid w:val="0066210F"/>
    <w:rsid w:val="00663BC5"/>
    <w:rsid w:val="006656C6"/>
    <w:rsid w:val="00670AD2"/>
    <w:rsid w:val="0067157F"/>
    <w:rsid w:val="00686450"/>
    <w:rsid w:val="00686E1B"/>
    <w:rsid w:val="0069028A"/>
    <w:rsid w:val="00691EAD"/>
    <w:rsid w:val="006A035F"/>
    <w:rsid w:val="006A12CD"/>
    <w:rsid w:val="006A4608"/>
    <w:rsid w:val="006A5D86"/>
    <w:rsid w:val="006B16F0"/>
    <w:rsid w:val="006B24AF"/>
    <w:rsid w:val="006C04D1"/>
    <w:rsid w:val="006C091E"/>
    <w:rsid w:val="006C0A88"/>
    <w:rsid w:val="006C51CB"/>
    <w:rsid w:val="006D02DB"/>
    <w:rsid w:val="006D262C"/>
    <w:rsid w:val="006D2950"/>
    <w:rsid w:val="006D3880"/>
    <w:rsid w:val="006D5841"/>
    <w:rsid w:val="006E036A"/>
    <w:rsid w:val="006E2894"/>
    <w:rsid w:val="006E5F3B"/>
    <w:rsid w:val="006E6884"/>
    <w:rsid w:val="006F10CC"/>
    <w:rsid w:val="006F3278"/>
    <w:rsid w:val="006F3E0B"/>
    <w:rsid w:val="006F7017"/>
    <w:rsid w:val="007007F4"/>
    <w:rsid w:val="007027A6"/>
    <w:rsid w:val="00704155"/>
    <w:rsid w:val="00706693"/>
    <w:rsid w:val="007075D7"/>
    <w:rsid w:val="00707DCE"/>
    <w:rsid w:val="00710D9A"/>
    <w:rsid w:val="0071590C"/>
    <w:rsid w:val="00715DAD"/>
    <w:rsid w:val="00716AE8"/>
    <w:rsid w:val="00716F36"/>
    <w:rsid w:val="00721EC0"/>
    <w:rsid w:val="00724A0C"/>
    <w:rsid w:val="00733F44"/>
    <w:rsid w:val="00734F88"/>
    <w:rsid w:val="00736650"/>
    <w:rsid w:val="00737167"/>
    <w:rsid w:val="00744DFF"/>
    <w:rsid w:val="007470CD"/>
    <w:rsid w:val="007473BC"/>
    <w:rsid w:val="00747447"/>
    <w:rsid w:val="00751637"/>
    <w:rsid w:val="007604CD"/>
    <w:rsid w:val="007657BD"/>
    <w:rsid w:val="007705A1"/>
    <w:rsid w:val="00773666"/>
    <w:rsid w:val="00774988"/>
    <w:rsid w:val="00775CB1"/>
    <w:rsid w:val="00776FAC"/>
    <w:rsid w:val="00782324"/>
    <w:rsid w:val="007851F4"/>
    <w:rsid w:val="00787B84"/>
    <w:rsid w:val="00790A71"/>
    <w:rsid w:val="0079308D"/>
    <w:rsid w:val="007A2E85"/>
    <w:rsid w:val="007A2FFF"/>
    <w:rsid w:val="007A7536"/>
    <w:rsid w:val="007C2066"/>
    <w:rsid w:val="007C67DC"/>
    <w:rsid w:val="007C7BF9"/>
    <w:rsid w:val="007D02CE"/>
    <w:rsid w:val="007D37FA"/>
    <w:rsid w:val="007D664B"/>
    <w:rsid w:val="007E0A2B"/>
    <w:rsid w:val="007E1A8A"/>
    <w:rsid w:val="007E324C"/>
    <w:rsid w:val="007E46F9"/>
    <w:rsid w:val="007E5DC1"/>
    <w:rsid w:val="007E7AFF"/>
    <w:rsid w:val="007F2AD3"/>
    <w:rsid w:val="007F751D"/>
    <w:rsid w:val="00814401"/>
    <w:rsid w:val="00820327"/>
    <w:rsid w:val="00823458"/>
    <w:rsid w:val="008251CC"/>
    <w:rsid w:val="00832CBB"/>
    <w:rsid w:val="008337C1"/>
    <w:rsid w:val="00846557"/>
    <w:rsid w:val="008472AD"/>
    <w:rsid w:val="00847FA9"/>
    <w:rsid w:val="00853ACB"/>
    <w:rsid w:val="00853F86"/>
    <w:rsid w:val="00862AA7"/>
    <w:rsid w:val="00865C09"/>
    <w:rsid w:val="008705F6"/>
    <w:rsid w:val="008742A0"/>
    <w:rsid w:val="00875C0A"/>
    <w:rsid w:val="00875E96"/>
    <w:rsid w:val="00885D74"/>
    <w:rsid w:val="00893190"/>
    <w:rsid w:val="008A0984"/>
    <w:rsid w:val="008A117E"/>
    <w:rsid w:val="008A270C"/>
    <w:rsid w:val="008A3CC4"/>
    <w:rsid w:val="008A6DB7"/>
    <w:rsid w:val="008A77CD"/>
    <w:rsid w:val="008B113D"/>
    <w:rsid w:val="008B3B01"/>
    <w:rsid w:val="008B40AE"/>
    <w:rsid w:val="008B7BE6"/>
    <w:rsid w:val="008C16B9"/>
    <w:rsid w:val="008C19E1"/>
    <w:rsid w:val="008C3120"/>
    <w:rsid w:val="008C31EE"/>
    <w:rsid w:val="008C3764"/>
    <w:rsid w:val="008C63DD"/>
    <w:rsid w:val="008D017A"/>
    <w:rsid w:val="008D3185"/>
    <w:rsid w:val="008D5205"/>
    <w:rsid w:val="008F0CFC"/>
    <w:rsid w:val="008F2047"/>
    <w:rsid w:val="008F3D49"/>
    <w:rsid w:val="008F539E"/>
    <w:rsid w:val="00900A33"/>
    <w:rsid w:val="009010FA"/>
    <w:rsid w:val="00901D9A"/>
    <w:rsid w:val="00902BA1"/>
    <w:rsid w:val="00906C20"/>
    <w:rsid w:val="00913C6D"/>
    <w:rsid w:val="00913E10"/>
    <w:rsid w:val="00916304"/>
    <w:rsid w:val="00921DD9"/>
    <w:rsid w:val="00924506"/>
    <w:rsid w:val="0092474C"/>
    <w:rsid w:val="009264E3"/>
    <w:rsid w:val="009271D6"/>
    <w:rsid w:val="009322B7"/>
    <w:rsid w:val="009333C8"/>
    <w:rsid w:val="00935901"/>
    <w:rsid w:val="00936248"/>
    <w:rsid w:val="00936CEC"/>
    <w:rsid w:val="00943542"/>
    <w:rsid w:val="00943F2B"/>
    <w:rsid w:val="00943F67"/>
    <w:rsid w:val="00944A49"/>
    <w:rsid w:val="00944DA0"/>
    <w:rsid w:val="00946972"/>
    <w:rsid w:val="00947659"/>
    <w:rsid w:val="00950C59"/>
    <w:rsid w:val="0095324A"/>
    <w:rsid w:val="009568FC"/>
    <w:rsid w:val="00961628"/>
    <w:rsid w:val="00967214"/>
    <w:rsid w:val="00967285"/>
    <w:rsid w:val="0096762E"/>
    <w:rsid w:val="00967AEB"/>
    <w:rsid w:val="0097065B"/>
    <w:rsid w:val="00970AB1"/>
    <w:rsid w:val="00971708"/>
    <w:rsid w:val="00971FEA"/>
    <w:rsid w:val="00976010"/>
    <w:rsid w:val="009829D3"/>
    <w:rsid w:val="0098393A"/>
    <w:rsid w:val="00983AA4"/>
    <w:rsid w:val="00983D4B"/>
    <w:rsid w:val="00985B1E"/>
    <w:rsid w:val="00987445"/>
    <w:rsid w:val="0099062E"/>
    <w:rsid w:val="00991162"/>
    <w:rsid w:val="009931CC"/>
    <w:rsid w:val="009953AB"/>
    <w:rsid w:val="00995A1D"/>
    <w:rsid w:val="00995FFD"/>
    <w:rsid w:val="00996548"/>
    <w:rsid w:val="00996BB1"/>
    <w:rsid w:val="009A1C1E"/>
    <w:rsid w:val="009A4C25"/>
    <w:rsid w:val="009C3820"/>
    <w:rsid w:val="009C49A2"/>
    <w:rsid w:val="009C5764"/>
    <w:rsid w:val="009D03B9"/>
    <w:rsid w:val="009D2550"/>
    <w:rsid w:val="009D2DE0"/>
    <w:rsid w:val="009D2F3F"/>
    <w:rsid w:val="009D38BB"/>
    <w:rsid w:val="009D437A"/>
    <w:rsid w:val="009D44D0"/>
    <w:rsid w:val="009D7509"/>
    <w:rsid w:val="009D787C"/>
    <w:rsid w:val="009E064F"/>
    <w:rsid w:val="009E4E9C"/>
    <w:rsid w:val="009F14CD"/>
    <w:rsid w:val="009F2A60"/>
    <w:rsid w:val="009F31A1"/>
    <w:rsid w:val="009F3CB5"/>
    <w:rsid w:val="009F728A"/>
    <w:rsid w:val="00A00E3B"/>
    <w:rsid w:val="00A06060"/>
    <w:rsid w:val="00A07C9A"/>
    <w:rsid w:val="00A07E14"/>
    <w:rsid w:val="00A116A3"/>
    <w:rsid w:val="00A148D9"/>
    <w:rsid w:val="00A2057C"/>
    <w:rsid w:val="00A25FAC"/>
    <w:rsid w:val="00A27354"/>
    <w:rsid w:val="00A347F1"/>
    <w:rsid w:val="00A36FE5"/>
    <w:rsid w:val="00A403D3"/>
    <w:rsid w:val="00A40E22"/>
    <w:rsid w:val="00A42907"/>
    <w:rsid w:val="00A46DE1"/>
    <w:rsid w:val="00A54632"/>
    <w:rsid w:val="00A555A1"/>
    <w:rsid w:val="00A61F72"/>
    <w:rsid w:val="00A715AE"/>
    <w:rsid w:val="00A743F8"/>
    <w:rsid w:val="00A841F6"/>
    <w:rsid w:val="00A874F6"/>
    <w:rsid w:val="00A87D04"/>
    <w:rsid w:val="00A9182A"/>
    <w:rsid w:val="00A92D70"/>
    <w:rsid w:val="00A96D42"/>
    <w:rsid w:val="00AA3089"/>
    <w:rsid w:val="00AA3170"/>
    <w:rsid w:val="00AA7172"/>
    <w:rsid w:val="00AB168B"/>
    <w:rsid w:val="00AB2305"/>
    <w:rsid w:val="00AC01F1"/>
    <w:rsid w:val="00AC0F02"/>
    <w:rsid w:val="00AC2025"/>
    <w:rsid w:val="00AC7F81"/>
    <w:rsid w:val="00AD0938"/>
    <w:rsid w:val="00AD1C19"/>
    <w:rsid w:val="00AD2C16"/>
    <w:rsid w:val="00AD422C"/>
    <w:rsid w:val="00AD5BE1"/>
    <w:rsid w:val="00AE15C4"/>
    <w:rsid w:val="00AE5059"/>
    <w:rsid w:val="00AE581C"/>
    <w:rsid w:val="00AF103B"/>
    <w:rsid w:val="00AF56DB"/>
    <w:rsid w:val="00B03330"/>
    <w:rsid w:val="00B17288"/>
    <w:rsid w:val="00B21447"/>
    <w:rsid w:val="00B22A27"/>
    <w:rsid w:val="00B2573F"/>
    <w:rsid w:val="00B26BF6"/>
    <w:rsid w:val="00B27E21"/>
    <w:rsid w:val="00B3004B"/>
    <w:rsid w:val="00B31728"/>
    <w:rsid w:val="00B33187"/>
    <w:rsid w:val="00B33818"/>
    <w:rsid w:val="00B3477A"/>
    <w:rsid w:val="00B359C4"/>
    <w:rsid w:val="00B35B9B"/>
    <w:rsid w:val="00B36FE6"/>
    <w:rsid w:val="00B379BB"/>
    <w:rsid w:val="00B4283C"/>
    <w:rsid w:val="00B44459"/>
    <w:rsid w:val="00B44A6D"/>
    <w:rsid w:val="00B45639"/>
    <w:rsid w:val="00B462B5"/>
    <w:rsid w:val="00B46328"/>
    <w:rsid w:val="00B52BB0"/>
    <w:rsid w:val="00B52F7D"/>
    <w:rsid w:val="00B62887"/>
    <w:rsid w:val="00B74D19"/>
    <w:rsid w:val="00B77CCE"/>
    <w:rsid w:val="00B82CD1"/>
    <w:rsid w:val="00B84F55"/>
    <w:rsid w:val="00B8771E"/>
    <w:rsid w:val="00B934B4"/>
    <w:rsid w:val="00B93875"/>
    <w:rsid w:val="00B95FAB"/>
    <w:rsid w:val="00BA3EC9"/>
    <w:rsid w:val="00BA639E"/>
    <w:rsid w:val="00BC3ED7"/>
    <w:rsid w:val="00BD5AC3"/>
    <w:rsid w:val="00BE3446"/>
    <w:rsid w:val="00BE36F1"/>
    <w:rsid w:val="00BF0660"/>
    <w:rsid w:val="00BF2D72"/>
    <w:rsid w:val="00BF2E51"/>
    <w:rsid w:val="00BF48F7"/>
    <w:rsid w:val="00BF4F0B"/>
    <w:rsid w:val="00BF4F82"/>
    <w:rsid w:val="00BF5F71"/>
    <w:rsid w:val="00BF65F4"/>
    <w:rsid w:val="00C01129"/>
    <w:rsid w:val="00C01ACD"/>
    <w:rsid w:val="00C04839"/>
    <w:rsid w:val="00C05CED"/>
    <w:rsid w:val="00C06BD1"/>
    <w:rsid w:val="00C06F01"/>
    <w:rsid w:val="00C07602"/>
    <w:rsid w:val="00C11507"/>
    <w:rsid w:val="00C14ABF"/>
    <w:rsid w:val="00C168A8"/>
    <w:rsid w:val="00C16AD2"/>
    <w:rsid w:val="00C238F7"/>
    <w:rsid w:val="00C24CE4"/>
    <w:rsid w:val="00C3053D"/>
    <w:rsid w:val="00C326B0"/>
    <w:rsid w:val="00C34D3C"/>
    <w:rsid w:val="00C36AD7"/>
    <w:rsid w:val="00C377FD"/>
    <w:rsid w:val="00C416DA"/>
    <w:rsid w:val="00C41E9A"/>
    <w:rsid w:val="00C42D9C"/>
    <w:rsid w:val="00C46503"/>
    <w:rsid w:val="00C512FC"/>
    <w:rsid w:val="00C52B7B"/>
    <w:rsid w:val="00C60D6D"/>
    <w:rsid w:val="00C65C72"/>
    <w:rsid w:val="00C65F7D"/>
    <w:rsid w:val="00C75703"/>
    <w:rsid w:val="00C81C82"/>
    <w:rsid w:val="00C828F1"/>
    <w:rsid w:val="00C912CF"/>
    <w:rsid w:val="00C9442D"/>
    <w:rsid w:val="00CA2036"/>
    <w:rsid w:val="00CA4CE6"/>
    <w:rsid w:val="00CA61DA"/>
    <w:rsid w:val="00CA6A51"/>
    <w:rsid w:val="00CB311C"/>
    <w:rsid w:val="00CB67C8"/>
    <w:rsid w:val="00CB754F"/>
    <w:rsid w:val="00CC25F5"/>
    <w:rsid w:val="00CC52BA"/>
    <w:rsid w:val="00CC628C"/>
    <w:rsid w:val="00CC67FA"/>
    <w:rsid w:val="00CC6ACD"/>
    <w:rsid w:val="00CD269F"/>
    <w:rsid w:val="00CD58ED"/>
    <w:rsid w:val="00CD5DF0"/>
    <w:rsid w:val="00CE04CE"/>
    <w:rsid w:val="00CE0745"/>
    <w:rsid w:val="00CE1D38"/>
    <w:rsid w:val="00CE2229"/>
    <w:rsid w:val="00CF0F3C"/>
    <w:rsid w:val="00CF158A"/>
    <w:rsid w:val="00CF1FF9"/>
    <w:rsid w:val="00CF6297"/>
    <w:rsid w:val="00CF7627"/>
    <w:rsid w:val="00D0280D"/>
    <w:rsid w:val="00D046F5"/>
    <w:rsid w:val="00D04D88"/>
    <w:rsid w:val="00D0596C"/>
    <w:rsid w:val="00D06894"/>
    <w:rsid w:val="00D07188"/>
    <w:rsid w:val="00D0782F"/>
    <w:rsid w:val="00D07C60"/>
    <w:rsid w:val="00D07FA9"/>
    <w:rsid w:val="00D11C7C"/>
    <w:rsid w:val="00D21FC2"/>
    <w:rsid w:val="00D3433E"/>
    <w:rsid w:val="00D34838"/>
    <w:rsid w:val="00D415A0"/>
    <w:rsid w:val="00D45007"/>
    <w:rsid w:val="00D527A0"/>
    <w:rsid w:val="00D57C6F"/>
    <w:rsid w:val="00D57D2B"/>
    <w:rsid w:val="00D6170A"/>
    <w:rsid w:val="00D64F88"/>
    <w:rsid w:val="00D7264F"/>
    <w:rsid w:val="00D73962"/>
    <w:rsid w:val="00D769FC"/>
    <w:rsid w:val="00D77667"/>
    <w:rsid w:val="00D77F9A"/>
    <w:rsid w:val="00D81AD1"/>
    <w:rsid w:val="00D85484"/>
    <w:rsid w:val="00D85897"/>
    <w:rsid w:val="00D86F51"/>
    <w:rsid w:val="00D87DC8"/>
    <w:rsid w:val="00D9194F"/>
    <w:rsid w:val="00D93E12"/>
    <w:rsid w:val="00D9501D"/>
    <w:rsid w:val="00D9589A"/>
    <w:rsid w:val="00D95AF2"/>
    <w:rsid w:val="00DA5109"/>
    <w:rsid w:val="00DA5D12"/>
    <w:rsid w:val="00DB512F"/>
    <w:rsid w:val="00DC0504"/>
    <w:rsid w:val="00DC2C23"/>
    <w:rsid w:val="00DC51A3"/>
    <w:rsid w:val="00DC7EC5"/>
    <w:rsid w:val="00DD2CE1"/>
    <w:rsid w:val="00DD5822"/>
    <w:rsid w:val="00DD770A"/>
    <w:rsid w:val="00DE13BC"/>
    <w:rsid w:val="00DE30B4"/>
    <w:rsid w:val="00DE4422"/>
    <w:rsid w:val="00DE6AA5"/>
    <w:rsid w:val="00DE7892"/>
    <w:rsid w:val="00DF1794"/>
    <w:rsid w:val="00DF29E5"/>
    <w:rsid w:val="00DF4597"/>
    <w:rsid w:val="00DF5B78"/>
    <w:rsid w:val="00E0215B"/>
    <w:rsid w:val="00E07189"/>
    <w:rsid w:val="00E1592A"/>
    <w:rsid w:val="00E21E82"/>
    <w:rsid w:val="00E27363"/>
    <w:rsid w:val="00E27433"/>
    <w:rsid w:val="00E301D8"/>
    <w:rsid w:val="00E30F0D"/>
    <w:rsid w:val="00E34496"/>
    <w:rsid w:val="00E37B92"/>
    <w:rsid w:val="00E37F93"/>
    <w:rsid w:val="00E426AF"/>
    <w:rsid w:val="00E427A3"/>
    <w:rsid w:val="00E43E44"/>
    <w:rsid w:val="00E44EE8"/>
    <w:rsid w:val="00E45607"/>
    <w:rsid w:val="00E46D37"/>
    <w:rsid w:val="00E50AF4"/>
    <w:rsid w:val="00E52289"/>
    <w:rsid w:val="00E52537"/>
    <w:rsid w:val="00E536BF"/>
    <w:rsid w:val="00E561A3"/>
    <w:rsid w:val="00E5632C"/>
    <w:rsid w:val="00E61D33"/>
    <w:rsid w:val="00E628C5"/>
    <w:rsid w:val="00E631B9"/>
    <w:rsid w:val="00E63536"/>
    <w:rsid w:val="00E6389A"/>
    <w:rsid w:val="00E63FAD"/>
    <w:rsid w:val="00E73EEA"/>
    <w:rsid w:val="00E7780E"/>
    <w:rsid w:val="00E806FF"/>
    <w:rsid w:val="00E812D0"/>
    <w:rsid w:val="00E84542"/>
    <w:rsid w:val="00E856F0"/>
    <w:rsid w:val="00E93199"/>
    <w:rsid w:val="00E97FD0"/>
    <w:rsid w:val="00EA1F4A"/>
    <w:rsid w:val="00EA21B0"/>
    <w:rsid w:val="00EA3E63"/>
    <w:rsid w:val="00EA52E4"/>
    <w:rsid w:val="00EA5FF3"/>
    <w:rsid w:val="00EB2789"/>
    <w:rsid w:val="00EB3A40"/>
    <w:rsid w:val="00EB6CD2"/>
    <w:rsid w:val="00EB7431"/>
    <w:rsid w:val="00EC6007"/>
    <w:rsid w:val="00EC683A"/>
    <w:rsid w:val="00ED3A8E"/>
    <w:rsid w:val="00ED45B8"/>
    <w:rsid w:val="00ED7A13"/>
    <w:rsid w:val="00EF1BF3"/>
    <w:rsid w:val="00EF3968"/>
    <w:rsid w:val="00EF5799"/>
    <w:rsid w:val="00EF5DCC"/>
    <w:rsid w:val="00EF68FB"/>
    <w:rsid w:val="00EF6B75"/>
    <w:rsid w:val="00EF6D7A"/>
    <w:rsid w:val="00F052C7"/>
    <w:rsid w:val="00F10022"/>
    <w:rsid w:val="00F14E27"/>
    <w:rsid w:val="00F1712F"/>
    <w:rsid w:val="00F21D3F"/>
    <w:rsid w:val="00F2321C"/>
    <w:rsid w:val="00F26A66"/>
    <w:rsid w:val="00F278F3"/>
    <w:rsid w:val="00F35039"/>
    <w:rsid w:val="00F35581"/>
    <w:rsid w:val="00F402AD"/>
    <w:rsid w:val="00F41551"/>
    <w:rsid w:val="00F41763"/>
    <w:rsid w:val="00F428A5"/>
    <w:rsid w:val="00F436AA"/>
    <w:rsid w:val="00F4586A"/>
    <w:rsid w:val="00F46142"/>
    <w:rsid w:val="00F47E28"/>
    <w:rsid w:val="00F5348A"/>
    <w:rsid w:val="00F54C5C"/>
    <w:rsid w:val="00F558D8"/>
    <w:rsid w:val="00F5746E"/>
    <w:rsid w:val="00F62111"/>
    <w:rsid w:val="00F63193"/>
    <w:rsid w:val="00F64B95"/>
    <w:rsid w:val="00F66C3C"/>
    <w:rsid w:val="00F677D2"/>
    <w:rsid w:val="00F71698"/>
    <w:rsid w:val="00F73DBE"/>
    <w:rsid w:val="00F77DF0"/>
    <w:rsid w:val="00F85A11"/>
    <w:rsid w:val="00F91151"/>
    <w:rsid w:val="00F93A80"/>
    <w:rsid w:val="00F93AD6"/>
    <w:rsid w:val="00F95189"/>
    <w:rsid w:val="00F95D2B"/>
    <w:rsid w:val="00F96630"/>
    <w:rsid w:val="00FA1BBF"/>
    <w:rsid w:val="00FA35BB"/>
    <w:rsid w:val="00FA500C"/>
    <w:rsid w:val="00FA7B87"/>
    <w:rsid w:val="00FB1231"/>
    <w:rsid w:val="00FB3C04"/>
    <w:rsid w:val="00FB48C0"/>
    <w:rsid w:val="00FC1BF9"/>
    <w:rsid w:val="00FC5468"/>
    <w:rsid w:val="00FD015F"/>
    <w:rsid w:val="00FD15B6"/>
    <w:rsid w:val="00FD2525"/>
    <w:rsid w:val="00FD283D"/>
    <w:rsid w:val="00FD3E11"/>
    <w:rsid w:val="00FE193A"/>
    <w:rsid w:val="00FE2523"/>
    <w:rsid w:val="00FE518B"/>
    <w:rsid w:val="00FF354F"/>
    <w:rsid w:val="00FF48C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A"/>
    <w:pPr>
      <w:widowControl w:val="0"/>
      <w:adjustRightInd w:val="0"/>
      <w:spacing w:after="0" w:line="360" w:lineRule="atLeast"/>
      <w:jc w:val="both"/>
      <w:textAlignment w:val="baseline"/>
    </w:pPr>
    <w:rPr>
      <w:rFonts w:eastAsia="Times New Roman" w:cs="Times New Roman"/>
      <w:sz w:val="24"/>
      <w:szCs w:val="20"/>
      <w:lang w:eastAsia="es-PE"/>
    </w:rPr>
  </w:style>
  <w:style w:type="paragraph" w:styleId="Ttulo1">
    <w:name w:val="heading 1"/>
    <w:basedOn w:val="Normal"/>
    <w:next w:val="Normal"/>
    <w:link w:val="Ttulo1Car"/>
    <w:qFormat/>
    <w:rsid w:val="00530C0B"/>
    <w:pPr>
      <w:keepNext/>
      <w:widowControl/>
      <w:adjustRightInd/>
      <w:spacing w:line="240" w:lineRule="auto"/>
      <w:jc w:val="center"/>
      <w:textAlignment w:val="auto"/>
      <w:outlineLvl w:val="0"/>
    </w:pPr>
    <w:rPr>
      <w:b/>
      <w:sz w:val="20"/>
      <w:lang w:val="es-ES" w:eastAsia="en-US"/>
    </w:rPr>
  </w:style>
  <w:style w:type="paragraph" w:styleId="Ttulo4">
    <w:name w:val="heading 4"/>
    <w:basedOn w:val="Normal"/>
    <w:next w:val="Normal"/>
    <w:link w:val="Ttulo4Car"/>
    <w:qFormat/>
    <w:rsid w:val="00530C0B"/>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w Parrafo numerado"/>
    <w:basedOn w:val="Normal"/>
    <w:link w:val="PrrafodelistaCar"/>
    <w:uiPriority w:val="34"/>
    <w:qFormat/>
    <w:rsid w:val="00971FEA"/>
    <w:pPr>
      <w:ind w:left="720"/>
      <w:contextualSpacing/>
    </w:pPr>
  </w:style>
  <w:style w:type="character" w:customStyle="1" w:styleId="PrrafodelistaCar">
    <w:name w:val="Párrafo de lista Car"/>
    <w:aliases w:val="w Parrafo numerado Car"/>
    <w:link w:val="Prrafodelista"/>
    <w:uiPriority w:val="34"/>
    <w:locked/>
    <w:rsid w:val="00971FEA"/>
    <w:rPr>
      <w:rFonts w:eastAsia="Times New Roman"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rsid w:val="00971FEA"/>
    <w:rPr>
      <w:sz w:val="20"/>
    </w:rPr>
  </w:style>
  <w:style w:type="character" w:customStyle="1" w:styleId="TextonotapieCar">
    <w:name w:val="Texto nota pie Car"/>
    <w:aliases w:val="Footnote ak Car Car Car Car,fn cafc Car,Footnote Text Char1 Car,fn Char Char Car,footnote text Char Char Car,Footnotes Char Char Car"/>
    <w:basedOn w:val="Fuentedeprrafopredeter"/>
    <w:rsid w:val="00971FEA"/>
    <w:rPr>
      <w:rFonts w:eastAsia="Times New Roman" w:cs="Times New Roman"/>
      <w:sz w:val="20"/>
      <w:szCs w:val="20"/>
      <w:lang w:eastAsia="es-PE"/>
    </w:rPr>
  </w:style>
  <w:style w:type="character" w:styleId="Refdenotaalpie">
    <w:name w:val="footnote reference"/>
    <w:aliases w:val="Ref,de nota al pie,Error-Fußnotenzeichen5,Error-Fußnotenzeichen6,Error-Fußnotenzeichen3"/>
    <w:rsid w:val="00971FE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971FEA"/>
    <w:rPr>
      <w:rFonts w:eastAsia="Times New Roman" w:cs="Times New Roman"/>
      <w:sz w:val="20"/>
      <w:szCs w:val="20"/>
      <w:lang w:eastAsia="es-PE"/>
    </w:rPr>
  </w:style>
  <w:style w:type="paragraph" w:styleId="NormalWeb">
    <w:name w:val="Normal (Web)"/>
    <w:basedOn w:val="Normal"/>
    <w:uiPriority w:val="99"/>
    <w:rsid w:val="00971FEA"/>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1A06B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26C1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26C1B"/>
    <w:rPr>
      <w:rFonts w:eastAsia="Times New Roman" w:cs="Times New Roman"/>
      <w:sz w:val="24"/>
      <w:szCs w:val="20"/>
      <w:lang w:eastAsia="es-PE"/>
    </w:rPr>
  </w:style>
  <w:style w:type="paragraph" w:styleId="Piedepgina">
    <w:name w:val="footer"/>
    <w:basedOn w:val="Normal"/>
    <w:link w:val="PiedepginaCar"/>
    <w:uiPriority w:val="99"/>
    <w:unhideWhenUsed/>
    <w:rsid w:val="00026C1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C1B"/>
    <w:rPr>
      <w:rFonts w:eastAsia="Times New Roman" w:cs="Times New Roman"/>
      <w:sz w:val="24"/>
      <w:szCs w:val="20"/>
      <w:lang w:eastAsia="es-PE"/>
    </w:rPr>
  </w:style>
  <w:style w:type="paragraph" w:customStyle="1" w:styleId="qowt-li-00">
    <w:name w:val="qowt-li-0_0"/>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710D9A"/>
  </w:style>
  <w:style w:type="paragraph" w:customStyle="1" w:styleId="qowt-stl-normal">
    <w:name w:val="qowt-stl-normal"/>
    <w:basedOn w:val="Normal"/>
    <w:rsid w:val="0016367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Ttulo1Car">
    <w:name w:val="Título 1 Car"/>
    <w:basedOn w:val="Fuentedeprrafopredeter"/>
    <w:link w:val="Ttulo1"/>
    <w:rsid w:val="00530C0B"/>
    <w:rPr>
      <w:rFonts w:eastAsia="Times New Roman" w:cs="Times New Roman"/>
      <w:b/>
      <w:sz w:val="20"/>
      <w:szCs w:val="20"/>
      <w:lang w:val="es-ES"/>
    </w:rPr>
  </w:style>
  <w:style w:type="character" w:customStyle="1" w:styleId="Ttulo4Car">
    <w:name w:val="Título 4 Car"/>
    <w:basedOn w:val="Fuentedeprrafopredeter"/>
    <w:link w:val="Ttulo4"/>
    <w:rsid w:val="00530C0B"/>
    <w:rPr>
      <w:rFonts w:eastAsia="Times New Roman" w:cs="Times New Roman"/>
      <w:b/>
      <w:szCs w:val="20"/>
      <w:lang w:val="es-ES"/>
    </w:rPr>
  </w:style>
  <w:style w:type="character" w:customStyle="1" w:styleId="qowt-font3-arial">
    <w:name w:val="qowt-font3-arial"/>
    <w:basedOn w:val="Fuentedeprrafopredeter"/>
    <w:rsid w:val="00C01ACD"/>
  </w:style>
  <w:style w:type="paragraph" w:customStyle="1" w:styleId="qowt-li-18864540681">
    <w:name w:val="qowt-li-1886454068_1"/>
    <w:basedOn w:val="Normal"/>
    <w:rsid w:val="00C01ACD"/>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6403DB"/>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B428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83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C01129"/>
    <w:rPr>
      <w:sz w:val="16"/>
      <w:szCs w:val="16"/>
    </w:rPr>
  </w:style>
  <w:style w:type="paragraph" w:styleId="Textocomentario">
    <w:name w:val="annotation text"/>
    <w:basedOn w:val="Normal"/>
    <w:link w:val="TextocomentarioCar"/>
    <w:uiPriority w:val="99"/>
    <w:semiHidden/>
    <w:unhideWhenUsed/>
    <w:rsid w:val="00C01129"/>
    <w:pPr>
      <w:spacing w:line="240" w:lineRule="auto"/>
    </w:pPr>
    <w:rPr>
      <w:sz w:val="20"/>
    </w:rPr>
  </w:style>
  <w:style w:type="character" w:customStyle="1" w:styleId="TextocomentarioCar">
    <w:name w:val="Texto comentario Car"/>
    <w:basedOn w:val="Fuentedeprrafopredeter"/>
    <w:link w:val="Textocomentario"/>
    <w:uiPriority w:val="99"/>
    <w:semiHidden/>
    <w:rsid w:val="00C01129"/>
    <w:rPr>
      <w:rFonts w:eastAsia="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C01129"/>
    <w:rPr>
      <w:b/>
      <w:bCs/>
    </w:rPr>
  </w:style>
  <w:style w:type="character" w:customStyle="1" w:styleId="AsuntodelcomentarioCar">
    <w:name w:val="Asunto del comentario Car"/>
    <w:basedOn w:val="TextocomentarioCar"/>
    <w:link w:val="Asuntodelcomentario"/>
    <w:uiPriority w:val="99"/>
    <w:semiHidden/>
    <w:rsid w:val="00C01129"/>
    <w:rPr>
      <w:rFonts w:eastAsia="Times New Roman" w:cs="Times New Roman"/>
      <w:b/>
      <w:bCs/>
      <w:sz w:val="20"/>
      <w:szCs w:val="20"/>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A"/>
    <w:pPr>
      <w:widowControl w:val="0"/>
      <w:adjustRightInd w:val="0"/>
      <w:spacing w:after="0" w:line="360" w:lineRule="atLeast"/>
      <w:jc w:val="both"/>
      <w:textAlignment w:val="baseline"/>
    </w:pPr>
    <w:rPr>
      <w:rFonts w:eastAsia="Times New Roman" w:cs="Times New Roman"/>
      <w:sz w:val="24"/>
      <w:szCs w:val="20"/>
      <w:lang w:eastAsia="es-PE"/>
    </w:rPr>
  </w:style>
  <w:style w:type="paragraph" w:styleId="Ttulo1">
    <w:name w:val="heading 1"/>
    <w:basedOn w:val="Normal"/>
    <w:next w:val="Normal"/>
    <w:link w:val="Ttulo1Car"/>
    <w:qFormat/>
    <w:rsid w:val="00530C0B"/>
    <w:pPr>
      <w:keepNext/>
      <w:widowControl/>
      <w:adjustRightInd/>
      <w:spacing w:line="240" w:lineRule="auto"/>
      <w:jc w:val="center"/>
      <w:textAlignment w:val="auto"/>
      <w:outlineLvl w:val="0"/>
    </w:pPr>
    <w:rPr>
      <w:b/>
      <w:sz w:val="20"/>
      <w:lang w:val="es-ES" w:eastAsia="en-US"/>
    </w:rPr>
  </w:style>
  <w:style w:type="paragraph" w:styleId="Ttulo4">
    <w:name w:val="heading 4"/>
    <w:basedOn w:val="Normal"/>
    <w:next w:val="Normal"/>
    <w:link w:val="Ttulo4Car"/>
    <w:qFormat/>
    <w:rsid w:val="00530C0B"/>
    <w:pPr>
      <w:keepNext/>
      <w:adjustRightInd/>
      <w:spacing w:before="240" w:after="60" w:line="240" w:lineRule="auto"/>
      <w:jc w:val="left"/>
      <w:textAlignment w:val="auto"/>
      <w:outlineLvl w:val="3"/>
    </w:pPr>
    <w:rPr>
      <w:b/>
      <w:sz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w Parrafo numerado"/>
    <w:basedOn w:val="Normal"/>
    <w:link w:val="PrrafodelistaCar"/>
    <w:uiPriority w:val="34"/>
    <w:qFormat/>
    <w:rsid w:val="00971FEA"/>
    <w:pPr>
      <w:ind w:left="720"/>
      <w:contextualSpacing/>
    </w:pPr>
  </w:style>
  <w:style w:type="character" w:customStyle="1" w:styleId="PrrafodelistaCar">
    <w:name w:val="Párrafo de lista Car"/>
    <w:aliases w:val="w Parrafo numerado Car"/>
    <w:link w:val="Prrafodelista"/>
    <w:uiPriority w:val="34"/>
    <w:locked/>
    <w:rsid w:val="00971FEA"/>
    <w:rPr>
      <w:rFonts w:eastAsia="Times New Roman"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rsid w:val="00971FEA"/>
    <w:rPr>
      <w:sz w:val="20"/>
    </w:rPr>
  </w:style>
  <w:style w:type="character" w:customStyle="1" w:styleId="TextonotapieCar">
    <w:name w:val="Texto nota pie Car"/>
    <w:aliases w:val="Footnote ak Car Car Car Car,fn cafc Car,Footnote Text Char1 Car,fn Char Char Car,footnote text Char Char Car,Footnotes Char Char Car"/>
    <w:basedOn w:val="Fuentedeprrafopredeter"/>
    <w:rsid w:val="00971FEA"/>
    <w:rPr>
      <w:rFonts w:eastAsia="Times New Roman" w:cs="Times New Roman"/>
      <w:sz w:val="20"/>
      <w:szCs w:val="20"/>
      <w:lang w:eastAsia="es-PE"/>
    </w:rPr>
  </w:style>
  <w:style w:type="character" w:styleId="Refdenotaalpie">
    <w:name w:val="footnote reference"/>
    <w:aliases w:val="Ref,de nota al pie,Error-Fußnotenzeichen5,Error-Fußnotenzeichen6,Error-Fußnotenzeichen3"/>
    <w:rsid w:val="00971FEA"/>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rsid w:val="00971FEA"/>
    <w:rPr>
      <w:rFonts w:eastAsia="Times New Roman" w:cs="Times New Roman"/>
      <w:sz w:val="20"/>
      <w:szCs w:val="20"/>
      <w:lang w:eastAsia="es-PE"/>
    </w:rPr>
  </w:style>
  <w:style w:type="paragraph" w:styleId="NormalWeb">
    <w:name w:val="Normal (Web)"/>
    <w:basedOn w:val="Normal"/>
    <w:uiPriority w:val="99"/>
    <w:rsid w:val="00971FEA"/>
    <w:pPr>
      <w:widowControl/>
      <w:adjustRightInd/>
      <w:spacing w:before="100" w:beforeAutospacing="1" w:after="100" w:afterAutospacing="1" w:line="240" w:lineRule="auto"/>
      <w:jc w:val="left"/>
      <w:textAlignment w:val="auto"/>
    </w:pPr>
    <w:rPr>
      <w:rFonts w:ascii="Times New Roman" w:hAnsi="Times New Roman"/>
      <w:color w:val="333333"/>
      <w:szCs w:val="24"/>
      <w:lang w:eastAsia="es-ES"/>
    </w:rPr>
  </w:style>
  <w:style w:type="paragraph" w:styleId="Sinespaciado">
    <w:name w:val="No Spacing"/>
    <w:uiPriority w:val="1"/>
    <w:qFormat/>
    <w:rsid w:val="001A06BA"/>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026C1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26C1B"/>
    <w:rPr>
      <w:rFonts w:eastAsia="Times New Roman" w:cs="Times New Roman"/>
      <w:sz w:val="24"/>
      <w:szCs w:val="20"/>
      <w:lang w:eastAsia="es-PE"/>
    </w:rPr>
  </w:style>
  <w:style w:type="paragraph" w:styleId="Piedepgina">
    <w:name w:val="footer"/>
    <w:basedOn w:val="Normal"/>
    <w:link w:val="PiedepginaCar"/>
    <w:uiPriority w:val="99"/>
    <w:unhideWhenUsed/>
    <w:rsid w:val="00026C1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26C1B"/>
    <w:rPr>
      <w:rFonts w:eastAsia="Times New Roman" w:cs="Times New Roman"/>
      <w:sz w:val="24"/>
      <w:szCs w:val="20"/>
      <w:lang w:eastAsia="es-PE"/>
    </w:rPr>
  </w:style>
  <w:style w:type="paragraph" w:customStyle="1" w:styleId="qowt-li-00">
    <w:name w:val="qowt-li-0_0"/>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qowt-stl-encabezado">
    <w:name w:val="qowt-stl-encabezado"/>
    <w:basedOn w:val="Normal"/>
    <w:rsid w:val="00710D9A"/>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qowt-field">
    <w:name w:val="qowt-field"/>
    <w:basedOn w:val="Fuentedeprrafopredeter"/>
    <w:rsid w:val="00710D9A"/>
  </w:style>
  <w:style w:type="paragraph" w:customStyle="1" w:styleId="qowt-stl-normal">
    <w:name w:val="qowt-stl-normal"/>
    <w:basedOn w:val="Normal"/>
    <w:rsid w:val="00163671"/>
    <w:pPr>
      <w:widowControl/>
      <w:adjustRightInd/>
      <w:spacing w:before="100" w:beforeAutospacing="1" w:after="100" w:afterAutospacing="1" w:line="240" w:lineRule="auto"/>
      <w:jc w:val="left"/>
      <w:textAlignment w:val="auto"/>
    </w:pPr>
    <w:rPr>
      <w:rFonts w:ascii="Times New Roman" w:hAnsi="Times New Roman"/>
      <w:szCs w:val="24"/>
    </w:rPr>
  </w:style>
  <w:style w:type="character" w:customStyle="1" w:styleId="Ttulo1Car">
    <w:name w:val="Título 1 Car"/>
    <w:basedOn w:val="Fuentedeprrafopredeter"/>
    <w:link w:val="Ttulo1"/>
    <w:rsid w:val="00530C0B"/>
    <w:rPr>
      <w:rFonts w:eastAsia="Times New Roman" w:cs="Times New Roman"/>
      <w:b/>
      <w:sz w:val="20"/>
      <w:szCs w:val="20"/>
      <w:lang w:val="es-ES"/>
    </w:rPr>
  </w:style>
  <w:style w:type="character" w:customStyle="1" w:styleId="Ttulo4Car">
    <w:name w:val="Título 4 Car"/>
    <w:basedOn w:val="Fuentedeprrafopredeter"/>
    <w:link w:val="Ttulo4"/>
    <w:rsid w:val="00530C0B"/>
    <w:rPr>
      <w:rFonts w:eastAsia="Times New Roman" w:cs="Times New Roman"/>
      <w:b/>
      <w:szCs w:val="20"/>
      <w:lang w:val="es-ES"/>
    </w:rPr>
  </w:style>
  <w:style w:type="character" w:customStyle="1" w:styleId="qowt-font3-arial">
    <w:name w:val="qowt-font3-arial"/>
    <w:basedOn w:val="Fuentedeprrafopredeter"/>
    <w:rsid w:val="00C01ACD"/>
  </w:style>
  <w:style w:type="paragraph" w:customStyle="1" w:styleId="qowt-li-18864540681">
    <w:name w:val="qowt-li-1886454068_1"/>
    <w:basedOn w:val="Normal"/>
    <w:rsid w:val="00C01ACD"/>
    <w:pPr>
      <w:widowControl/>
      <w:adjustRightInd/>
      <w:spacing w:before="100" w:beforeAutospacing="1" w:after="100" w:afterAutospacing="1" w:line="240" w:lineRule="auto"/>
      <w:jc w:val="left"/>
      <w:textAlignment w:val="auto"/>
    </w:pPr>
    <w:rPr>
      <w:rFonts w:ascii="Times New Roman" w:hAnsi="Times New Roman"/>
      <w:szCs w:val="24"/>
    </w:rPr>
  </w:style>
  <w:style w:type="paragraph" w:customStyle="1" w:styleId="gaceta">
    <w:name w:val="gaceta"/>
    <w:rsid w:val="006403DB"/>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B428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83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C01129"/>
    <w:rPr>
      <w:sz w:val="16"/>
      <w:szCs w:val="16"/>
    </w:rPr>
  </w:style>
  <w:style w:type="paragraph" w:styleId="Textocomentario">
    <w:name w:val="annotation text"/>
    <w:basedOn w:val="Normal"/>
    <w:link w:val="TextocomentarioCar"/>
    <w:uiPriority w:val="99"/>
    <w:semiHidden/>
    <w:unhideWhenUsed/>
    <w:rsid w:val="00C01129"/>
    <w:pPr>
      <w:spacing w:line="240" w:lineRule="auto"/>
    </w:pPr>
    <w:rPr>
      <w:sz w:val="20"/>
    </w:rPr>
  </w:style>
  <w:style w:type="character" w:customStyle="1" w:styleId="TextocomentarioCar">
    <w:name w:val="Texto comentario Car"/>
    <w:basedOn w:val="Fuentedeprrafopredeter"/>
    <w:link w:val="Textocomentario"/>
    <w:uiPriority w:val="99"/>
    <w:semiHidden/>
    <w:rsid w:val="00C01129"/>
    <w:rPr>
      <w:rFonts w:eastAsia="Times New Roman"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C01129"/>
    <w:rPr>
      <w:b/>
      <w:bCs/>
    </w:rPr>
  </w:style>
  <w:style w:type="character" w:customStyle="1" w:styleId="AsuntodelcomentarioCar">
    <w:name w:val="Asunto del comentario Car"/>
    <w:basedOn w:val="TextocomentarioCar"/>
    <w:link w:val="Asuntodelcomentario"/>
    <w:uiPriority w:val="99"/>
    <w:semiHidden/>
    <w:rsid w:val="00C01129"/>
    <w:rPr>
      <w:rFonts w:eastAsia="Times New Roman" w:cs="Times New Roman"/>
      <w:b/>
      <w:bCs/>
      <w:sz w:val="20"/>
      <w:szCs w:val="20"/>
      <w:lang w:eastAsia="es-PE"/>
    </w:rPr>
  </w:style>
</w:styles>
</file>

<file path=word/webSettings.xml><?xml version="1.0" encoding="utf-8"?>
<w:webSettings xmlns:r="http://schemas.openxmlformats.org/officeDocument/2006/relationships" xmlns:w="http://schemas.openxmlformats.org/wordprocessingml/2006/main">
  <w:divs>
    <w:div w:id="62725711">
      <w:bodyDiv w:val="1"/>
      <w:marLeft w:val="0"/>
      <w:marRight w:val="0"/>
      <w:marTop w:val="0"/>
      <w:marBottom w:val="0"/>
      <w:divBdr>
        <w:top w:val="none" w:sz="0" w:space="0" w:color="auto"/>
        <w:left w:val="none" w:sz="0" w:space="0" w:color="auto"/>
        <w:bottom w:val="none" w:sz="0" w:space="0" w:color="auto"/>
        <w:right w:val="none" w:sz="0" w:space="0" w:color="auto"/>
      </w:divBdr>
    </w:div>
    <w:div w:id="658073635">
      <w:bodyDiv w:val="1"/>
      <w:marLeft w:val="0"/>
      <w:marRight w:val="0"/>
      <w:marTop w:val="0"/>
      <w:marBottom w:val="0"/>
      <w:divBdr>
        <w:top w:val="none" w:sz="0" w:space="0" w:color="auto"/>
        <w:left w:val="none" w:sz="0" w:space="0" w:color="auto"/>
        <w:bottom w:val="none" w:sz="0" w:space="0" w:color="auto"/>
        <w:right w:val="none" w:sz="0" w:space="0" w:color="auto"/>
      </w:divBdr>
    </w:div>
    <w:div w:id="695815373">
      <w:bodyDiv w:val="1"/>
      <w:marLeft w:val="0"/>
      <w:marRight w:val="0"/>
      <w:marTop w:val="0"/>
      <w:marBottom w:val="0"/>
      <w:divBdr>
        <w:top w:val="none" w:sz="0" w:space="0" w:color="auto"/>
        <w:left w:val="none" w:sz="0" w:space="0" w:color="auto"/>
        <w:bottom w:val="none" w:sz="0" w:space="0" w:color="auto"/>
        <w:right w:val="none" w:sz="0" w:space="0" w:color="auto"/>
      </w:divBdr>
    </w:div>
    <w:div w:id="977875733">
      <w:bodyDiv w:val="1"/>
      <w:marLeft w:val="0"/>
      <w:marRight w:val="0"/>
      <w:marTop w:val="0"/>
      <w:marBottom w:val="0"/>
      <w:divBdr>
        <w:top w:val="none" w:sz="0" w:space="0" w:color="auto"/>
        <w:left w:val="none" w:sz="0" w:space="0" w:color="auto"/>
        <w:bottom w:val="none" w:sz="0" w:space="0" w:color="auto"/>
        <w:right w:val="none" w:sz="0" w:space="0" w:color="auto"/>
      </w:divBdr>
    </w:div>
    <w:div w:id="1153109482">
      <w:bodyDiv w:val="1"/>
      <w:marLeft w:val="0"/>
      <w:marRight w:val="0"/>
      <w:marTop w:val="0"/>
      <w:marBottom w:val="0"/>
      <w:divBdr>
        <w:top w:val="none" w:sz="0" w:space="0" w:color="auto"/>
        <w:left w:val="none" w:sz="0" w:space="0" w:color="auto"/>
        <w:bottom w:val="none" w:sz="0" w:space="0" w:color="auto"/>
        <w:right w:val="none" w:sz="0" w:space="0" w:color="auto"/>
      </w:divBdr>
      <w:divsChild>
        <w:div w:id="356929679">
          <w:marLeft w:val="0"/>
          <w:marRight w:val="0"/>
          <w:marTop w:val="0"/>
          <w:marBottom w:val="0"/>
          <w:divBdr>
            <w:top w:val="none" w:sz="0" w:space="0" w:color="auto"/>
            <w:left w:val="none" w:sz="0" w:space="0" w:color="auto"/>
            <w:bottom w:val="none" w:sz="0" w:space="0" w:color="auto"/>
            <w:right w:val="none" w:sz="0" w:space="0" w:color="auto"/>
          </w:divBdr>
          <w:divsChild>
            <w:div w:id="845443421">
              <w:marLeft w:val="0"/>
              <w:marRight w:val="0"/>
              <w:marTop w:val="0"/>
              <w:marBottom w:val="0"/>
              <w:divBdr>
                <w:top w:val="none" w:sz="0" w:space="0" w:color="auto"/>
                <w:left w:val="none" w:sz="0" w:space="0" w:color="auto"/>
                <w:bottom w:val="none" w:sz="0" w:space="0" w:color="auto"/>
                <w:right w:val="none" w:sz="0" w:space="0" w:color="auto"/>
              </w:divBdr>
            </w:div>
          </w:divsChild>
        </w:div>
        <w:div w:id="710962193">
          <w:marLeft w:val="0"/>
          <w:marRight w:val="0"/>
          <w:marTop w:val="0"/>
          <w:marBottom w:val="0"/>
          <w:divBdr>
            <w:top w:val="none" w:sz="0" w:space="0" w:color="auto"/>
            <w:left w:val="none" w:sz="0" w:space="0" w:color="auto"/>
            <w:bottom w:val="none" w:sz="0" w:space="0" w:color="auto"/>
            <w:right w:val="none" w:sz="0" w:space="0" w:color="auto"/>
          </w:divBdr>
        </w:div>
        <w:div w:id="314846206">
          <w:marLeft w:val="0"/>
          <w:marRight w:val="0"/>
          <w:marTop w:val="0"/>
          <w:marBottom w:val="0"/>
          <w:divBdr>
            <w:top w:val="none" w:sz="0" w:space="0" w:color="auto"/>
            <w:left w:val="none" w:sz="0" w:space="0" w:color="auto"/>
            <w:bottom w:val="none" w:sz="0" w:space="0" w:color="auto"/>
            <w:right w:val="none" w:sz="0" w:space="0" w:color="auto"/>
          </w:divBdr>
          <w:divsChild>
            <w:div w:id="20023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6592">
      <w:bodyDiv w:val="1"/>
      <w:marLeft w:val="0"/>
      <w:marRight w:val="0"/>
      <w:marTop w:val="0"/>
      <w:marBottom w:val="0"/>
      <w:divBdr>
        <w:top w:val="none" w:sz="0" w:space="0" w:color="auto"/>
        <w:left w:val="none" w:sz="0" w:space="0" w:color="auto"/>
        <w:bottom w:val="none" w:sz="0" w:space="0" w:color="auto"/>
        <w:right w:val="none" w:sz="0" w:space="0" w:color="auto"/>
      </w:divBdr>
    </w:div>
    <w:div w:id="1362122631">
      <w:bodyDiv w:val="1"/>
      <w:marLeft w:val="0"/>
      <w:marRight w:val="0"/>
      <w:marTop w:val="0"/>
      <w:marBottom w:val="0"/>
      <w:divBdr>
        <w:top w:val="none" w:sz="0" w:space="0" w:color="auto"/>
        <w:left w:val="none" w:sz="0" w:space="0" w:color="auto"/>
        <w:bottom w:val="none" w:sz="0" w:space="0" w:color="auto"/>
        <w:right w:val="none" w:sz="0" w:space="0" w:color="auto"/>
      </w:divBdr>
    </w:div>
    <w:div w:id="1367682542">
      <w:bodyDiv w:val="1"/>
      <w:marLeft w:val="0"/>
      <w:marRight w:val="0"/>
      <w:marTop w:val="0"/>
      <w:marBottom w:val="0"/>
      <w:divBdr>
        <w:top w:val="none" w:sz="0" w:space="0" w:color="auto"/>
        <w:left w:val="none" w:sz="0" w:space="0" w:color="auto"/>
        <w:bottom w:val="none" w:sz="0" w:space="0" w:color="auto"/>
        <w:right w:val="none" w:sz="0" w:space="0" w:color="auto"/>
      </w:divBdr>
      <w:divsChild>
        <w:div w:id="1308051112">
          <w:marLeft w:val="0"/>
          <w:marRight w:val="0"/>
          <w:marTop w:val="0"/>
          <w:marBottom w:val="0"/>
          <w:divBdr>
            <w:top w:val="none" w:sz="0" w:space="0" w:color="auto"/>
            <w:left w:val="none" w:sz="0" w:space="0" w:color="auto"/>
            <w:bottom w:val="none" w:sz="0" w:space="0" w:color="auto"/>
            <w:right w:val="none" w:sz="0" w:space="0" w:color="auto"/>
          </w:divBdr>
          <w:divsChild>
            <w:div w:id="1997881324">
              <w:marLeft w:val="0"/>
              <w:marRight w:val="0"/>
              <w:marTop w:val="0"/>
              <w:marBottom w:val="0"/>
              <w:divBdr>
                <w:top w:val="none" w:sz="0" w:space="0" w:color="auto"/>
                <w:left w:val="none" w:sz="0" w:space="0" w:color="auto"/>
                <w:bottom w:val="none" w:sz="0" w:space="0" w:color="auto"/>
                <w:right w:val="none" w:sz="0" w:space="0" w:color="auto"/>
              </w:divBdr>
            </w:div>
          </w:divsChild>
        </w:div>
        <w:div w:id="955795917">
          <w:marLeft w:val="0"/>
          <w:marRight w:val="0"/>
          <w:marTop w:val="0"/>
          <w:marBottom w:val="0"/>
          <w:divBdr>
            <w:top w:val="none" w:sz="0" w:space="0" w:color="auto"/>
            <w:left w:val="none" w:sz="0" w:space="0" w:color="auto"/>
            <w:bottom w:val="none" w:sz="0" w:space="0" w:color="auto"/>
            <w:right w:val="none" w:sz="0" w:space="0" w:color="auto"/>
          </w:divBdr>
        </w:div>
        <w:div w:id="1539471744">
          <w:marLeft w:val="0"/>
          <w:marRight w:val="0"/>
          <w:marTop w:val="0"/>
          <w:marBottom w:val="0"/>
          <w:divBdr>
            <w:top w:val="none" w:sz="0" w:space="0" w:color="auto"/>
            <w:left w:val="none" w:sz="0" w:space="0" w:color="auto"/>
            <w:bottom w:val="none" w:sz="0" w:space="0" w:color="auto"/>
            <w:right w:val="none" w:sz="0" w:space="0" w:color="auto"/>
          </w:divBdr>
          <w:divsChild>
            <w:div w:id="13842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4595">
      <w:bodyDiv w:val="1"/>
      <w:marLeft w:val="0"/>
      <w:marRight w:val="0"/>
      <w:marTop w:val="0"/>
      <w:marBottom w:val="0"/>
      <w:divBdr>
        <w:top w:val="none" w:sz="0" w:space="0" w:color="auto"/>
        <w:left w:val="none" w:sz="0" w:space="0" w:color="auto"/>
        <w:bottom w:val="none" w:sz="0" w:space="0" w:color="auto"/>
        <w:right w:val="none" w:sz="0" w:space="0" w:color="auto"/>
      </w:divBdr>
    </w:div>
    <w:div w:id="1484809567">
      <w:bodyDiv w:val="1"/>
      <w:marLeft w:val="0"/>
      <w:marRight w:val="0"/>
      <w:marTop w:val="0"/>
      <w:marBottom w:val="0"/>
      <w:divBdr>
        <w:top w:val="none" w:sz="0" w:space="0" w:color="auto"/>
        <w:left w:val="none" w:sz="0" w:space="0" w:color="auto"/>
        <w:bottom w:val="none" w:sz="0" w:space="0" w:color="auto"/>
        <w:right w:val="none" w:sz="0" w:space="0" w:color="auto"/>
      </w:divBdr>
    </w:div>
    <w:div w:id="17166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0476D-2E57-466E-883C-F26E3DBC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9792</Words>
  <Characters>53858</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Jurídico</dc:creator>
  <cp:lastModifiedBy>vparraga</cp:lastModifiedBy>
  <cp:revision>3</cp:revision>
  <cp:lastPrinted>2018-08-03T17:02:00Z</cp:lastPrinted>
  <dcterms:created xsi:type="dcterms:W3CDTF">2018-08-09T22:57:00Z</dcterms:created>
  <dcterms:modified xsi:type="dcterms:W3CDTF">2018-08-09T22:58:00Z</dcterms:modified>
</cp:coreProperties>
</file>