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10" w:rsidRDefault="0052561F" w:rsidP="0052561F">
      <w:pPr>
        <w:spacing w:after="0" w:line="240" w:lineRule="auto"/>
        <w:rPr>
          <w:rFonts w:ascii="Arial" w:hAnsi="Arial" w:cs="Arial"/>
          <w:lang w:val="es-ES" w:eastAsia="es-PE"/>
        </w:rPr>
      </w:pPr>
      <w:r w:rsidRPr="0052561F">
        <w:rPr>
          <w:rFonts w:ascii="Arial" w:hAnsi="Arial" w:cs="Arial"/>
          <w:lang w:val="es-ES" w:eastAsia="es-PE"/>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57866" cy="527118"/>
                    </a:xfrm>
                    <a:prstGeom prst="rect">
                      <a:avLst/>
                    </a:prstGeom>
                  </pic:spPr>
                </pic:pic>
              </a:graphicData>
            </a:graphic>
          </wp:inline>
        </w:drawing>
      </w:r>
    </w:p>
    <w:p w:rsidR="00AA0110" w:rsidRDefault="00AA0110" w:rsidP="00AA0110">
      <w:pPr>
        <w:spacing w:after="0" w:line="240" w:lineRule="auto"/>
        <w:jc w:val="center"/>
        <w:rPr>
          <w:rFonts w:ascii="Arial" w:hAnsi="Arial" w:cs="Arial"/>
          <w:lang w:val="es-ES" w:eastAsia="es-PE"/>
        </w:rPr>
      </w:pPr>
    </w:p>
    <w:p w:rsidR="00AA0110" w:rsidRDefault="00AA0110" w:rsidP="00AA0110">
      <w:pPr>
        <w:spacing w:after="0" w:line="240" w:lineRule="auto"/>
        <w:jc w:val="center"/>
        <w:rPr>
          <w:rFonts w:ascii="Arial" w:hAnsi="Arial" w:cs="Arial"/>
          <w:lang w:val="es-ES" w:eastAsia="es-PE"/>
        </w:rPr>
      </w:pPr>
    </w:p>
    <w:p w:rsidR="00AA0110" w:rsidRDefault="00AA0110" w:rsidP="00AA0110">
      <w:pPr>
        <w:spacing w:after="0" w:line="240" w:lineRule="auto"/>
        <w:jc w:val="center"/>
        <w:rPr>
          <w:rFonts w:ascii="Arial" w:hAnsi="Arial" w:cs="Arial"/>
          <w:lang w:val="es-ES" w:eastAsia="es-PE"/>
        </w:rPr>
      </w:pPr>
    </w:p>
    <w:p w:rsidR="00AA0110" w:rsidRPr="00AA0110" w:rsidRDefault="00AA0110" w:rsidP="00AA0110">
      <w:pPr>
        <w:spacing w:after="0" w:line="240" w:lineRule="auto"/>
        <w:jc w:val="center"/>
        <w:rPr>
          <w:rFonts w:ascii="Arial" w:hAnsi="Arial" w:cs="Arial"/>
          <w:lang w:val="es-ES" w:eastAsia="es-PE"/>
        </w:rPr>
      </w:pPr>
    </w:p>
    <w:p w:rsidR="00726D7B" w:rsidRPr="00AA0110" w:rsidRDefault="00726D7B" w:rsidP="00726D7B">
      <w:pPr>
        <w:pStyle w:val="Ttulo1"/>
        <w:rPr>
          <w:rFonts w:cs="Arial"/>
          <w:sz w:val="22"/>
          <w:szCs w:val="22"/>
        </w:rPr>
      </w:pPr>
      <w:r w:rsidRPr="00AA0110">
        <w:rPr>
          <w:rFonts w:cs="Arial"/>
          <w:sz w:val="22"/>
          <w:szCs w:val="22"/>
        </w:rPr>
        <w:t>RESOLUCIÓN N°</w:t>
      </w:r>
      <w:r w:rsidR="00AA0110" w:rsidRPr="00AA0110">
        <w:rPr>
          <w:rFonts w:cs="Arial"/>
          <w:sz w:val="22"/>
          <w:szCs w:val="22"/>
        </w:rPr>
        <w:t xml:space="preserve"> 1917</w:t>
      </w:r>
    </w:p>
    <w:p w:rsidR="00726D7B" w:rsidRPr="00AA0110" w:rsidRDefault="00726D7B" w:rsidP="00726D7B">
      <w:pPr>
        <w:pStyle w:val="Estilo2"/>
        <w:tabs>
          <w:tab w:val="left" w:pos="425"/>
        </w:tabs>
        <w:rPr>
          <w:rFonts w:cs="Arial"/>
          <w:sz w:val="22"/>
          <w:szCs w:val="22"/>
        </w:rPr>
      </w:pPr>
    </w:p>
    <w:p w:rsidR="00726D7B" w:rsidRPr="00AA0110" w:rsidRDefault="00726D7B" w:rsidP="00726D7B">
      <w:pPr>
        <w:pStyle w:val="Ttulo4"/>
        <w:ind w:left="4961"/>
        <w:jc w:val="both"/>
        <w:rPr>
          <w:rFonts w:cs="Arial"/>
          <w:sz w:val="22"/>
          <w:szCs w:val="22"/>
        </w:rPr>
      </w:pPr>
      <w:bookmarkStart w:id="0" w:name="_GoBack"/>
      <w:r w:rsidRPr="00AA0110">
        <w:rPr>
          <w:rFonts w:cs="Arial"/>
          <w:sz w:val="22"/>
          <w:szCs w:val="22"/>
        </w:rPr>
        <w:t xml:space="preserve">Registro en la Lista Andina Satelital del satélite SES-10, perteneciente a la empresa SES New Skies Satellites B.V., en la posición orbital 67° </w:t>
      </w:r>
      <w:r w:rsidRPr="00AA0110">
        <w:rPr>
          <w:rFonts w:cs="Arial"/>
          <w:bCs/>
          <w:snapToGrid w:val="0"/>
          <w:sz w:val="22"/>
          <w:szCs w:val="22"/>
        </w:rPr>
        <w:t xml:space="preserve">Longitud </w:t>
      </w:r>
      <w:r w:rsidRPr="00AA0110">
        <w:rPr>
          <w:rFonts w:cs="Arial"/>
          <w:sz w:val="22"/>
          <w:szCs w:val="22"/>
        </w:rPr>
        <w:t>Oeste</w:t>
      </w:r>
    </w:p>
    <w:bookmarkEnd w:id="0"/>
    <w:p w:rsidR="00726D7B" w:rsidRPr="00AA0110" w:rsidRDefault="00726D7B" w:rsidP="00726D7B">
      <w:pPr>
        <w:tabs>
          <w:tab w:val="left" w:pos="426"/>
        </w:tabs>
        <w:spacing w:after="0" w:line="240" w:lineRule="auto"/>
        <w:ind w:left="4253" w:hanging="4253"/>
        <w:jc w:val="both"/>
        <w:rPr>
          <w:rFonts w:ascii="Arial" w:hAnsi="Arial" w:cs="Arial"/>
          <w:lang w:val="es-ES"/>
        </w:rPr>
      </w:pPr>
    </w:p>
    <w:p w:rsidR="00726D7B" w:rsidRPr="00AA0110" w:rsidRDefault="00726D7B" w:rsidP="00726D7B">
      <w:pPr>
        <w:tabs>
          <w:tab w:val="left" w:pos="426"/>
        </w:tabs>
        <w:spacing w:after="0" w:line="240" w:lineRule="auto"/>
        <w:ind w:left="4253" w:hanging="4253"/>
        <w:jc w:val="both"/>
        <w:rPr>
          <w:rFonts w:ascii="Arial" w:hAnsi="Arial" w:cs="Arial"/>
          <w:lang w:val="es-ES"/>
        </w:rPr>
      </w:pPr>
    </w:p>
    <w:p w:rsidR="00726D7B" w:rsidRPr="00AA0110" w:rsidRDefault="00726D7B" w:rsidP="00726D7B">
      <w:pPr>
        <w:tabs>
          <w:tab w:val="left" w:pos="567"/>
        </w:tabs>
        <w:spacing w:after="0" w:line="240" w:lineRule="auto"/>
        <w:jc w:val="both"/>
        <w:rPr>
          <w:rFonts w:ascii="Arial" w:hAnsi="Arial" w:cs="Arial"/>
          <w:bCs/>
          <w:snapToGrid w:val="0"/>
        </w:rPr>
      </w:pPr>
      <w:r w:rsidRPr="00AA0110">
        <w:rPr>
          <w:rFonts w:ascii="Arial" w:hAnsi="Arial" w:cs="Arial"/>
          <w:bCs/>
          <w:snapToGrid w:val="0"/>
        </w:rPr>
        <w:t>LA SECRETARÍA GENERAL DE LA COMUNIDAD ANDINA,</w:t>
      </w:r>
    </w:p>
    <w:p w:rsidR="00726D7B" w:rsidRPr="00AA0110" w:rsidRDefault="00726D7B" w:rsidP="00726D7B">
      <w:pPr>
        <w:tabs>
          <w:tab w:val="left" w:pos="567"/>
        </w:tabs>
        <w:spacing w:after="0" w:line="240" w:lineRule="auto"/>
        <w:jc w:val="both"/>
        <w:rPr>
          <w:rFonts w:ascii="Arial" w:hAnsi="Arial" w:cs="Arial"/>
          <w:bCs/>
          <w:snapToGrid w:val="0"/>
        </w:rPr>
      </w:pPr>
    </w:p>
    <w:p w:rsidR="00726D7B" w:rsidRPr="00AA0110" w:rsidRDefault="00726D7B" w:rsidP="00726D7B">
      <w:pPr>
        <w:tabs>
          <w:tab w:val="left" w:pos="567"/>
        </w:tabs>
        <w:spacing w:after="0" w:line="240" w:lineRule="auto"/>
        <w:jc w:val="both"/>
        <w:rPr>
          <w:rFonts w:ascii="Arial" w:hAnsi="Arial" w:cs="Arial"/>
          <w:bCs/>
          <w:snapToGrid w:val="0"/>
        </w:rPr>
      </w:pP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r w:rsidRPr="00AA0110">
        <w:rPr>
          <w:rFonts w:ascii="Arial" w:hAnsi="Arial" w:cs="Arial"/>
          <w:bCs/>
          <w:snapToGrid w:val="0"/>
        </w:rPr>
        <w:t>VISTOS: Los artículos 2 y 4 de la Decisión 707, el artículo 3 de la Decisión 715 de la Comisión de la Comunidad Andina; y,</w:t>
      </w:r>
    </w:p>
    <w:p w:rsidR="00726D7B" w:rsidRPr="00AA0110" w:rsidRDefault="00726D7B" w:rsidP="00726D7B">
      <w:pPr>
        <w:tabs>
          <w:tab w:val="left" w:pos="567"/>
        </w:tabs>
        <w:spacing w:after="0" w:line="240" w:lineRule="auto"/>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CONSIDERANDO: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 o relanzamiento de un satélite que tenga registro vigente;</w:t>
      </w:r>
    </w:p>
    <w:p w:rsidR="00726D7B" w:rsidRPr="00AA0110" w:rsidRDefault="00726D7B" w:rsidP="00726D7B">
      <w:pPr>
        <w:tabs>
          <w:tab w:val="left" w:pos="567"/>
        </w:tabs>
        <w:spacing w:after="0" w:line="240" w:lineRule="auto"/>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Que de acuerdo a lo señalado en el mencionado artículo 4.1, “la Secretaría General concederá al Operador Satelital, previa opinión favorable del CAATEL, un Certificado de Registro por cada satélite y su ROE a explotar, el que será notificado a los Países Miembros y al operador satelital”;</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Que el Comité Andino de Autoridades de Telecomunicaciones (CAATEL), en su XXV Reunión Ordinaria efectuada los días 21 y 22 de febrero de 2011, aprobó el “Procedimiento para contar con opinión favorable de CAATEL para instrumentar lo dispuesto en la Decisión 707”, en el marco de lo dispuesto en el artículo 4.1 antes citado;</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rPr>
        <w:t xml:space="preserve">Que mediante la Decisión 725 de de la Comisión de la Comunidad Andina, de fecha 10 de diciembre de 2009, </w:t>
      </w:r>
      <w:r w:rsidRPr="00AA0110">
        <w:rPr>
          <w:rFonts w:ascii="Arial" w:hAnsi="Arial" w:cs="Arial"/>
          <w:color w:val="000000"/>
        </w:rPr>
        <w:t xml:space="preserve">se otorgó a la empresa New Skies Satellites B.V. (SES) la autorización comunitaria para la utilización comercial del recurso órbita-espectro de los Países Miembros </w:t>
      </w:r>
      <w:r w:rsidRPr="00AA0110">
        <w:rPr>
          <w:rFonts w:ascii="Arial" w:hAnsi="Arial" w:cs="Arial"/>
          <w:snapToGrid w:val="0"/>
          <w:lang w:val="es-ES_tradnl"/>
        </w:rPr>
        <w:t xml:space="preserve">en la posición orbital 67° Oeste. Con base en esta Decisión, </w:t>
      </w:r>
      <w:r w:rsidRPr="00AA0110">
        <w:rPr>
          <w:rFonts w:ascii="Arial" w:hAnsi="Arial" w:cs="Arial"/>
          <w:bCs/>
        </w:rPr>
        <w:t xml:space="preserve">SES y la Comunidad Andina suscribieron un contrato en fecha 5 de febrero de 2010, mediante el cual se autorizó el uso y explotación del Recurso Órbita Espectro comunitario. Dicho contrato tuvo enmiendas posteriores en fecha 14 de febrero de 2012 y 19 de febrero de 2014.  </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 xml:space="preserve">Que la empresa SES New Skies Satellites B.V. mediante comunicación sin número del 26 de noviembre de 2015, recibido el 30 de noviembre de 2016 por la Secretaría General de la Comunidad Andina, solicitó el registro del satélite </w:t>
      </w:r>
      <w:r w:rsidRPr="00AA0110">
        <w:rPr>
          <w:rFonts w:ascii="Arial" w:hAnsi="Arial" w:cs="Arial"/>
        </w:rPr>
        <w:t>SES 10</w:t>
      </w:r>
      <w:r w:rsidRPr="00AA0110">
        <w:rPr>
          <w:rFonts w:ascii="Arial" w:hAnsi="Arial" w:cs="Arial"/>
          <w:bCs/>
          <w:snapToGrid w:val="0"/>
        </w:rPr>
        <w:t xml:space="preserve"> en la Lista Andina Satelital, en la posición orbital 67° Longitud Oeste; correspondiente a la Red Satelital Simón Bolívar 2, conforme figura registrada en la Oficina de Radiocomunicaciones de la UIT y </w:t>
      </w:r>
      <w:r w:rsidRPr="00AA0110">
        <w:rPr>
          <w:rFonts w:ascii="Arial" w:hAnsi="Arial" w:cs="Arial"/>
          <w:bCs/>
          <w:snapToGrid w:val="0"/>
        </w:rPr>
        <w:lastRenderedPageBreak/>
        <w:t>figura en los Boletines N° 2651 del 25 de agosto de 2009 y 2676 del 24 de octubre de 2010;</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color w:val="222222"/>
          <w:shd w:val="clear" w:color="auto" w:fill="FFFFFF"/>
        </w:rPr>
        <w:t>Que la empresa SES New Skies Satellites B.V. mediante comunicación sin número del 26 de noviembre de 2015, recibida el 30 de noviembre de 2016 por la Secretaría General de la Comunidad Andina, solicitó el registro del satélite</w:t>
      </w:r>
      <w:r w:rsidRPr="00AA0110">
        <w:rPr>
          <w:rStyle w:val="apple-converted-space"/>
          <w:rFonts w:ascii="Arial" w:hAnsi="Arial" w:cs="Arial"/>
          <w:color w:val="222222"/>
          <w:shd w:val="clear" w:color="auto" w:fill="FFFFFF"/>
        </w:rPr>
        <w:t> </w:t>
      </w:r>
      <w:r w:rsidRPr="00AA0110">
        <w:rPr>
          <w:rFonts w:ascii="Arial" w:hAnsi="Arial" w:cs="Arial"/>
          <w:color w:val="222222"/>
          <w:shd w:val="clear" w:color="auto" w:fill="FFFFFF"/>
        </w:rPr>
        <w:t>SES 10 en la Lista Andina Satelital, en la posición orbital 67° Longitud Oeste, correspondiente a la Red Satelital Simón Bolívar 2, conforme figura registrada en la Oficina de Radiocomunicaciones de la UIT, Boletines N° 2651 del 25 de agosto de 2009 y N° 2676 del 24 de octubre de 2010;</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Que la Secretaría General de la Comunidad Andina mediante comunicación SG/E/2179/2015 de 17 de diciembre de 2015, puso en conocimiento de los representantes de los Países Miembros ante el CAATEL, la solicitud presentada por la empresa SES New Skies Satellites B.V. a efecto de que emitan sus opiniones.  Asimismo, mediante oficio SG/E/2178/2015 de 17 de diciembre de 2015, comunicó a dicha empresa el inicio del trámite;</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 xml:space="preserve">Que a través del oficio sin número de 17 de enero de 2017, recibido en esta Secretaría General en la misma fecha, la Oficina Internacional del Ministerio de Tecnologías de la Información y las Comunicaciones  de la República de Colombia, comunica que </w:t>
      </w:r>
      <w:r w:rsidRPr="00AA0110">
        <w:rPr>
          <w:rFonts w:ascii="Arial" w:hAnsi="Arial" w:cs="Arial"/>
          <w:bCs/>
          <w:i/>
          <w:snapToGrid w:val="0"/>
        </w:rPr>
        <w:t>“[…] no  encuentra objeción para conceder a [la empresa SES New Skies Satellites B.V. la autorización para inscribir en la Lista Andina Satelital al satélite Simón Bolívar 2/SES 10, en las condiciones del ROE indicadas en la solicitud enviada por la Secretaría General de la Comunidad Andina”;</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 xml:space="preserve">Que mediante oficio N° MINTEL-DAIN-2016-0027-O del 7 de marzo de 2016, recibido en esta Secretaría General en la misma fecha, el Ministerio de Telecomunicaciones y de la Sociedad de la Información de la República del Ecuador indicó que </w:t>
      </w:r>
      <w:r w:rsidRPr="00AA0110">
        <w:rPr>
          <w:rFonts w:ascii="Arial" w:hAnsi="Arial" w:cs="Arial"/>
          <w:bCs/>
          <w:i/>
          <w:snapToGrid w:val="0"/>
        </w:rPr>
        <w:t>“no tiene observaciones respecto al citado requerimiento”</w:t>
      </w:r>
      <w:r w:rsidRPr="00AA0110">
        <w:rPr>
          <w:rFonts w:ascii="Arial" w:hAnsi="Arial" w:cs="Arial"/>
          <w:bCs/>
          <w:snapToGrid w:val="0"/>
        </w:rPr>
        <w:t xml:space="preserve"> de inscripción del satélite SES-10 en la Lista Andina Satelital;</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 xml:space="preserve">Que conforme al oficio N° 70–2016-MTC/03 de 19 de febrero de 2016, recibido en esta Secretaría General el 22 de febrero de 2016, el Viceministerio de Comunicaciones de la República del Perú concluyó que </w:t>
      </w:r>
      <w:r w:rsidRPr="00AA0110">
        <w:rPr>
          <w:rFonts w:ascii="Arial" w:hAnsi="Arial" w:cs="Arial"/>
          <w:bCs/>
          <w:i/>
          <w:snapToGrid w:val="0"/>
        </w:rPr>
        <w:t>“luego de evaluada la documentación presentada por  la empresa SES New Skies Satellites B.V., se ha concluido que la misma cumple con los requisitos establecidos en el artículo 4 de la Decisión 707”</w:t>
      </w:r>
      <w:r w:rsidRPr="00AA0110">
        <w:rPr>
          <w:rFonts w:ascii="Arial" w:hAnsi="Arial" w:cs="Arial"/>
          <w:bCs/>
          <w:snapToGrid w:val="0"/>
        </w:rPr>
        <w:t>, por lo que emite opinión favorable con respecto a la solicitud;</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 xml:space="preserve">Que a través de la Comunicación MOPSV/VMTEL/DESP.N°1173/2017 del 27 de marzo de 2017, recibida en esta Secretaría General en la misma fecha, el Viceministerio de Telecomunicaciones del Estado Plurinacional de Bolivia informó que luego del análisis correspondiente de la Agencia Boliviana Espacial (ABE) y la Autoridad de Regulación y Fiscalización de Telecomunicaciones y Transportes - ATT no presentaron ninguna observación a la solicitud señalada y que en este sentido, dicha Administración </w:t>
      </w:r>
      <w:r w:rsidRPr="00AA0110">
        <w:rPr>
          <w:rFonts w:ascii="Arial" w:hAnsi="Arial" w:cs="Arial"/>
          <w:bCs/>
          <w:i/>
          <w:snapToGrid w:val="0"/>
        </w:rPr>
        <w:t>“no tiene objeción a la solicitud de registro del satélite SES 10 de la empresa SES New Skies Satellites B.V.”;</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Que de conformidad a lo establecido en la Decisión 707, el Comité Andino de Autoridades de Telecomunicaciones (CAATEL) en su LXXIX Reunión Extraordinaria del 27 de marzo de 2017, emitió opinión favorable para el registro en la Lista Satelital Andina del satélite SES-10, perteneciente a la empresa SES New Skies Satellites B.V., en la posición orbital 67° Longitud Oeste;</w:t>
      </w:r>
    </w:p>
    <w:p w:rsidR="00726D7B" w:rsidRPr="00AA0110" w:rsidRDefault="00726D7B" w:rsidP="00726D7B">
      <w:pPr>
        <w:pStyle w:val="Prrafodelista"/>
        <w:tabs>
          <w:tab w:val="left" w:pos="567"/>
        </w:tabs>
        <w:spacing w:after="0" w:line="240" w:lineRule="auto"/>
        <w:ind w:left="0"/>
        <w:jc w:val="both"/>
        <w:rPr>
          <w:rFonts w:ascii="Arial" w:hAnsi="Arial" w:cs="Arial"/>
          <w:bCs/>
          <w:snapToGrid w:val="0"/>
        </w:rPr>
      </w:pPr>
    </w:p>
    <w:p w:rsidR="00726D7B" w:rsidRPr="00AA0110" w:rsidRDefault="00726D7B" w:rsidP="00726D7B">
      <w:pPr>
        <w:pStyle w:val="Prrafodelista"/>
        <w:numPr>
          <w:ilvl w:val="0"/>
          <w:numId w:val="12"/>
        </w:numPr>
        <w:tabs>
          <w:tab w:val="left" w:pos="567"/>
        </w:tabs>
        <w:spacing w:after="0" w:line="240" w:lineRule="auto"/>
        <w:ind w:left="0" w:hanging="357"/>
        <w:jc w:val="both"/>
        <w:rPr>
          <w:rFonts w:ascii="Arial" w:hAnsi="Arial" w:cs="Arial"/>
          <w:bCs/>
          <w:snapToGrid w:val="0"/>
        </w:rPr>
      </w:pPr>
      <w:r w:rsidRPr="00AA0110">
        <w:rPr>
          <w:rFonts w:ascii="Arial" w:hAnsi="Arial" w:cs="Arial"/>
          <w:bCs/>
          <w:snapToGrid w:val="0"/>
        </w:rPr>
        <w:t>Que el Informe Técnico SG-IT/DG-2/003/2017  del 27 de marzo de 2017,</w:t>
      </w:r>
      <w:r w:rsidRPr="00AA0110">
        <w:rPr>
          <w:rFonts w:ascii="Arial" w:hAnsi="Arial" w:cs="Arial"/>
          <w:bCs/>
          <w:i/>
          <w:snapToGrid w:val="0"/>
        </w:rPr>
        <w:t xml:space="preserve"> “</w:t>
      </w:r>
      <w:r w:rsidRPr="00AA0110">
        <w:rPr>
          <w:rFonts w:ascii="Arial" w:hAnsi="Arial" w:cs="Arial"/>
          <w:i/>
          <w:lang w:val="es-ES" w:eastAsia="es-ES"/>
        </w:rPr>
        <w:t xml:space="preserve">establece que la empresa </w:t>
      </w:r>
      <w:r w:rsidRPr="00AA0110">
        <w:rPr>
          <w:rFonts w:ascii="Arial" w:hAnsi="Arial" w:cs="Arial"/>
          <w:i/>
        </w:rPr>
        <w:t>New Skies Satellites B.V. (SES)</w:t>
      </w:r>
      <w:r w:rsidRPr="00AA0110">
        <w:rPr>
          <w:rFonts w:ascii="Arial" w:hAnsi="Arial" w:cs="Arial"/>
          <w:i/>
          <w:lang w:val="es-ES" w:eastAsia="es-ES"/>
        </w:rPr>
        <w:t xml:space="preserve"> cumplió con los requisitos dispuestos para la inclusión en la Lista Andina Satelital” </w:t>
      </w:r>
      <w:r w:rsidRPr="00AA0110">
        <w:rPr>
          <w:rFonts w:ascii="Arial" w:hAnsi="Arial" w:cs="Arial"/>
          <w:lang w:val="es-ES" w:eastAsia="es-ES"/>
        </w:rPr>
        <w:t xml:space="preserve">conforme </w:t>
      </w:r>
      <w:r w:rsidRPr="00AA0110">
        <w:rPr>
          <w:rFonts w:ascii="Arial" w:hAnsi="Arial" w:cs="Arial"/>
          <w:bCs/>
          <w:snapToGrid w:val="0"/>
        </w:rPr>
        <w:t xml:space="preserve">el artículo 4 de la Decisión 707; y no </w:t>
      </w:r>
      <w:r w:rsidRPr="00AA0110">
        <w:rPr>
          <w:rFonts w:ascii="Arial" w:hAnsi="Arial" w:cs="Arial"/>
          <w:bCs/>
          <w:snapToGrid w:val="0"/>
        </w:rPr>
        <w:lastRenderedPageBreak/>
        <w:t>incurre en las causales de denegación previstas en el numeral 2 de ese mismo artículo. Asimismo</w:t>
      </w:r>
      <w:r w:rsidRPr="00AA0110" w:rsidDel="00B53E70">
        <w:rPr>
          <w:rFonts w:ascii="Arial" w:hAnsi="Arial" w:cs="Arial"/>
          <w:bCs/>
          <w:snapToGrid w:val="0"/>
        </w:rPr>
        <w:t xml:space="preserve"> </w:t>
      </w:r>
      <w:r w:rsidRPr="00AA0110">
        <w:rPr>
          <w:rFonts w:ascii="Arial" w:hAnsi="Arial" w:cs="Arial"/>
          <w:bCs/>
          <w:snapToGrid w:val="0"/>
        </w:rPr>
        <w:t>certifica que se han recibido las conformidades por parte de los Países Miembros; y, que existe la opinión favorable por parte del Comité Andino de Autoridades de Telecomunicaciones - CAATEL. Finalmente señala que, es procedente la emisión de la Resolución de registro en la Lista Andina Satelital del satélite SES 10, de la empresa SES New Skies Satellites B.V., en la posición orbital 67° Longitud Oeste y la emisión del certificado correspondiente;</w:t>
      </w:r>
    </w:p>
    <w:p w:rsidR="00726D7B" w:rsidRPr="00AA0110" w:rsidRDefault="00726D7B" w:rsidP="00726D7B">
      <w:pPr>
        <w:tabs>
          <w:tab w:val="left" w:pos="426"/>
        </w:tabs>
        <w:spacing w:after="0" w:line="240" w:lineRule="auto"/>
        <w:jc w:val="center"/>
        <w:rPr>
          <w:rFonts w:ascii="Arial" w:hAnsi="Arial" w:cs="Arial"/>
          <w:b/>
          <w:bCs/>
          <w:snapToGrid w:val="0"/>
        </w:rPr>
      </w:pPr>
    </w:p>
    <w:p w:rsidR="00726D7B" w:rsidRPr="00AA0110" w:rsidRDefault="00726D7B" w:rsidP="00726D7B">
      <w:pPr>
        <w:tabs>
          <w:tab w:val="left" w:pos="426"/>
        </w:tabs>
        <w:spacing w:after="0" w:line="240" w:lineRule="auto"/>
        <w:jc w:val="center"/>
        <w:rPr>
          <w:rFonts w:ascii="Arial" w:hAnsi="Arial" w:cs="Arial"/>
          <w:b/>
          <w:bCs/>
          <w:snapToGrid w:val="0"/>
        </w:rPr>
      </w:pPr>
      <w:r w:rsidRPr="00AA0110">
        <w:rPr>
          <w:rFonts w:ascii="Arial" w:hAnsi="Arial" w:cs="Arial"/>
          <w:b/>
          <w:bCs/>
          <w:snapToGrid w:val="0"/>
        </w:rPr>
        <w:t>RESUELVE:</w:t>
      </w:r>
    </w:p>
    <w:p w:rsidR="00726D7B" w:rsidRPr="00AA0110" w:rsidRDefault="00726D7B" w:rsidP="00726D7B">
      <w:pPr>
        <w:tabs>
          <w:tab w:val="left" w:pos="567"/>
        </w:tabs>
        <w:spacing w:after="0" w:line="240" w:lineRule="auto"/>
        <w:jc w:val="both"/>
        <w:rPr>
          <w:rFonts w:ascii="Arial" w:hAnsi="Arial" w:cs="Arial"/>
          <w:b/>
          <w:bCs/>
          <w:snapToGrid w:val="0"/>
        </w:rPr>
      </w:pPr>
    </w:p>
    <w:p w:rsidR="00726D7B" w:rsidRPr="00AA0110" w:rsidRDefault="00726D7B" w:rsidP="00B03763">
      <w:pPr>
        <w:pStyle w:val="Prrafodelista"/>
        <w:tabs>
          <w:tab w:val="left" w:pos="567"/>
        </w:tabs>
        <w:spacing w:after="0" w:line="240" w:lineRule="auto"/>
        <w:ind w:left="0"/>
        <w:jc w:val="both"/>
        <w:rPr>
          <w:rFonts w:ascii="Arial" w:hAnsi="Arial" w:cs="Arial"/>
          <w:bCs/>
          <w:snapToGrid w:val="0"/>
        </w:rPr>
      </w:pPr>
      <w:r w:rsidRPr="00AA0110">
        <w:rPr>
          <w:rFonts w:ascii="Arial" w:hAnsi="Arial" w:cs="Arial"/>
          <w:b/>
          <w:bCs/>
          <w:snapToGrid w:val="0"/>
        </w:rPr>
        <w:t>Artículo 1.-</w:t>
      </w:r>
      <w:r w:rsidRPr="00AA0110">
        <w:rPr>
          <w:rFonts w:ascii="Arial" w:hAnsi="Arial" w:cs="Arial"/>
          <w:bCs/>
          <w:snapToGrid w:val="0"/>
        </w:rPr>
        <w:t xml:space="preserve"> Registrar en la Lista Andina Satelital al satélite SES-10, perteneciente a la flota del operador satelital de la empresa SES New Skies Satellites B.V., en la posición orbital  67° Longitud Oeste.</w:t>
      </w:r>
    </w:p>
    <w:p w:rsidR="00726D7B" w:rsidRPr="00AA0110" w:rsidRDefault="00726D7B" w:rsidP="00726D7B">
      <w:pPr>
        <w:tabs>
          <w:tab w:val="left" w:pos="567"/>
        </w:tabs>
        <w:spacing w:after="0" w:line="240" w:lineRule="auto"/>
        <w:jc w:val="both"/>
        <w:rPr>
          <w:rFonts w:ascii="Arial" w:hAnsi="Arial" w:cs="Arial"/>
          <w:b/>
          <w:bCs/>
          <w:snapToGrid w:val="0"/>
        </w:rPr>
      </w:pPr>
    </w:p>
    <w:p w:rsidR="00726D7B" w:rsidRDefault="00726D7B" w:rsidP="00AA0110">
      <w:pPr>
        <w:pStyle w:val="Prrafodelista"/>
        <w:tabs>
          <w:tab w:val="left" w:pos="426"/>
          <w:tab w:val="left" w:pos="567"/>
        </w:tabs>
        <w:spacing w:after="0" w:line="240" w:lineRule="auto"/>
        <w:ind w:left="0"/>
        <w:jc w:val="both"/>
        <w:rPr>
          <w:rFonts w:ascii="Arial" w:hAnsi="Arial" w:cs="Arial"/>
          <w:bCs/>
          <w:snapToGrid w:val="0"/>
        </w:rPr>
      </w:pPr>
      <w:r w:rsidRPr="00AA0110">
        <w:rPr>
          <w:rFonts w:ascii="Arial" w:hAnsi="Arial" w:cs="Arial"/>
          <w:b/>
          <w:bCs/>
          <w:snapToGrid w:val="0"/>
        </w:rPr>
        <w:t>Artículo 2.-</w:t>
      </w:r>
      <w:r w:rsidRPr="00AA0110">
        <w:rPr>
          <w:rFonts w:ascii="Arial" w:hAnsi="Arial" w:cs="Arial"/>
          <w:bCs/>
          <w:snapToGrid w:val="0"/>
        </w:rPr>
        <w:t xml:space="preserve"> Conceder a la empresa SES New Skies Satellites B.V., de conformidad con lo dispuesto en el artículo 4.1 de la Decisión 707, el Certificado de Registro del satélite SES-10 en la posición Orbital 67° Longitud Oeste, lo cual será notificado a los Países Miembros y a la empresa SES New </w:t>
      </w:r>
      <w:proofErr w:type="spellStart"/>
      <w:r w:rsidRPr="00AA0110">
        <w:rPr>
          <w:rFonts w:ascii="Arial" w:hAnsi="Arial" w:cs="Arial"/>
          <w:bCs/>
          <w:snapToGrid w:val="0"/>
        </w:rPr>
        <w:t>Skies</w:t>
      </w:r>
      <w:proofErr w:type="spellEnd"/>
      <w:r w:rsidRPr="00AA0110">
        <w:rPr>
          <w:rFonts w:ascii="Arial" w:hAnsi="Arial" w:cs="Arial"/>
          <w:bCs/>
          <w:snapToGrid w:val="0"/>
        </w:rPr>
        <w:t xml:space="preserve"> </w:t>
      </w:r>
      <w:proofErr w:type="spellStart"/>
      <w:r w:rsidRPr="00AA0110">
        <w:rPr>
          <w:rFonts w:ascii="Arial" w:hAnsi="Arial" w:cs="Arial"/>
          <w:bCs/>
          <w:snapToGrid w:val="0"/>
        </w:rPr>
        <w:t>Satellites</w:t>
      </w:r>
      <w:proofErr w:type="spellEnd"/>
      <w:r w:rsidRPr="00AA0110">
        <w:rPr>
          <w:rFonts w:ascii="Arial" w:hAnsi="Arial" w:cs="Arial"/>
          <w:bCs/>
          <w:snapToGrid w:val="0"/>
        </w:rPr>
        <w:t xml:space="preserve"> B.V.</w:t>
      </w:r>
    </w:p>
    <w:p w:rsidR="00AA0110" w:rsidRPr="00AA0110" w:rsidRDefault="00AA0110" w:rsidP="00AA0110">
      <w:pPr>
        <w:pStyle w:val="Prrafodelista"/>
        <w:tabs>
          <w:tab w:val="left" w:pos="426"/>
          <w:tab w:val="left" w:pos="567"/>
        </w:tabs>
        <w:spacing w:after="0" w:line="240" w:lineRule="auto"/>
        <w:ind w:left="0"/>
        <w:jc w:val="both"/>
        <w:rPr>
          <w:rFonts w:ascii="Arial" w:hAnsi="Arial" w:cs="Arial"/>
          <w:bCs/>
          <w:snapToGrid w:val="0"/>
        </w:rPr>
      </w:pPr>
    </w:p>
    <w:p w:rsidR="00726D7B" w:rsidRPr="00AA0110" w:rsidRDefault="00726D7B" w:rsidP="00B03763">
      <w:pPr>
        <w:pStyle w:val="Prrafodelista"/>
        <w:tabs>
          <w:tab w:val="left" w:pos="567"/>
        </w:tabs>
        <w:spacing w:after="0" w:line="240" w:lineRule="auto"/>
        <w:ind w:left="0"/>
        <w:jc w:val="both"/>
        <w:rPr>
          <w:rFonts w:ascii="Arial" w:hAnsi="Arial" w:cs="Arial"/>
          <w:bCs/>
          <w:snapToGrid w:val="0"/>
        </w:rPr>
      </w:pPr>
      <w:r w:rsidRPr="00AA0110">
        <w:rPr>
          <w:rFonts w:ascii="Arial" w:hAnsi="Arial" w:cs="Arial"/>
          <w:bCs/>
          <w:snapToGrid w:val="0"/>
        </w:rPr>
        <w:t>Comuníquese a los Países Miembros la presente Resolución, la cual entrará en vigencia a partir de su fecha de publicación en la Gaceta Oficial del Acuerdo de Cartagena.</w:t>
      </w:r>
    </w:p>
    <w:p w:rsidR="00726D7B" w:rsidRPr="00AA0110" w:rsidRDefault="00726D7B" w:rsidP="00726D7B">
      <w:pPr>
        <w:tabs>
          <w:tab w:val="left" w:pos="426"/>
        </w:tabs>
        <w:spacing w:after="0" w:line="240" w:lineRule="auto"/>
        <w:jc w:val="both"/>
        <w:rPr>
          <w:rFonts w:ascii="Arial" w:hAnsi="Arial" w:cs="Arial"/>
          <w:bCs/>
          <w:snapToGrid w:val="0"/>
        </w:rPr>
      </w:pPr>
    </w:p>
    <w:p w:rsidR="00726D7B" w:rsidRPr="00AA0110" w:rsidRDefault="00726D7B" w:rsidP="00B03763">
      <w:pPr>
        <w:pStyle w:val="Prrafodelista"/>
        <w:tabs>
          <w:tab w:val="left" w:pos="567"/>
        </w:tabs>
        <w:spacing w:after="0" w:line="240" w:lineRule="auto"/>
        <w:ind w:left="0"/>
        <w:jc w:val="both"/>
        <w:rPr>
          <w:rFonts w:ascii="Arial" w:hAnsi="Arial" w:cs="Arial"/>
          <w:bCs/>
          <w:snapToGrid w:val="0"/>
        </w:rPr>
      </w:pPr>
      <w:r w:rsidRPr="00AA0110">
        <w:rPr>
          <w:rFonts w:ascii="Arial" w:hAnsi="Arial" w:cs="Arial"/>
          <w:bCs/>
          <w:snapToGrid w:val="0"/>
        </w:rPr>
        <w:t>Dada en la ciudad de Lima, Perú, a los veintinueve días del mes de marzo del año dos mil diecisiete.</w:t>
      </w:r>
    </w:p>
    <w:p w:rsidR="00726D7B" w:rsidRPr="00AA0110" w:rsidRDefault="00726D7B" w:rsidP="00726D7B">
      <w:pPr>
        <w:pStyle w:val="Estilo2"/>
        <w:tabs>
          <w:tab w:val="left" w:pos="426"/>
        </w:tabs>
        <w:rPr>
          <w:rFonts w:cs="Arial"/>
          <w:bCs/>
          <w:snapToGrid w:val="0"/>
          <w:sz w:val="22"/>
          <w:szCs w:val="22"/>
        </w:rPr>
      </w:pPr>
    </w:p>
    <w:p w:rsidR="00726D7B" w:rsidRPr="00AA0110" w:rsidRDefault="00726D7B" w:rsidP="00726D7B">
      <w:pPr>
        <w:pStyle w:val="Estilo2"/>
        <w:tabs>
          <w:tab w:val="left" w:pos="426"/>
        </w:tabs>
        <w:rPr>
          <w:rFonts w:cs="Arial"/>
          <w:bCs/>
          <w:snapToGrid w:val="0"/>
          <w:sz w:val="22"/>
          <w:szCs w:val="22"/>
        </w:rPr>
      </w:pPr>
    </w:p>
    <w:p w:rsidR="00726D7B" w:rsidRPr="00AA0110" w:rsidRDefault="00726D7B" w:rsidP="00726D7B">
      <w:pPr>
        <w:pStyle w:val="Estilo2"/>
        <w:tabs>
          <w:tab w:val="left" w:pos="426"/>
        </w:tabs>
        <w:rPr>
          <w:rFonts w:cs="Arial"/>
          <w:bCs/>
          <w:snapToGrid w:val="0"/>
          <w:sz w:val="22"/>
          <w:szCs w:val="22"/>
        </w:rPr>
      </w:pPr>
    </w:p>
    <w:p w:rsidR="00726D7B" w:rsidRPr="00AA0110" w:rsidRDefault="00726D7B" w:rsidP="00726D7B">
      <w:pPr>
        <w:pStyle w:val="Estilo2"/>
        <w:tabs>
          <w:tab w:val="left" w:pos="426"/>
        </w:tabs>
        <w:rPr>
          <w:rFonts w:cs="Arial"/>
          <w:bCs/>
          <w:snapToGrid w:val="0"/>
          <w:sz w:val="22"/>
          <w:szCs w:val="22"/>
        </w:rPr>
      </w:pPr>
    </w:p>
    <w:p w:rsidR="00726D7B" w:rsidRPr="00AA0110" w:rsidRDefault="00726D7B" w:rsidP="00726D7B">
      <w:pPr>
        <w:pStyle w:val="Estilo2"/>
        <w:tabs>
          <w:tab w:val="left" w:pos="426"/>
        </w:tabs>
        <w:rPr>
          <w:rFonts w:cs="Arial"/>
          <w:bCs/>
          <w:snapToGrid w:val="0"/>
          <w:sz w:val="22"/>
          <w:szCs w:val="22"/>
        </w:rPr>
      </w:pPr>
    </w:p>
    <w:p w:rsidR="00726D7B" w:rsidRPr="00AA0110" w:rsidRDefault="00726D7B" w:rsidP="00726D7B">
      <w:pPr>
        <w:pStyle w:val="Estilo2"/>
        <w:tabs>
          <w:tab w:val="left" w:pos="426"/>
        </w:tabs>
        <w:rPr>
          <w:rFonts w:cs="Arial"/>
          <w:bCs/>
          <w:snapToGrid w:val="0"/>
          <w:sz w:val="22"/>
          <w:szCs w:val="22"/>
        </w:rPr>
      </w:pPr>
    </w:p>
    <w:p w:rsidR="00726D7B" w:rsidRPr="00AA0110" w:rsidRDefault="00AA0110" w:rsidP="00726D7B">
      <w:pPr>
        <w:spacing w:after="0" w:line="240" w:lineRule="auto"/>
        <w:jc w:val="center"/>
        <w:rPr>
          <w:rFonts w:ascii="Arial" w:hAnsi="Arial" w:cs="Arial"/>
          <w:i/>
        </w:rPr>
      </w:pPr>
      <w:r>
        <w:rPr>
          <w:rFonts w:ascii="Arial" w:hAnsi="Arial" w:cs="Arial"/>
          <w:i/>
        </w:rPr>
        <w:t>W</w:t>
      </w:r>
      <w:r w:rsidR="00726D7B" w:rsidRPr="00AA0110">
        <w:rPr>
          <w:rFonts w:ascii="Arial" w:hAnsi="Arial" w:cs="Arial"/>
          <w:i/>
        </w:rPr>
        <w:t>alker San Miguel Rodríguez</w:t>
      </w:r>
    </w:p>
    <w:p w:rsidR="00726D7B" w:rsidRPr="00AA0110" w:rsidRDefault="00726D7B" w:rsidP="00726D7B">
      <w:pPr>
        <w:spacing w:after="0" w:line="240" w:lineRule="auto"/>
        <w:jc w:val="center"/>
        <w:rPr>
          <w:rFonts w:ascii="Arial" w:hAnsi="Arial" w:cs="Arial"/>
          <w:b/>
        </w:rPr>
      </w:pPr>
      <w:r w:rsidRPr="00AA0110">
        <w:rPr>
          <w:rFonts w:ascii="Arial" w:hAnsi="Arial" w:cs="Arial"/>
          <w:b/>
        </w:rPr>
        <w:t>Secretario General</w:t>
      </w:r>
    </w:p>
    <w:p w:rsidR="0015543B" w:rsidRPr="00AA0110" w:rsidRDefault="0015543B" w:rsidP="00DA5BD0">
      <w:pPr>
        <w:spacing w:after="0" w:line="240" w:lineRule="auto"/>
        <w:rPr>
          <w:rFonts w:ascii="Arial" w:hAnsi="Arial" w:cs="Arial"/>
          <w:lang w:eastAsia="es-PE"/>
        </w:rPr>
      </w:pPr>
    </w:p>
    <w:sectPr w:rsidR="0015543B" w:rsidRPr="00AA0110" w:rsidSect="00AA0110">
      <w:footerReference w:type="default" r:id="rId9"/>
      <w:pgSz w:w="11907" w:h="16840" w:code="9"/>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68" w:rsidRDefault="000C3668" w:rsidP="00622151">
      <w:pPr>
        <w:spacing w:after="0" w:line="240" w:lineRule="auto"/>
      </w:pPr>
      <w:r>
        <w:separator/>
      </w:r>
    </w:p>
  </w:endnote>
  <w:endnote w:type="continuationSeparator" w:id="0">
    <w:p w:rsidR="000C3668" w:rsidRDefault="000C3668" w:rsidP="0062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2494"/>
      <w:docPartObj>
        <w:docPartGallery w:val="Page Numbers (Bottom of Page)"/>
        <w:docPartUnique/>
      </w:docPartObj>
    </w:sdtPr>
    <w:sdtContent>
      <w:sdt>
        <w:sdtPr>
          <w:id w:val="29802495"/>
          <w:docPartObj>
            <w:docPartGallery w:val="Page Numbers (Top of Page)"/>
            <w:docPartUnique/>
          </w:docPartObj>
        </w:sdtPr>
        <w:sdtContent>
          <w:p w:rsidR="00665A28" w:rsidRDefault="00665A28">
            <w:pPr>
              <w:pStyle w:val="Piedepgina"/>
              <w:jc w:val="right"/>
            </w:pPr>
            <w:r>
              <w:t xml:space="preserve">Página </w:t>
            </w:r>
            <w:r w:rsidR="00BF1D4D">
              <w:rPr>
                <w:b/>
                <w:sz w:val="24"/>
                <w:szCs w:val="24"/>
              </w:rPr>
              <w:fldChar w:fldCharType="begin"/>
            </w:r>
            <w:r>
              <w:rPr>
                <w:b/>
              </w:rPr>
              <w:instrText>PAGE</w:instrText>
            </w:r>
            <w:r w:rsidR="00BF1D4D">
              <w:rPr>
                <w:b/>
                <w:sz w:val="24"/>
                <w:szCs w:val="24"/>
              </w:rPr>
              <w:fldChar w:fldCharType="separate"/>
            </w:r>
            <w:r w:rsidR="0052561F">
              <w:rPr>
                <w:b/>
                <w:noProof/>
              </w:rPr>
              <w:t>1</w:t>
            </w:r>
            <w:r w:rsidR="00BF1D4D">
              <w:rPr>
                <w:b/>
                <w:sz w:val="24"/>
                <w:szCs w:val="24"/>
              </w:rPr>
              <w:fldChar w:fldCharType="end"/>
            </w:r>
            <w:r>
              <w:t xml:space="preserve"> de </w:t>
            </w:r>
            <w:r w:rsidR="00BF1D4D">
              <w:rPr>
                <w:b/>
                <w:sz w:val="24"/>
                <w:szCs w:val="24"/>
              </w:rPr>
              <w:fldChar w:fldCharType="begin"/>
            </w:r>
            <w:r>
              <w:rPr>
                <w:b/>
              </w:rPr>
              <w:instrText>NUMPAGES</w:instrText>
            </w:r>
            <w:r w:rsidR="00BF1D4D">
              <w:rPr>
                <w:b/>
                <w:sz w:val="24"/>
                <w:szCs w:val="24"/>
              </w:rPr>
              <w:fldChar w:fldCharType="separate"/>
            </w:r>
            <w:r w:rsidR="0052561F">
              <w:rPr>
                <w:b/>
                <w:noProof/>
              </w:rPr>
              <w:t>3</w:t>
            </w:r>
            <w:r w:rsidR="00BF1D4D">
              <w:rPr>
                <w:b/>
                <w:sz w:val="24"/>
                <w:szCs w:val="24"/>
              </w:rPr>
              <w:fldChar w:fldCharType="end"/>
            </w:r>
          </w:p>
        </w:sdtContent>
      </w:sdt>
    </w:sdtContent>
  </w:sdt>
  <w:p w:rsidR="00665A28" w:rsidRDefault="00665A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68" w:rsidRDefault="000C3668" w:rsidP="00622151">
      <w:pPr>
        <w:spacing w:after="0" w:line="240" w:lineRule="auto"/>
      </w:pPr>
      <w:r>
        <w:separator/>
      </w:r>
    </w:p>
  </w:footnote>
  <w:footnote w:type="continuationSeparator" w:id="0">
    <w:p w:rsidR="000C3668" w:rsidRDefault="000C3668" w:rsidP="00622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885"/>
    <w:multiLevelType w:val="hybridMultilevel"/>
    <w:tmpl w:val="07827ABA"/>
    <w:lvl w:ilvl="0" w:tplc="546ABE06">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3A6574"/>
    <w:multiLevelType w:val="hybridMultilevel"/>
    <w:tmpl w:val="6CB2600E"/>
    <w:lvl w:ilvl="0" w:tplc="95DEFDF6">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484595"/>
    <w:multiLevelType w:val="hybridMultilevel"/>
    <w:tmpl w:val="64F2FCD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10F67368"/>
    <w:multiLevelType w:val="hybridMultilevel"/>
    <w:tmpl w:val="4D981AF8"/>
    <w:lvl w:ilvl="0" w:tplc="3D3EEFC0">
      <w:start w:val="1"/>
      <w:numFmt w:val="lowerLetter"/>
      <w:lvlText w:val="%1)"/>
      <w:lvlJc w:val="left"/>
      <w:pPr>
        <w:tabs>
          <w:tab w:val="num" w:pos="1637"/>
        </w:tabs>
        <w:ind w:left="1637" w:hanging="36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4">
    <w:nsid w:val="1A5C0274"/>
    <w:multiLevelType w:val="hybridMultilevel"/>
    <w:tmpl w:val="72A6D970"/>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ADE7446"/>
    <w:multiLevelType w:val="hybridMultilevel"/>
    <w:tmpl w:val="F4B68384"/>
    <w:lvl w:ilvl="0" w:tplc="9ACAA130">
      <w:start w:val="1"/>
      <w:numFmt w:val="lowerLetter"/>
      <w:lvlText w:val="%1)"/>
      <w:lvlJc w:val="left"/>
      <w:pPr>
        <w:tabs>
          <w:tab w:val="num" w:pos="960"/>
        </w:tabs>
        <w:ind w:left="960" w:hanging="360"/>
      </w:pPr>
      <w:rPr>
        <w:rFonts w:hint="default"/>
      </w:rPr>
    </w:lvl>
    <w:lvl w:ilvl="1" w:tplc="0C0A0019">
      <w:start w:val="1"/>
      <w:numFmt w:val="lowerLetter"/>
      <w:lvlText w:val="%2."/>
      <w:lvlJc w:val="left"/>
      <w:pPr>
        <w:tabs>
          <w:tab w:val="num" w:pos="2264"/>
        </w:tabs>
        <w:ind w:left="2264" w:hanging="360"/>
      </w:pPr>
    </w:lvl>
    <w:lvl w:ilvl="2" w:tplc="0C0A001B">
      <w:start w:val="1"/>
      <w:numFmt w:val="lowerRoman"/>
      <w:lvlText w:val="%3."/>
      <w:lvlJc w:val="right"/>
      <w:pPr>
        <w:tabs>
          <w:tab w:val="num" w:pos="2984"/>
        </w:tabs>
        <w:ind w:left="2984" w:hanging="180"/>
      </w:pPr>
    </w:lvl>
    <w:lvl w:ilvl="3" w:tplc="0C0A000F">
      <w:start w:val="1"/>
      <w:numFmt w:val="decimal"/>
      <w:lvlText w:val="%4."/>
      <w:lvlJc w:val="left"/>
      <w:pPr>
        <w:tabs>
          <w:tab w:val="num" w:pos="3704"/>
        </w:tabs>
        <w:ind w:left="3704" w:hanging="360"/>
      </w:pPr>
    </w:lvl>
    <w:lvl w:ilvl="4" w:tplc="0C0A0019">
      <w:start w:val="1"/>
      <w:numFmt w:val="lowerLetter"/>
      <w:lvlText w:val="%5."/>
      <w:lvlJc w:val="left"/>
      <w:pPr>
        <w:tabs>
          <w:tab w:val="num" w:pos="4424"/>
        </w:tabs>
        <w:ind w:left="4424" w:hanging="360"/>
      </w:pPr>
    </w:lvl>
    <w:lvl w:ilvl="5" w:tplc="0C0A001B">
      <w:start w:val="1"/>
      <w:numFmt w:val="lowerRoman"/>
      <w:lvlText w:val="%6."/>
      <w:lvlJc w:val="right"/>
      <w:pPr>
        <w:tabs>
          <w:tab w:val="num" w:pos="5144"/>
        </w:tabs>
        <w:ind w:left="5144" w:hanging="180"/>
      </w:pPr>
    </w:lvl>
    <w:lvl w:ilvl="6" w:tplc="0C0A000F">
      <w:start w:val="1"/>
      <w:numFmt w:val="decimal"/>
      <w:lvlText w:val="%7."/>
      <w:lvlJc w:val="left"/>
      <w:pPr>
        <w:tabs>
          <w:tab w:val="num" w:pos="5864"/>
        </w:tabs>
        <w:ind w:left="5864" w:hanging="360"/>
      </w:pPr>
    </w:lvl>
    <w:lvl w:ilvl="7" w:tplc="0C0A0019">
      <w:start w:val="1"/>
      <w:numFmt w:val="lowerLetter"/>
      <w:lvlText w:val="%8."/>
      <w:lvlJc w:val="left"/>
      <w:pPr>
        <w:tabs>
          <w:tab w:val="num" w:pos="6584"/>
        </w:tabs>
        <w:ind w:left="6584" w:hanging="360"/>
      </w:pPr>
    </w:lvl>
    <w:lvl w:ilvl="8" w:tplc="0C0A001B">
      <w:start w:val="1"/>
      <w:numFmt w:val="lowerRoman"/>
      <w:lvlText w:val="%9."/>
      <w:lvlJc w:val="right"/>
      <w:pPr>
        <w:tabs>
          <w:tab w:val="num" w:pos="7304"/>
        </w:tabs>
        <w:ind w:left="7304" w:hanging="180"/>
      </w:pPr>
    </w:lvl>
  </w:abstractNum>
  <w:abstractNum w:abstractNumId="6">
    <w:nsid w:val="1E6709FB"/>
    <w:multiLevelType w:val="hybridMultilevel"/>
    <w:tmpl w:val="3E56C642"/>
    <w:lvl w:ilvl="0" w:tplc="193681E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4C14A36"/>
    <w:multiLevelType w:val="hybridMultilevel"/>
    <w:tmpl w:val="8D3A5E4E"/>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23970F6"/>
    <w:multiLevelType w:val="hybridMultilevel"/>
    <w:tmpl w:val="D6200558"/>
    <w:lvl w:ilvl="0" w:tplc="1B04CF50">
      <w:start w:val="2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EB04001"/>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BD208C6"/>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9"/>
  </w:num>
  <w:num w:numId="7">
    <w:abstractNumId w:val="1"/>
  </w:num>
  <w:num w:numId="8">
    <w:abstractNumId w:val="10"/>
  </w:num>
  <w:num w:numId="9">
    <w:abstractNumId w:val="11"/>
  </w:num>
  <w:num w:numId="10">
    <w:abstractNumId w:val="6"/>
  </w:num>
  <w:num w:numId="11">
    <w:abstractNumId w:val="2"/>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04B1"/>
    <w:rsid w:val="000033C9"/>
    <w:rsid w:val="00004FFD"/>
    <w:rsid w:val="00005A3A"/>
    <w:rsid w:val="00006A51"/>
    <w:rsid w:val="00010B69"/>
    <w:rsid w:val="000118A9"/>
    <w:rsid w:val="00011D41"/>
    <w:rsid w:val="00012456"/>
    <w:rsid w:val="00013560"/>
    <w:rsid w:val="0001399D"/>
    <w:rsid w:val="00015B24"/>
    <w:rsid w:val="00023C9C"/>
    <w:rsid w:val="00024513"/>
    <w:rsid w:val="000247BB"/>
    <w:rsid w:val="00025736"/>
    <w:rsid w:val="00026DF0"/>
    <w:rsid w:val="00027F05"/>
    <w:rsid w:val="0003045A"/>
    <w:rsid w:val="00031D69"/>
    <w:rsid w:val="00036936"/>
    <w:rsid w:val="000422E0"/>
    <w:rsid w:val="000476C9"/>
    <w:rsid w:val="00050CBE"/>
    <w:rsid w:val="00052A84"/>
    <w:rsid w:val="00052F1F"/>
    <w:rsid w:val="0005408C"/>
    <w:rsid w:val="00055C36"/>
    <w:rsid w:val="00056880"/>
    <w:rsid w:val="00060103"/>
    <w:rsid w:val="0006163E"/>
    <w:rsid w:val="00063FAC"/>
    <w:rsid w:val="00064B70"/>
    <w:rsid w:val="00064CB9"/>
    <w:rsid w:val="00072DF3"/>
    <w:rsid w:val="000765E8"/>
    <w:rsid w:val="00076B09"/>
    <w:rsid w:val="00080FB2"/>
    <w:rsid w:val="00081565"/>
    <w:rsid w:val="0008162B"/>
    <w:rsid w:val="00081D80"/>
    <w:rsid w:val="0008213C"/>
    <w:rsid w:val="00084DB5"/>
    <w:rsid w:val="00092869"/>
    <w:rsid w:val="00092DF5"/>
    <w:rsid w:val="00092FD8"/>
    <w:rsid w:val="000A0915"/>
    <w:rsid w:val="000A0BCE"/>
    <w:rsid w:val="000A29B4"/>
    <w:rsid w:val="000A31CA"/>
    <w:rsid w:val="000A3B03"/>
    <w:rsid w:val="000A3C68"/>
    <w:rsid w:val="000A4893"/>
    <w:rsid w:val="000A60CE"/>
    <w:rsid w:val="000A7A11"/>
    <w:rsid w:val="000B435A"/>
    <w:rsid w:val="000B5256"/>
    <w:rsid w:val="000C032F"/>
    <w:rsid w:val="000C187E"/>
    <w:rsid w:val="000C3668"/>
    <w:rsid w:val="000C4B66"/>
    <w:rsid w:val="000C4ED6"/>
    <w:rsid w:val="000C6248"/>
    <w:rsid w:val="000C6F33"/>
    <w:rsid w:val="000D006A"/>
    <w:rsid w:val="000D01E4"/>
    <w:rsid w:val="000D66CA"/>
    <w:rsid w:val="000D7069"/>
    <w:rsid w:val="000D7DDA"/>
    <w:rsid w:val="000E0525"/>
    <w:rsid w:val="000E2C8A"/>
    <w:rsid w:val="000E5355"/>
    <w:rsid w:val="000F1468"/>
    <w:rsid w:val="000F5949"/>
    <w:rsid w:val="000F77DB"/>
    <w:rsid w:val="000F790B"/>
    <w:rsid w:val="00101542"/>
    <w:rsid w:val="00101778"/>
    <w:rsid w:val="001046ED"/>
    <w:rsid w:val="00105979"/>
    <w:rsid w:val="00105FFD"/>
    <w:rsid w:val="00110931"/>
    <w:rsid w:val="00112EAF"/>
    <w:rsid w:val="001130FE"/>
    <w:rsid w:val="00117866"/>
    <w:rsid w:val="00120F79"/>
    <w:rsid w:val="001216B9"/>
    <w:rsid w:val="001221C9"/>
    <w:rsid w:val="0012463F"/>
    <w:rsid w:val="0012475D"/>
    <w:rsid w:val="0012560D"/>
    <w:rsid w:val="00127C0F"/>
    <w:rsid w:val="0013734E"/>
    <w:rsid w:val="00140791"/>
    <w:rsid w:val="00142021"/>
    <w:rsid w:val="001421F7"/>
    <w:rsid w:val="00144AF2"/>
    <w:rsid w:val="0015319B"/>
    <w:rsid w:val="00154EA8"/>
    <w:rsid w:val="00155372"/>
    <w:rsid w:val="0015543B"/>
    <w:rsid w:val="0015694F"/>
    <w:rsid w:val="00157DD8"/>
    <w:rsid w:val="001629ED"/>
    <w:rsid w:val="00163327"/>
    <w:rsid w:val="00164BB6"/>
    <w:rsid w:val="0016614B"/>
    <w:rsid w:val="00167853"/>
    <w:rsid w:val="00170C23"/>
    <w:rsid w:val="001717D3"/>
    <w:rsid w:val="00173089"/>
    <w:rsid w:val="00173462"/>
    <w:rsid w:val="00173E36"/>
    <w:rsid w:val="00175CCE"/>
    <w:rsid w:val="00177696"/>
    <w:rsid w:val="001778FE"/>
    <w:rsid w:val="001832D4"/>
    <w:rsid w:val="001877A9"/>
    <w:rsid w:val="00192459"/>
    <w:rsid w:val="001A219D"/>
    <w:rsid w:val="001A5C3A"/>
    <w:rsid w:val="001B12BE"/>
    <w:rsid w:val="001C1499"/>
    <w:rsid w:val="001C4DC8"/>
    <w:rsid w:val="001C4E9A"/>
    <w:rsid w:val="001C6AFC"/>
    <w:rsid w:val="001D0D46"/>
    <w:rsid w:val="001D387E"/>
    <w:rsid w:val="001D388E"/>
    <w:rsid w:val="001D3A46"/>
    <w:rsid w:val="001D4E82"/>
    <w:rsid w:val="001D72C7"/>
    <w:rsid w:val="001D7324"/>
    <w:rsid w:val="001D7C8A"/>
    <w:rsid w:val="001D7F78"/>
    <w:rsid w:val="001E10D0"/>
    <w:rsid w:val="001E5377"/>
    <w:rsid w:val="001E75C3"/>
    <w:rsid w:val="001F014D"/>
    <w:rsid w:val="001F10AD"/>
    <w:rsid w:val="001F3DA3"/>
    <w:rsid w:val="001F408E"/>
    <w:rsid w:val="001F4B1F"/>
    <w:rsid w:val="001F5B76"/>
    <w:rsid w:val="00201111"/>
    <w:rsid w:val="00201B16"/>
    <w:rsid w:val="002030A5"/>
    <w:rsid w:val="00204B1A"/>
    <w:rsid w:val="002069E0"/>
    <w:rsid w:val="0021058D"/>
    <w:rsid w:val="0021126E"/>
    <w:rsid w:val="0021664C"/>
    <w:rsid w:val="002169BF"/>
    <w:rsid w:val="002202DB"/>
    <w:rsid w:val="002205C9"/>
    <w:rsid w:val="00221E83"/>
    <w:rsid w:val="0022254A"/>
    <w:rsid w:val="0022619B"/>
    <w:rsid w:val="00232048"/>
    <w:rsid w:val="00234FED"/>
    <w:rsid w:val="00235764"/>
    <w:rsid w:val="00235ADC"/>
    <w:rsid w:val="00247A97"/>
    <w:rsid w:val="00252023"/>
    <w:rsid w:val="00253B0B"/>
    <w:rsid w:val="00253E43"/>
    <w:rsid w:val="002544E2"/>
    <w:rsid w:val="00261D00"/>
    <w:rsid w:val="00265043"/>
    <w:rsid w:val="00266574"/>
    <w:rsid w:val="0026716E"/>
    <w:rsid w:val="0027041F"/>
    <w:rsid w:val="00270DE8"/>
    <w:rsid w:val="00272894"/>
    <w:rsid w:val="00276938"/>
    <w:rsid w:val="00280DC7"/>
    <w:rsid w:val="00281B7D"/>
    <w:rsid w:val="00285B38"/>
    <w:rsid w:val="00290718"/>
    <w:rsid w:val="00290DB0"/>
    <w:rsid w:val="00291334"/>
    <w:rsid w:val="00292BAC"/>
    <w:rsid w:val="00293562"/>
    <w:rsid w:val="002A397B"/>
    <w:rsid w:val="002A3B9F"/>
    <w:rsid w:val="002A4F90"/>
    <w:rsid w:val="002A7746"/>
    <w:rsid w:val="002B04ED"/>
    <w:rsid w:val="002B0BE6"/>
    <w:rsid w:val="002B4205"/>
    <w:rsid w:val="002C2EE5"/>
    <w:rsid w:val="002C3F86"/>
    <w:rsid w:val="002C5514"/>
    <w:rsid w:val="002C7BAA"/>
    <w:rsid w:val="002D156A"/>
    <w:rsid w:val="002D2B9D"/>
    <w:rsid w:val="002E2790"/>
    <w:rsid w:val="002E42BD"/>
    <w:rsid w:val="002E7591"/>
    <w:rsid w:val="002F3286"/>
    <w:rsid w:val="002F4D4B"/>
    <w:rsid w:val="002F4FDA"/>
    <w:rsid w:val="00300A14"/>
    <w:rsid w:val="00303058"/>
    <w:rsid w:val="0030335E"/>
    <w:rsid w:val="00303E02"/>
    <w:rsid w:val="00311345"/>
    <w:rsid w:val="00311EF3"/>
    <w:rsid w:val="00311FC0"/>
    <w:rsid w:val="003133C3"/>
    <w:rsid w:val="00314D5A"/>
    <w:rsid w:val="00316F3C"/>
    <w:rsid w:val="0032180C"/>
    <w:rsid w:val="00323A33"/>
    <w:rsid w:val="00325269"/>
    <w:rsid w:val="0032645C"/>
    <w:rsid w:val="00330F75"/>
    <w:rsid w:val="0033550B"/>
    <w:rsid w:val="00342230"/>
    <w:rsid w:val="00347D06"/>
    <w:rsid w:val="003500C4"/>
    <w:rsid w:val="003560CD"/>
    <w:rsid w:val="003606B2"/>
    <w:rsid w:val="0036207D"/>
    <w:rsid w:val="00363B3A"/>
    <w:rsid w:val="00364F28"/>
    <w:rsid w:val="00370F0E"/>
    <w:rsid w:val="0037155B"/>
    <w:rsid w:val="003717EF"/>
    <w:rsid w:val="0037192F"/>
    <w:rsid w:val="003753D4"/>
    <w:rsid w:val="00380156"/>
    <w:rsid w:val="00380D4D"/>
    <w:rsid w:val="00381716"/>
    <w:rsid w:val="00381B63"/>
    <w:rsid w:val="00381B7C"/>
    <w:rsid w:val="00383105"/>
    <w:rsid w:val="00383196"/>
    <w:rsid w:val="00384594"/>
    <w:rsid w:val="00385FC8"/>
    <w:rsid w:val="00387DE7"/>
    <w:rsid w:val="00394C02"/>
    <w:rsid w:val="00397983"/>
    <w:rsid w:val="003A1000"/>
    <w:rsid w:val="003A3B1C"/>
    <w:rsid w:val="003A4CD6"/>
    <w:rsid w:val="003A5792"/>
    <w:rsid w:val="003A6584"/>
    <w:rsid w:val="003B2BC3"/>
    <w:rsid w:val="003B2DE0"/>
    <w:rsid w:val="003B4130"/>
    <w:rsid w:val="003B6103"/>
    <w:rsid w:val="003B6DC8"/>
    <w:rsid w:val="003B704F"/>
    <w:rsid w:val="003C0EC9"/>
    <w:rsid w:val="003C20D3"/>
    <w:rsid w:val="003C283A"/>
    <w:rsid w:val="003C3073"/>
    <w:rsid w:val="003C7E59"/>
    <w:rsid w:val="003D33BE"/>
    <w:rsid w:val="003D46CF"/>
    <w:rsid w:val="003D6951"/>
    <w:rsid w:val="003D73F0"/>
    <w:rsid w:val="003E1036"/>
    <w:rsid w:val="003E5BEA"/>
    <w:rsid w:val="003E6F1A"/>
    <w:rsid w:val="003E7BD0"/>
    <w:rsid w:val="003F1691"/>
    <w:rsid w:val="003F184F"/>
    <w:rsid w:val="003F3791"/>
    <w:rsid w:val="003F705E"/>
    <w:rsid w:val="003F73E8"/>
    <w:rsid w:val="003F7B22"/>
    <w:rsid w:val="004025DD"/>
    <w:rsid w:val="00404266"/>
    <w:rsid w:val="004073F5"/>
    <w:rsid w:val="004107D2"/>
    <w:rsid w:val="0041291E"/>
    <w:rsid w:val="004175A1"/>
    <w:rsid w:val="0041760B"/>
    <w:rsid w:val="00417616"/>
    <w:rsid w:val="0042467D"/>
    <w:rsid w:val="00426B3D"/>
    <w:rsid w:val="00432357"/>
    <w:rsid w:val="00434B1A"/>
    <w:rsid w:val="00436D04"/>
    <w:rsid w:val="004375EB"/>
    <w:rsid w:val="004410A1"/>
    <w:rsid w:val="004410C3"/>
    <w:rsid w:val="00442669"/>
    <w:rsid w:val="0044427C"/>
    <w:rsid w:val="00447D6D"/>
    <w:rsid w:val="004528BD"/>
    <w:rsid w:val="00452CA0"/>
    <w:rsid w:val="00453103"/>
    <w:rsid w:val="00453FDB"/>
    <w:rsid w:val="0045647C"/>
    <w:rsid w:val="00463788"/>
    <w:rsid w:val="00463BFB"/>
    <w:rsid w:val="00465201"/>
    <w:rsid w:val="00473838"/>
    <w:rsid w:val="00475580"/>
    <w:rsid w:val="00475C90"/>
    <w:rsid w:val="00475F08"/>
    <w:rsid w:val="00477227"/>
    <w:rsid w:val="004772FC"/>
    <w:rsid w:val="0048055D"/>
    <w:rsid w:val="00485782"/>
    <w:rsid w:val="00485FC8"/>
    <w:rsid w:val="00492549"/>
    <w:rsid w:val="00493368"/>
    <w:rsid w:val="00494F2B"/>
    <w:rsid w:val="004A595B"/>
    <w:rsid w:val="004A5B7F"/>
    <w:rsid w:val="004A6363"/>
    <w:rsid w:val="004A739F"/>
    <w:rsid w:val="004A78BD"/>
    <w:rsid w:val="004A7EED"/>
    <w:rsid w:val="004B1730"/>
    <w:rsid w:val="004B6DBC"/>
    <w:rsid w:val="004B7093"/>
    <w:rsid w:val="004C03C2"/>
    <w:rsid w:val="004C0904"/>
    <w:rsid w:val="004C1654"/>
    <w:rsid w:val="004C2F0D"/>
    <w:rsid w:val="004D026F"/>
    <w:rsid w:val="004D6267"/>
    <w:rsid w:val="004E47C3"/>
    <w:rsid w:val="004E4CB9"/>
    <w:rsid w:val="004E57F7"/>
    <w:rsid w:val="004E67BB"/>
    <w:rsid w:val="004E6A2E"/>
    <w:rsid w:val="004F025E"/>
    <w:rsid w:val="004F1EC7"/>
    <w:rsid w:val="004F6861"/>
    <w:rsid w:val="00500A1F"/>
    <w:rsid w:val="00501CB4"/>
    <w:rsid w:val="00502AA7"/>
    <w:rsid w:val="00504001"/>
    <w:rsid w:val="00504620"/>
    <w:rsid w:val="00507B73"/>
    <w:rsid w:val="00507F17"/>
    <w:rsid w:val="0051048F"/>
    <w:rsid w:val="00511772"/>
    <w:rsid w:val="0051273F"/>
    <w:rsid w:val="00512EBC"/>
    <w:rsid w:val="005159AC"/>
    <w:rsid w:val="00521F9C"/>
    <w:rsid w:val="00522D59"/>
    <w:rsid w:val="0052561F"/>
    <w:rsid w:val="00526269"/>
    <w:rsid w:val="00526700"/>
    <w:rsid w:val="00535BFE"/>
    <w:rsid w:val="00537A60"/>
    <w:rsid w:val="0054230B"/>
    <w:rsid w:val="005434A3"/>
    <w:rsid w:val="00550208"/>
    <w:rsid w:val="00550F88"/>
    <w:rsid w:val="0055304E"/>
    <w:rsid w:val="005547F7"/>
    <w:rsid w:val="00555BDC"/>
    <w:rsid w:val="005562EF"/>
    <w:rsid w:val="00560495"/>
    <w:rsid w:val="0056106A"/>
    <w:rsid w:val="00561375"/>
    <w:rsid w:val="005636E2"/>
    <w:rsid w:val="005639EF"/>
    <w:rsid w:val="005709FA"/>
    <w:rsid w:val="00573408"/>
    <w:rsid w:val="0057422E"/>
    <w:rsid w:val="00575652"/>
    <w:rsid w:val="00577198"/>
    <w:rsid w:val="00577EA5"/>
    <w:rsid w:val="00584269"/>
    <w:rsid w:val="00584585"/>
    <w:rsid w:val="00585B5E"/>
    <w:rsid w:val="00585C3E"/>
    <w:rsid w:val="00585EAE"/>
    <w:rsid w:val="005A069F"/>
    <w:rsid w:val="005A10FE"/>
    <w:rsid w:val="005A2043"/>
    <w:rsid w:val="005A3765"/>
    <w:rsid w:val="005A6EC5"/>
    <w:rsid w:val="005B0C3B"/>
    <w:rsid w:val="005B1A21"/>
    <w:rsid w:val="005B2695"/>
    <w:rsid w:val="005B5638"/>
    <w:rsid w:val="005C246A"/>
    <w:rsid w:val="005C414F"/>
    <w:rsid w:val="005C4790"/>
    <w:rsid w:val="005D080C"/>
    <w:rsid w:val="005D1387"/>
    <w:rsid w:val="005D153C"/>
    <w:rsid w:val="005D6172"/>
    <w:rsid w:val="005D6E01"/>
    <w:rsid w:val="005E246F"/>
    <w:rsid w:val="005E465A"/>
    <w:rsid w:val="005E7119"/>
    <w:rsid w:val="005F0CCF"/>
    <w:rsid w:val="005F18B9"/>
    <w:rsid w:val="005F4F9B"/>
    <w:rsid w:val="00600C97"/>
    <w:rsid w:val="006017C1"/>
    <w:rsid w:val="00605915"/>
    <w:rsid w:val="0060594C"/>
    <w:rsid w:val="00610B95"/>
    <w:rsid w:val="00613F48"/>
    <w:rsid w:val="00613F9B"/>
    <w:rsid w:val="00614E48"/>
    <w:rsid w:val="00615002"/>
    <w:rsid w:val="006166EB"/>
    <w:rsid w:val="00620CDD"/>
    <w:rsid w:val="00622151"/>
    <w:rsid w:val="00622CE6"/>
    <w:rsid w:val="00625C43"/>
    <w:rsid w:val="00625F4D"/>
    <w:rsid w:val="00630DA6"/>
    <w:rsid w:val="0063109C"/>
    <w:rsid w:val="00631777"/>
    <w:rsid w:val="00631C6E"/>
    <w:rsid w:val="00632968"/>
    <w:rsid w:val="00636AB9"/>
    <w:rsid w:val="00640152"/>
    <w:rsid w:val="00651F86"/>
    <w:rsid w:val="00656226"/>
    <w:rsid w:val="006564B0"/>
    <w:rsid w:val="00656530"/>
    <w:rsid w:val="0065727F"/>
    <w:rsid w:val="00657441"/>
    <w:rsid w:val="00662664"/>
    <w:rsid w:val="00663706"/>
    <w:rsid w:val="00665A28"/>
    <w:rsid w:val="00667604"/>
    <w:rsid w:val="00670752"/>
    <w:rsid w:val="00672865"/>
    <w:rsid w:val="00674CE3"/>
    <w:rsid w:val="00675494"/>
    <w:rsid w:val="00675710"/>
    <w:rsid w:val="006777F1"/>
    <w:rsid w:val="00680C18"/>
    <w:rsid w:val="006811ED"/>
    <w:rsid w:val="006818FA"/>
    <w:rsid w:val="00681A45"/>
    <w:rsid w:val="00681D91"/>
    <w:rsid w:val="006821FB"/>
    <w:rsid w:val="00684365"/>
    <w:rsid w:val="00687357"/>
    <w:rsid w:val="0069142E"/>
    <w:rsid w:val="00691BCF"/>
    <w:rsid w:val="00694319"/>
    <w:rsid w:val="00697823"/>
    <w:rsid w:val="006A008B"/>
    <w:rsid w:val="006A1AFE"/>
    <w:rsid w:val="006A1E49"/>
    <w:rsid w:val="006A20DA"/>
    <w:rsid w:val="006A305D"/>
    <w:rsid w:val="006A63E1"/>
    <w:rsid w:val="006A6946"/>
    <w:rsid w:val="006A757E"/>
    <w:rsid w:val="006A7A3D"/>
    <w:rsid w:val="006B3EFC"/>
    <w:rsid w:val="006C4965"/>
    <w:rsid w:val="006C54CA"/>
    <w:rsid w:val="006C73AD"/>
    <w:rsid w:val="006D33C9"/>
    <w:rsid w:val="006D7901"/>
    <w:rsid w:val="006E14BF"/>
    <w:rsid w:val="006E3687"/>
    <w:rsid w:val="006E6B7C"/>
    <w:rsid w:val="006F044E"/>
    <w:rsid w:val="006F081F"/>
    <w:rsid w:val="006F2804"/>
    <w:rsid w:val="006F42CF"/>
    <w:rsid w:val="006F4C74"/>
    <w:rsid w:val="006F662E"/>
    <w:rsid w:val="006F6B8D"/>
    <w:rsid w:val="006F75B3"/>
    <w:rsid w:val="0070194E"/>
    <w:rsid w:val="00703019"/>
    <w:rsid w:val="007034EA"/>
    <w:rsid w:val="00705600"/>
    <w:rsid w:val="00714D3E"/>
    <w:rsid w:val="007152B9"/>
    <w:rsid w:val="00716095"/>
    <w:rsid w:val="00716CC5"/>
    <w:rsid w:val="0072009A"/>
    <w:rsid w:val="00721586"/>
    <w:rsid w:val="007234DE"/>
    <w:rsid w:val="00726D7B"/>
    <w:rsid w:val="007279DC"/>
    <w:rsid w:val="00730AFD"/>
    <w:rsid w:val="00732D94"/>
    <w:rsid w:val="00735EA4"/>
    <w:rsid w:val="00736C40"/>
    <w:rsid w:val="0074209B"/>
    <w:rsid w:val="0074255A"/>
    <w:rsid w:val="007426E7"/>
    <w:rsid w:val="0074447C"/>
    <w:rsid w:val="00746528"/>
    <w:rsid w:val="00751323"/>
    <w:rsid w:val="00751699"/>
    <w:rsid w:val="007517CE"/>
    <w:rsid w:val="00751D91"/>
    <w:rsid w:val="00752CCB"/>
    <w:rsid w:val="00755B0E"/>
    <w:rsid w:val="00757E4B"/>
    <w:rsid w:val="0076022D"/>
    <w:rsid w:val="0076174E"/>
    <w:rsid w:val="007629FB"/>
    <w:rsid w:val="00765B95"/>
    <w:rsid w:val="00765BD0"/>
    <w:rsid w:val="00770225"/>
    <w:rsid w:val="007712C6"/>
    <w:rsid w:val="0077594F"/>
    <w:rsid w:val="00775EBA"/>
    <w:rsid w:val="00776F1F"/>
    <w:rsid w:val="007811ED"/>
    <w:rsid w:val="0078445D"/>
    <w:rsid w:val="007875D3"/>
    <w:rsid w:val="00793AC3"/>
    <w:rsid w:val="00794716"/>
    <w:rsid w:val="007952E9"/>
    <w:rsid w:val="00796C1E"/>
    <w:rsid w:val="007A0079"/>
    <w:rsid w:val="007A08E0"/>
    <w:rsid w:val="007A09FD"/>
    <w:rsid w:val="007A1BA7"/>
    <w:rsid w:val="007B2C8A"/>
    <w:rsid w:val="007B3453"/>
    <w:rsid w:val="007B3ED4"/>
    <w:rsid w:val="007B6255"/>
    <w:rsid w:val="007B6B29"/>
    <w:rsid w:val="007B6D7F"/>
    <w:rsid w:val="007B778A"/>
    <w:rsid w:val="007B7E0D"/>
    <w:rsid w:val="007C0159"/>
    <w:rsid w:val="007C574D"/>
    <w:rsid w:val="007C6E1D"/>
    <w:rsid w:val="007C7A5F"/>
    <w:rsid w:val="007D2E57"/>
    <w:rsid w:val="007E4C73"/>
    <w:rsid w:val="007E52CF"/>
    <w:rsid w:val="007E69CE"/>
    <w:rsid w:val="007F188C"/>
    <w:rsid w:val="007F3BDC"/>
    <w:rsid w:val="007F6819"/>
    <w:rsid w:val="007F6E13"/>
    <w:rsid w:val="007F7878"/>
    <w:rsid w:val="007F7ABC"/>
    <w:rsid w:val="00801DA3"/>
    <w:rsid w:val="00802E19"/>
    <w:rsid w:val="00803299"/>
    <w:rsid w:val="0080614A"/>
    <w:rsid w:val="00806FD3"/>
    <w:rsid w:val="00810462"/>
    <w:rsid w:val="00814B8F"/>
    <w:rsid w:val="00814FD7"/>
    <w:rsid w:val="00817E51"/>
    <w:rsid w:val="00817FAF"/>
    <w:rsid w:val="00820EAA"/>
    <w:rsid w:val="008210DE"/>
    <w:rsid w:val="008230E9"/>
    <w:rsid w:val="0082334F"/>
    <w:rsid w:val="00823E85"/>
    <w:rsid w:val="00826510"/>
    <w:rsid w:val="00827B3C"/>
    <w:rsid w:val="0083093F"/>
    <w:rsid w:val="00830CA8"/>
    <w:rsid w:val="00834225"/>
    <w:rsid w:val="0083457D"/>
    <w:rsid w:val="008367D4"/>
    <w:rsid w:val="00845299"/>
    <w:rsid w:val="00845648"/>
    <w:rsid w:val="00845846"/>
    <w:rsid w:val="0084779F"/>
    <w:rsid w:val="00850399"/>
    <w:rsid w:val="0085062A"/>
    <w:rsid w:val="00851A88"/>
    <w:rsid w:val="00851FF3"/>
    <w:rsid w:val="00854945"/>
    <w:rsid w:val="00854B99"/>
    <w:rsid w:val="00855B16"/>
    <w:rsid w:val="00870990"/>
    <w:rsid w:val="00881D15"/>
    <w:rsid w:val="00884193"/>
    <w:rsid w:val="00887105"/>
    <w:rsid w:val="00887CDA"/>
    <w:rsid w:val="00890D18"/>
    <w:rsid w:val="00894839"/>
    <w:rsid w:val="00894DEA"/>
    <w:rsid w:val="00897B41"/>
    <w:rsid w:val="008A3537"/>
    <w:rsid w:val="008A3BC1"/>
    <w:rsid w:val="008A68E0"/>
    <w:rsid w:val="008A6E61"/>
    <w:rsid w:val="008B023A"/>
    <w:rsid w:val="008B4973"/>
    <w:rsid w:val="008B5D21"/>
    <w:rsid w:val="008C144D"/>
    <w:rsid w:val="008C1681"/>
    <w:rsid w:val="008C19B2"/>
    <w:rsid w:val="008C6663"/>
    <w:rsid w:val="008C6DE9"/>
    <w:rsid w:val="008D03FD"/>
    <w:rsid w:val="008D335E"/>
    <w:rsid w:val="008D42DD"/>
    <w:rsid w:val="008D55E3"/>
    <w:rsid w:val="008D7C2E"/>
    <w:rsid w:val="008D7FDE"/>
    <w:rsid w:val="008E0653"/>
    <w:rsid w:val="008E09B9"/>
    <w:rsid w:val="008E551C"/>
    <w:rsid w:val="008E566B"/>
    <w:rsid w:val="008E5908"/>
    <w:rsid w:val="008E63AE"/>
    <w:rsid w:val="008F3AD3"/>
    <w:rsid w:val="008F4FB4"/>
    <w:rsid w:val="0090179A"/>
    <w:rsid w:val="00902BE5"/>
    <w:rsid w:val="00903823"/>
    <w:rsid w:val="009045E1"/>
    <w:rsid w:val="00911592"/>
    <w:rsid w:val="00912AF3"/>
    <w:rsid w:val="00916DC0"/>
    <w:rsid w:val="00920D5F"/>
    <w:rsid w:val="00922602"/>
    <w:rsid w:val="00922C20"/>
    <w:rsid w:val="00923BF7"/>
    <w:rsid w:val="0092414F"/>
    <w:rsid w:val="00925001"/>
    <w:rsid w:val="009261BB"/>
    <w:rsid w:val="00930AE1"/>
    <w:rsid w:val="00932EAF"/>
    <w:rsid w:val="0093400E"/>
    <w:rsid w:val="00935512"/>
    <w:rsid w:val="0093631B"/>
    <w:rsid w:val="00942177"/>
    <w:rsid w:val="0094325C"/>
    <w:rsid w:val="00943AA8"/>
    <w:rsid w:val="009457AD"/>
    <w:rsid w:val="009503EE"/>
    <w:rsid w:val="00955CCC"/>
    <w:rsid w:val="0096038E"/>
    <w:rsid w:val="00962D43"/>
    <w:rsid w:val="00965FCB"/>
    <w:rsid w:val="00973E9A"/>
    <w:rsid w:val="00975489"/>
    <w:rsid w:val="00975757"/>
    <w:rsid w:val="00975C77"/>
    <w:rsid w:val="009819D6"/>
    <w:rsid w:val="0098210F"/>
    <w:rsid w:val="00983002"/>
    <w:rsid w:val="009850F6"/>
    <w:rsid w:val="00985676"/>
    <w:rsid w:val="009877EC"/>
    <w:rsid w:val="00987904"/>
    <w:rsid w:val="0099253A"/>
    <w:rsid w:val="00995070"/>
    <w:rsid w:val="00996801"/>
    <w:rsid w:val="009A1D2F"/>
    <w:rsid w:val="009A46EF"/>
    <w:rsid w:val="009A4705"/>
    <w:rsid w:val="009A7B80"/>
    <w:rsid w:val="009B1604"/>
    <w:rsid w:val="009B201D"/>
    <w:rsid w:val="009B27A8"/>
    <w:rsid w:val="009B2BC8"/>
    <w:rsid w:val="009B7E71"/>
    <w:rsid w:val="009C07D1"/>
    <w:rsid w:val="009C1404"/>
    <w:rsid w:val="009C66F3"/>
    <w:rsid w:val="009C6E2D"/>
    <w:rsid w:val="009C7F1B"/>
    <w:rsid w:val="009D00D1"/>
    <w:rsid w:val="009D18AA"/>
    <w:rsid w:val="009D2C0B"/>
    <w:rsid w:val="009D3543"/>
    <w:rsid w:val="009D48A3"/>
    <w:rsid w:val="009D4B2B"/>
    <w:rsid w:val="009D5255"/>
    <w:rsid w:val="009D5DC5"/>
    <w:rsid w:val="009D61D8"/>
    <w:rsid w:val="009D6FE6"/>
    <w:rsid w:val="009E1273"/>
    <w:rsid w:val="009E28CE"/>
    <w:rsid w:val="009E4D09"/>
    <w:rsid w:val="009F4276"/>
    <w:rsid w:val="009F53DE"/>
    <w:rsid w:val="009F73DE"/>
    <w:rsid w:val="00A00307"/>
    <w:rsid w:val="00A054B8"/>
    <w:rsid w:val="00A07993"/>
    <w:rsid w:val="00A136ED"/>
    <w:rsid w:val="00A16116"/>
    <w:rsid w:val="00A20313"/>
    <w:rsid w:val="00A204DF"/>
    <w:rsid w:val="00A209C9"/>
    <w:rsid w:val="00A22A17"/>
    <w:rsid w:val="00A24C3A"/>
    <w:rsid w:val="00A252FA"/>
    <w:rsid w:val="00A25546"/>
    <w:rsid w:val="00A262A6"/>
    <w:rsid w:val="00A26337"/>
    <w:rsid w:val="00A3134F"/>
    <w:rsid w:val="00A317D0"/>
    <w:rsid w:val="00A32A74"/>
    <w:rsid w:val="00A3356E"/>
    <w:rsid w:val="00A3535D"/>
    <w:rsid w:val="00A35433"/>
    <w:rsid w:val="00A375D7"/>
    <w:rsid w:val="00A40651"/>
    <w:rsid w:val="00A40B69"/>
    <w:rsid w:val="00A40C13"/>
    <w:rsid w:val="00A40DEF"/>
    <w:rsid w:val="00A40EB2"/>
    <w:rsid w:val="00A4275F"/>
    <w:rsid w:val="00A43B09"/>
    <w:rsid w:val="00A479FC"/>
    <w:rsid w:val="00A51617"/>
    <w:rsid w:val="00A52930"/>
    <w:rsid w:val="00A54283"/>
    <w:rsid w:val="00A56228"/>
    <w:rsid w:val="00A56558"/>
    <w:rsid w:val="00A57813"/>
    <w:rsid w:val="00A57F98"/>
    <w:rsid w:val="00A60C7A"/>
    <w:rsid w:val="00A636BC"/>
    <w:rsid w:val="00A676ED"/>
    <w:rsid w:val="00A7335F"/>
    <w:rsid w:val="00A73924"/>
    <w:rsid w:val="00A77745"/>
    <w:rsid w:val="00A81C5F"/>
    <w:rsid w:val="00A822B1"/>
    <w:rsid w:val="00A8290E"/>
    <w:rsid w:val="00A82996"/>
    <w:rsid w:val="00A82D11"/>
    <w:rsid w:val="00A82D6D"/>
    <w:rsid w:val="00A835BF"/>
    <w:rsid w:val="00A84D79"/>
    <w:rsid w:val="00A86E84"/>
    <w:rsid w:val="00A914BB"/>
    <w:rsid w:val="00A91F42"/>
    <w:rsid w:val="00A95A1F"/>
    <w:rsid w:val="00AA0110"/>
    <w:rsid w:val="00AA2676"/>
    <w:rsid w:val="00AA27EC"/>
    <w:rsid w:val="00AA35B5"/>
    <w:rsid w:val="00AA4819"/>
    <w:rsid w:val="00AA57DC"/>
    <w:rsid w:val="00AA57E2"/>
    <w:rsid w:val="00AA756E"/>
    <w:rsid w:val="00AB0E65"/>
    <w:rsid w:val="00AB5FA8"/>
    <w:rsid w:val="00AB6B7C"/>
    <w:rsid w:val="00AC435F"/>
    <w:rsid w:val="00AC6BA9"/>
    <w:rsid w:val="00AC7BFE"/>
    <w:rsid w:val="00AD04B1"/>
    <w:rsid w:val="00AD0E89"/>
    <w:rsid w:val="00AD1AF9"/>
    <w:rsid w:val="00AD2278"/>
    <w:rsid w:val="00AD2E4C"/>
    <w:rsid w:val="00AD643F"/>
    <w:rsid w:val="00AE2E56"/>
    <w:rsid w:val="00AE434B"/>
    <w:rsid w:val="00AE4559"/>
    <w:rsid w:val="00AE681A"/>
    <w:rsid w:val="00AE7B7E"/>
    <w:rsid w:val="00B026CD"/>
    <w:rsid w:val="00B02A44"/>
    <w:rsid w:val="00B03763"/>
    <w:rsid w:val="00B03943"/>
    <w:rsid w:val="00B102A2"/>
    <w:rsid w:val="00B146D1"/>
    <w:rsid w:val="00B162B7"/>
    <w:rsid w:val="00B177E5"/>
    <w:rsid w:val="00B17CAC"/>
    <w:rsid w:val="00B22BC7"/>
    <w:rsid w:val="00B2331A"/>
    <w:rsid w:val="00B262B3"/>
    <w:rsid w:val="00B26AD4"/>
    <w:rsid w:val="00B328EF"/>
    <w:rsid w:val="00B34291"/>
    <w:rsid w:val="00B342C0"/>
    <w:rsid w:val="00B355E0"/>
    <w:rsid w:val="00B36572"/>
    <w:rsid w:val="00B366D3"/>
    <w:rsid w:val="00B3681A"/>
    <w:rsid w:val="00B368D7"/>
    <w:rsid w:val="00B378A3"/>
    <w:rsid w:val="00B40189"/>
    <w:rsid w:val="00B4171F"/>
    <w:rsid w:val="00B42E55"/>
    <w:rsid w:val="00B449BD"/>
    <w:rsid w:val="00B52BB0"/>
    <w:rsid w:val="00B53C6C"/>
    <w:rsid w:val="00B55B1F"/>
    <w:rsid w:val="00B610D6"/>
    <w:rsid w:val="00B61405"/>
    <w:rsid w:val="00B64290"/>
    <w:rsid w:val="00B65558"/>
    <w:rsid w:val="00B66409"/>
    <w:rsid w:val="00B66B80"/>
    <w:rsid w:val="00B6791C"/>
    <w:rsid w:val="00B816E0"/>
    <w:rsid w:val="00B81A8A"/>
    <w:rsid w:val="00B94209"/>
    <w:rsid w:val="00B94509"/>
    <w:rsid w:val="00B9599F"/>
    <w:rsid w:val="00BA0C8C"/>
    <w:rsid w:val="00BA0D26"/>
    <w:rsid w:val="00BA0FCB"/>
    <w:rsid w:val="00BA295E"/>
    <w:rsid w:val="00BA37FD"/>
    <w:rsid w:val="00BA3CD8"/>
    <w:rsid w:val="00BA40FE"/>
    <w:rsid w:val="00BA496F"/>
    <w:rsid w:val="00BA5E0C"/>
    <w:rsid w:val="00BA7054"/>
    <w:rsid w:val="00BB1611"/>
    <w:rsid w:val="00BC0F12"/>
    <w:rsid w:val="00BC132E"/>
    <w:rsid w:val="00BC5ED7"/>
    <w:rsid w:val="00BD0443"/>
    <w:rsid w:val="00BD5C0D"/>
    <w:rsid w:val="00BD66F2"/>
    <w:rsid w:val="00BE4B7A"/>
    <w:rsid w:val="00BE773E"/>
    <w:rsid w:val="00BE7D7F"/>
    <w:rsid w:val="00BF0ABE"/>
    <w:rsid w:val="00BF1D4D"/>
    <w:rsid w:val="00BF1F19"/>
    <w:rsid w:val="00BF48E1"/>
    <w:rsid w:val="00BF604A"/>
    <w:rsid w:val="00BF61CF"/>
    <w:rsid w:val="00BF6545"/>
    <w:rsid w:val="00C01D38"/>
    <w:rsid w:val="00C03B58"/>
    <w:rsid w:val="00C1032A"/>
    <w:rsid w:val="00C110EB"/>
    <w:rsid w:val="00C11697"/>
    <w:rsid w:val="00C118CB"/>
    <w:rsid w:val="00C158C1"/>
    <w:rsid w:val="00C2083C"/>
    <w:rsid w:val="00C21724"/>
    <w:rsid w:val="00C21C9E"/>
    <w:rsid w:val="00C22035"/>
    <w:rsid w:val="00C220F4"/>
    <w:rsid w:val="00C32219"/>
    <w:rsid w:val="00C4151D"/>
    <w:rsid w:val="00C426B1"/>
    <w:rsid w:val="00C42D65"/>
    <w:rsid w:val="00C44452"/>
    <w:rsid w:val="00C4646D"/>
    <w:rsid w:val="00C525E6"/>
    <w:rsid w:val="00C54156"/>
    <w:rsid w:val="00C553E5"/>
    <w:rsid w:val="00C5558E"/>
    <w:rsid w:val="00C56625"/>
    <w:rsid w:val="00C6047B"/>
    <w:rsid w:val="00C62989"/>
    <w:rsid w:val="00C62C57"/>
    <w:rsid w:val="00C66BA2"/>
    <w:rsid w:val="00C67B60"/>
    <w:rsid w:val="00C7386D"/>
    <w:rsid w:val="00C807F5"/>
    <w:rsid w:val="00C83217"/>
    <w:rsid w:val="00C8591A"/>
    <w:rsid w:val="00C87279"/>
    <w:rsid w:val="00C91809"/>
    <w:rsid w:val="00C91A73"/>
    <w:rsid w:val="00C9564E"/>
    <w:rsid w:val="00C961CF"/>
    <w:rsid w:val="00C973D1"/>
    <w:rsid w:val="00CB4B4D"/>
    <w:rsid w:val="00CB77EF"/>
    <w:rsid w:val="00CB7D47"/>
    <w:rsid w:val="00CC65A1"/>
    <w:rsid w:val="00CD01B4"/>
    <w:rsid w:val="00CD0B32"/>
    <w:rsid w:val="00CD2DAB"/>
    <w:rsid w:val="00CD4282"/>
    <w:rsid w:val="00CD4D08"/>
    <w:rsid w:val="00CD7D6A"/>
    <w:rsid w:val="00CE12FB"/>
    <w:rsid w:val="00CE2284"/>
    <w:rsid w:val="00CE22A4"/>
    <w:rsid w:val="00CE28C0"/>
    <w:rsid w:val="00CE3EC5"/>
    <w:rsid w:val="00CE6F37"/>
    <w:rsid w:val="00CE7CD5"/>
    <w:rsid w:val="00CF25DD"/>
    <w:rsid w:val="00D00EF5"/>
    <w:rsid w:val="00D01001"/>
    <w:rsid w:val="00D02DEC"/>
    <w:rsid w:val="00D062D1"/>
    <w:rsid w:val="00D11E9F"/>
    <w:rsid w:val="00D12596"/>
    <w:rsid w:val="00D13656"/>
    <w:rsid w:val="00D1498A"/>
    <w:rsid w:val="00D20A90"/>
    <w:rsid w:val="00D2220D"/>
    <w:rsid w:val="00D2405E"/>
    <w:rsid w:val="00D30421"/>
    <w:rsid w:val="00D324A1"/>
    <w:rsid w:val="00D32F8F"/>
    <w:rsid w:val="00D440D2"/>
    <w:rsid w:val="00D458CD"/>
    <w:rsid w:val="00D50BD7"/>
    <w:rsid w:val="00D6103F"/>
    <w:rsid w:val="00D63B99"/>
    <w:rsid w:val="00D70BC7"/>
    <w:rsid w:val="00D71069"/>
    <w:rsid w:val="00D71AB2"/>
    <w:rsid w:val="00D71F84"/>
    <w:rsid w:val="00D723C9"/>
    <w:rsid w:val="00D72A1A"/>
    <w:rsid w:val="00D73EC1"/>
    <w:rsid w:val="00D75667"/>
    <w:rsid w:val="00D76FF9"/>
    <w:rsid w:val="00D8145B"/>
    <w:rsid w:val="00D8421E"/>
    <w:rsid w:val="00D84ED0"/>
    <w:rsid w:val="00D872C3"/>
    <w:rsid w:val="00D9009D"/>
    <w:rsid w:val="00D927D0"/>
    <w:rsid w:val="00D96983"/>
    <w:rsid w:val="00D96A5E"/>
    <w:rsid w:val="00D97796"/>
    <w:rsid w:val="00DA162E"/>
    <w:rsid w:val="00DA2B08"/>
    <w:rsid w:val="00DA5BD0"/>
    <w:rsid w:val="00DA7508"/>
    <w:rsid w:val="00DB03CB"/>
    <w:rsid w:val="00DB3F76"/>
    <w:rsid w:val="00DB5255"/>
    <w:rsid w:val="00DC2305"/>
    <w:rsid w:val="00DC2D5B"/>
    <w:rsid w:val="00DD06BD"/>
    <w:rsid w:val="00DD1499"/>
    <w:rsid w:val="00DD1690"/>
    <w:rsid w:val="00DD20C9"/>
    <w:rsid w:val="00DD2249"/>
    <w:rsid w:val="00DD796C"/>
    <w:rsid w:val="00DE1A84"/>
    <w:rsid w:val="00DE33A4"/>
    <w:rsid w:val="00DE3F43"/>
    <w:rsid w:val="00DE4AB1"/>
    <w:rsid w:val="00DF43DD"/>
    <w:rsid w:val="00DF4951"/>
    <w:rsid w:val="00DF5F3A"/>
    <w:rsid w:val="00E02AF1"/>
    <w:rsid w:val="00E03020"/>
    <w:rsid w:val="00E11808"/>
    <w:rsid w:val="00E14428"/>
    <w:rsid w:val="00E163EF"/>
    <w:rsid w:val="00E218F9"/>
    <w:rsid w:val="00E23E9A"/>
    <w:rsid w:val="00E254CA"/>
    <w:rsid w:val="00E25625"/>
    <w:rsid w:val="00E27560"/>
    <w:rsid w:val="00E308AC"/>
    <w:rsid w:val="00E30C31"/>
    <w:rsid w:val="00E32893"/>
    <w:rsid w:val="00E36AF3"/>
    <w:rsid w:val="00E413FD"/>
    <w:rsid w:val="00E4614A"/>
    <w:rsid w:val="00E47A37"/>
    <w:rsid w:val="00E50A34"/>
    <w:rsid w:val="00E536A6"/>
    <w:rsid w:val="00E53A4E"/>
    <w:rsid w:val="00E55F23"/>
    <w:rsid w:val="00E57520"/>
    <w:rsid w:val="00E60269"/>
    <w:rsid w:val="00E63739"/>
    <w:rsid w:val="00E64309"/>
    <w:rsid w:val="00E66E71"/>
    <w:rsid w:val="00E73284"/>
    <w:rsid w:val="00E737E1"/>
    <w:rsid w:val="00E7557D"/>
    <w:rsid w:val="00E808A2"/>
    <w:rsid w:val="00E819FF"/>
    <w:rsid w:val="00E93695"/>
    <w:rsid w:val="00E963CC"/>
    <w:rsid w:val="00EA06C2"/>
    <w:rsid w:val="00EA3F57"/>
    <w:rsid w:val="00EB3958"/>
    <w:rsid w:val="00EC299E"/>
    <w:rsid w:val="00EC3F71"/>
    <w:rsid w:val="00EC70F4"/>
    <w:rsid w:val="00ED1872"/>
    <w:rsid w:val="00ED2BDB"/>
    <w:rsid w:val="00ED6812"/>
    <w:rsid w:val="00ED778E"/>
    <w:rsid w:val="00EE6441"/>
    <w:rsid w:val="00EF3C37"/>
    <w:rsid w:val="00EF5359"/>
    <w:rsid w:val="00EF5681"/>
    <w:rsid w:val="00F01601"/>
    <w:rsid w:val="00F01DED"/>
    <w:rsid w:val="00F02097"/>
    <w:rsid w:val="00F02DC6"/>
    <w:rsid w:val="00F03445"/>
    <w:rsid w:val="00F05695"/>
    <w:rsid w:val="00F0625F"/>
    <w:rsid w:val="00F0693A"/>
    <w:rsid w:val="00F06D10"/>
    <w:rsid w:val="00F07072"/>
    <w:rsid w:val="00F07D30"/>
    <w:rsid w:val="00F1277D"/>
    <w:rsid w:val="00F127B0"/>
    <w:rsid w:val="00F13C21"/>
    <w:rsid w:val="00F15B5D"/>
    <w:rsid w:val="00F202FD"/>
    <w:rsid w:val="00F21CD3"/>
    <w:rsid w:val="00F26B28"/>
    <w:rsid w:val="00F26DA9"/>
    <w:rsid w:val="00F273F8"/>
    <w:rsid w:val="00F33232"/>
    <w:rsid w:val="00F34412"/>
    <w:rsid w:val="00F41BA7"/>
    <w:rsid w:val="00F43B24"/>
    <w:rsid w:val="00F44C40"/>
    <w:rsid w:val="00F45F86"/>
    <w:rsid w:val="00F47C70"/>
    <w:rsid w:val="00F47E64"/>
    <w:rsid w:val="00F51C44"/>
    <w:rsid w:val="00F531BB"/>
    <w:rsid w:val="00F54693"/>
    <w:rsid w:val="00F56A14"/>
    <w:rsid w:val="00F578DA"/>
    <w:rsid w:val="00F60CC2"/>
    <w:rsid w:val="00F646B4"/>
    <w:rsid w:val="00F65F55"/>
    <w:rsid w:val="00F66E3B"/>
    <w:rsid w:val="00F74F5E"/>
    <w:rsid w:val="00F77690"/>
    <w:rsid w:val="00F81C75"/>
    <w:rsid w:val="00F822F1"/>
    <w:rsid w:val="00F84758"/>
    <w:rsid w:val="00F85A2D"/>
    <w:rsid w:val="00F900A1"/>
    <w:rsid w:val="00F90D8E"/>
    <w:rsid w:val="00F91459"/>
    <w:rsid w:val="00F93B7D"/>
    <w:rsid w:val="00F94F44"/>
    <w:rsid w:val="00F9662F"/>
    <w:rsid w:val="00F96AF9"/>
    <w:rsid w:val="00F97B7D"/>
    <w:rsid w:val="00FA38C2"/>
    <w:rsid w:val="00FB0641"/>
    <w:rsid w:val="00FB342C"/>
    <w:rsid w:val="00FC0ADF"/>
    <w:rsid w:val="00FC17CF"/>
    <w:rsid w:val="00FC2AD8"/>
    <w:rsid w:val="00FC3063"/>
    <w:rsid w:val="00FD0E87"/>
    <w:rsid w:val="00FD119C"/>
    <w:rsid w:val="00FD1F52"/>
    <w:rsid w:val="00FD571A"/>
    <w:rsid w:val="00FE2E40"/>
    <w:rsid w:val="00FE35DA"/>
    <w:rsid w:val="00FF793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1"/>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eastAsia="es-PE"/>
    </w:rPr>
  </w:style>
  <w:style w:type="paragraph" w:styleId="Ttulo2">
    <w:name w:val="heading 2"/>
    <w:basedOn w:val="Normal"/>
    <w:next w:val="Normal"/>
    <w:link w:val="Ttulo2Car"/>
    <w:semiHidden/>
    <w:unhideWhenUsed/>
    <w:qFormat/>
    <w:rsid w:val="00B610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eastAsia="es-PE"/>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w Parrafo numerado"/>
    <w:basedOn w:val="Normal"/>
    <w:uiPriority w:val="99"/>
    <w:qFormat/>
    <w:rsid w:val="001832D4"/>
    <w:pPr>
      <w:ind w:left="720"/>
      <w:contextualSpacing/>
    </w:pPr>
  </w:style>
  <w:style w:type="paragraph" w:styleId="Encabezado">
    <w:name w:val="header"/>
    <w:basedOn w:val="Normal"/>
    <w:link w:val="EncabezadoCar"/>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eastAsia="es-PE"/>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character" w:customStyle="1" w:styleId="Ttulo2Car">
    <w:name w:val="Título 2 Car"/>
    <w:basedOn w:val="Fuentedeprrafopredeter"/>
    <w:link w:val="Ttulo2"/>
    <w:semiHidden/>
    <w:qFormat/>
    <w:rsid w:val="00B610D6"/>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F81C75"/>
    <w:pPr>
      <w:spacing w:after="120" w:line="480" w:lineRule="auto"/>
    </w:pPr>
  </w:style>
  <w:style w:type="character" w:customStyle="1" w:styleId="Textoindependiente2Car">
    <w:name w:val="Texto independiente 2 Car"/>
    <w:basedOn w:val="Fuentedeprrafopredeter"/>
    <w:link w:val="Textoindependiente2"/>
    <w:uiPriority w:val="99"/>
    <w:rsid w:val="00F81C75"/>
  </w:style>
  <w:style w:type="paragraph" w:customStyle="1" w:styleId="Heading2">
    <w:name w:val="Heading 2"/>
    <w:basedOn w:val="Normal"/>
    <w:next w:val="Normal"/>
    <w:semiHidden/>
    <w:qFormat/>
    <w:rsid w:val="000C624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customStyle="1" w:styleId="TextBody">
    <w:name w:val="Text Body"/>
    <w:basedOn w:val="Normal"/>
    <w:rsid w:val="000C6248"/>
    <w:pPr>
      <w:spacing w:after="0" w:line="240" w:lineRule="auto"/>
      <w:jc w:val="both"/>
    </w:pPr>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803299"/>
    <w:rPr>
      <w:sz w:val="16"/>
      <w:szCs w:val="16"/>
    </w:rPr>
  </w:style>
  <w:style w:type="paragraph" w:styleId="Textocomentario">
    <w:name w:val="annotation text"/>
    <w:basedOn w:val="Normal"/>
    <w:link w:val="TextocomentarioCar"/>
    <w:uiPriority w:val="99"/>
    <w:semiHidden/>
    <w:unhideWhenUsed/>
    <w:rsid w:val="008032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3299"/>
    <w:rPr>
      <w:sz w:val="20"/>
      <w:szCs w:val="20"/>
    </w:rPr>
  </w:style>
  <w:style w:type="paragraph" w:styleId="Textodebloque">
    <w:name w:val="Block Text"/>
    <w:basedOn w:val="Normal"/>
    <w:rsid w:val="00A8290E"/>
    <w:pPr>
      <w:tabs>
        <w:tab w:val="left" w:pos="993"/>
      </w:tabs>
      <w:spacing w:after="0" w:line="240" w:lineRule="auto"/>
      <w:ind w:left="993" w:right="567" w:hanging="426"/>
      <w:jc w:val="both"/>
    </w:pPr>
    <w:rPr>
      <w:rFonts w:ascii="Arial" w:eastAsia="Times New Roman" w:hAnsi="Arial" w:cs="Times New Roman"/>
      <w:i/>
      <w:szCs w:val="20"/>
      <w:lang w:val="es-ES_tradnl" w:eastAsia="es-PE"/>
    </w:rPr>
  </w:style>
  <w:style w:type="paragraph" w:styleId="Asuntodelcomentario">
    <w:name w:val="annotation subject"/>
    <w:basedOn w:val="Textocomentario"/>
    <w:next w:val="Textocomentario"/>
    <w:link w:val="AsuntodelcomentarioCar"/>
    <w:uiPriority w:val="99"/>
    <w:semiHidden/>
    <w:unhideWhenUsed/>
    <w:rsid w:val="00794716"/>
    <w:rPr>
      <w:b/>
      <w:bCs/>
    </w:rPr>
  </w:style>
  <w:style w:type="character" w:customStyle="1" w:styleId="AsuntodelcomentarioCar">
    <w:name w:val="Asunto del comentario Car"/>
    <w:basedOn w:val="TextocomentarioCar"/>
    <w:link w:val="Asuntodelcomentario"/>
    <w:uiPriority w:val="99"/>
    <w:semiHidden/>
    <w:rsid w:val="00794716"/>
    <w:rPr>
      <w:b/>
      <w:bCs/>
    </w:rPr>
  </w:style>
  <w:style w:type="paragraph" w:customStyle="1" w:styleId="Sangra3detindependiente1">
    <w:name w:val="Sangría 3 de t. independiente1"/>
    <w:basedOn w:val="Normal"/>
    <w:rsid w:val="00C91A73"/>
    <w:pPr>
      <w:spacing w:after="0" w:line="240" w:lineRule="auto"/>
      <w:ind w:firstLine="720"/>
      <w:jc w:val="both"/>
    </w:pPr>
    <w:rPr>
      <w:rFonts w:ascii="Times New Roman" w:eastAsia="Times New Roman" w:hAnsi="Times New Roman" w:cs="Times New Roman"/>
      <w:sz w:val="24"/>
      <w:szCs w:val="20"/>
      <w:lang w:val="es-ES" w:eastAsia="es-PE"/>
    </w:rPr>
  </w:style>
  <w:style w:type="paragraph" w:styleId="Sinespaciado">
    <w:name w:val="No Spacing"/>
    <w:uiPriority w:val="1"/>
    <w:qFormat/>
    <w:rsid w:val="004C2F0D"/>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835BF"/>
  </w:style>
  <w:style w:type="paragraph" w:styleId="Sangradetextonormal">
    <w:name w:val="Body Text Indent"/>
    <w:basedOn w:val="Normal"/>
    <w:link w:val="SangradetextonormalCar"/>
    <w:uiPriority w:val="99"/>
    <w:semiHidden/>
    <w:unhideWhenUsed/>
    <w:rsid w:val="00A676ED"/>
    <w:pPr>
      <w:spacing w:after="120"/>
      <w:ind w:left="283"/>
    </w:pPr>
  </w:style>
  <w:style w:type="character" w:customStyle="1" w:styleId="SangradetextonormalCar">
    <w:name w:val="Sangría de texto normal Car"/>
    <w:basedOn w:val="Fuentedeprrafopredeter"/>
    <w:link w:val="Sangradetextonormal"/>
    <w:uiPriority w:val="99"/>
    <w:semiHidden/>
    <w:rsid w:val="00A676ED"/>
  </w:style>
  <w:style w:type="paragraph" w:styleId="NormalWeb">
    <w:name w:val="Normal (Web)"/>
    <w:basedOn w:val="Normal"/>
    <w:uiPriority w:val="99"/>
    <w:rsid w:val="00A676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676ED"/>
    <w:pPr>
      <w:tabs>
        <w:tab w:val="left" w:pos="480"/>
        <w:tab w:val="left" w:pos="960"/>
      </w:tabs>
      <w:spacing w:after="0" w:line="260" w:lineRule="atLeast"/>
      <w:jc w:val="both"/>
    </w:pPr>
    <w:rPr>
      <w:rFonts w:ascii="Arial" w:eastAsia="Times New Roman" w:hAnsi="Arial" w:cs="Times New Roman"/>
      <w:snapToGrid w:val="0"/>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83163953">
      <w:bodyDiv w:val="1"/>
      <w:marLeft w:val="0"/>
      <w:marRight w:val="0"/>
      <w:marTop w:val="0"/>
      <w:marBottom w:val="0"/>
      <w:divBdr>
        <w:top w:val="none" w:sz="0" w:space="0" w:color="auto"/>
        <w:left w:val="none" w:sz="0" w:space="0" w:color="auto"/>
        <w:bottom w:val="none" w:sz="0" w:space="0" w:color="auto"/>
        <w:right w:val="none" w:sz="0" w:space="0" w:color="auto"/>
      </w:divBdr>
    </w:div>
    <w:div w:id="768432826">
      <w:bodyDiv w:val="1"/>
      <w:marLeft w:val="0"/>
      <w:marRight w:val="0"/>
      <w:marTop w:val="0"/>
      <w:marBottom w:val="0"/>
      <w:divBdr>
        <w:top w:val="none" w:sz="0" w:space="0" w:color="auto"/>
        <w:left w:val="none" w:sz="0" w:space="0" w:color="auto"/>
        <w:bottom w:val="none" w:sz="0" w:space="0" w:color="auto"/>
        <w:right w:val="none" w:sz="0" w:space="0" w:color="auto"/>
      </w:divBdr>
    </w:div>
    <w:div w:id="990911747">
      <w:bodyDiv w:val="1"/>
      <w:marLeft w:val="0"/>
      <w:marRight w:val="0"/>
      <w:marTop w:val="0"/>
      <w:marBottom w:val="0"/>
      <w:divBdr>
        <w:top w:val="none" w:sz="0" w:space="0" w:color="auto"/>
        <w:left w:val="none" w:sz="0" w:space="0" w:color="auto"/>
        <w:bottom w:val="none" w:sz="0" w:space="0" w:color="auto"/>
        <w:right w:val="none" w:sz="0" w:space="0" w:color="auto"/>
      </w:divBdr>
    </w:div>
    <w:div w:id="1227377320">
      <w:bodyDiv w:val="1"/>
      <w:marLeft w:val="0"/>
      <w:marRight w:val="0"/>
      <w:marTop w:val="0"/>
      <w:marBottom w:val="0"/>
      <w:divBdr>
        <w:top w:val="none" w:sz="0" w:space="0" w:color="auto"/>
        <w:left w:val="none" w:sz="0" w:space="0" w:color="auto"/>
        <w:bottom w:val="none" w:sz="0" w:space="0" w:color="auto"/>
        <w:right w:val="none" w:sz="0" w:space="0" w:color="auto"/>
      </w:divBdr>
    </w:div>
    <w:div w:id="1350835936">
      <w:bodyDiv w:val="1"/>
      <w:marLeft w:val="0"/>
      <w:marRight w:val="0"/>
      <w:marTop w:val="0"/>
      <w:marBottom w:val="0"/>
      <w:divBdr>
        <w:top w:val="none" w:sz="0" w:space="0" w:color="auto"/>
        <w:left w:val="none" w:sz="0" w:space="0" w:color="auto"/>
        <w:bottom w:val="none" w:sz="0" w:space="0" w:color="auto"/>
        <w:right w:val="none" w:sz="0" w:space="0" w:color="auto"/>
      </w:divBdr>
    </w:div>
    <w:div w:id="1513757874">
      <w:bodyDiv w:val="1"/>
      <w:marLeft w:val="0"/>
      <w:marRight w:val="0"/>
      <w:marTop w:val="0"/>
      <w:marBottom w:val="0"/>
      <w:divBdr>
        <w:top w:val="none" w:sz="0" w:space="0" w:color="auto"/>
        <w:left w:val="none" w:sz="0" w:space="0" w:color="auto"/>
        <w:bottom w:val="none" w:sz="0" w:space="0" w:color="auto"/>
        <w:right w:val="none" w:sz="0" w:space="0" w:color="auto"/>
      </w:divBdr>
      <w:divsChild>
        <w:div w:id="1823623575">
          <w:marLeft w:val="0"/>
          <w:marRight w:val="0"/>
          <w:marTop w:val="0"/>
          <w:marBottom w:val="0"/>
          <w:divBdr>
            <w:top w:val="none" w:sz="0" w:space="0" w:color="auto"/>
            <w:left w:val="none" w:sz="0" w:space="0" w:color="auto"/>
            <w:bottom w:val="none" w:sz="0" w:space="0" w:color="auto"/>
            <w:right w:val="none" w:sz="0" w:space="0" w:color="auto"/>
          </w:divBdr>
        </w:div>
        <w:div w:id="832643904">
          <w:marLeft w:val="0"/>
          <w:marRight w:val="0"/>
          <w:marTop w:val="0"/>
          <w:marBottom w:val="0"/>
          <w:divBdr>
            <w:top w:val="none" w:sz="0" w:space="0" w:color="auto"/>
            <w:left w:val="none" w:sz="0" w:space="0" w:color="auto"/>
            <w:bottom w:val="none" w:sz="0" w:space="0" w:color="auto"/>
            <w:right w:val="none" w:sz="0" w:space="0" w:color="auto"/>
          </w:divBdr>
        </w:div>
        <w:div w:id="1302534477">
          <w:marLeft w:val="0"/>
          <w:marRight w:val="0"/>
          <w:marTop w:val="0"/>
          <w:marBottom w:val="0"/>
          <w:divBdr>
            <w:top w:val="none" w:sz="0" w:space="0" w:color="auto"/>
            <w:left w:val="none" w:sz="0" w:space="0" w:color="auto"/>
            <w:bottom w:val="none" w:sz="0" w:space="0" w:color="auto"/>
            <w:right w:val="none" w:sz="0" w:space="0" w:color="auto"/>
          </w:divBdr>
        </w:div>
        <w:div w:id="510338056">
          <w:marLeft w:val="0"/>
          <w:marRight w:val="0"/>
          <w:marTop w:val="0"/>
          <w:marBottom w:val="0"/>
          <w:divBdr>
            <w:top w:val="none" w:sz="0" w:space="0" w:color="auto"/>
            <w:left w:val="none" w:sz="0" w:space="0" w:color="auto"/>
            <w:bottom w:val="none" w:sz="0" w:space="0" w:color="auto"/>
            <w:right w:val="none" w:sz="0" w:space="0" w:color="auto"/>
          </w:divBdr>
        </w:div>
        <w:div w:id="1673683471">
          <w:marLeft w:val="0"/>
          <w:marRight w:val="0"/>
          <w:marTop w:val="0"/>
          <w:marBottom w:val="0"/>
          <w:divBdr>
            <w:top w:val="none" w:sz="0" w:space="0" w:color="auto"/>
            <w:left w:val="none" w:sz="0" w:space="0" w:color="auto"/>
            <w:bottom w:val="none" w:sz="0" w:space="0" w:color="auto"/>
            <w:right w:val="none" w:sz="0" w:space="0" w:color="auto"/>
          </w:divBdr>
        </w:div>
        <w:div w:id="1897007891">
          <w:marLeft w:val="0"/>
          <w:marRight w:val="0"/>
          <w:marTop w:val="0"/>
          <w:marBottom w:val="0"/>
          <w:divBdr>
            <w:top w:val="none" w:sz="0" w:space="0" w:color="auto"/>
            <w:left w:val="none" w:sz="0" w:space="0" w:color="auto"/>
            <w:bottom w:val="none" w:sz="0" w:space="0" w:color="auto"/>
            <w:right w:val="none" w:sz="0" w:space="0" w:color="auto"/>
          </w:divBdr>
        </w:div>
      </w:divsChild>
    </w:div>
    <w:div w:id="1605309868">
      <w:bodyDiv w:val="1"/>
      <w:marLeft w:val="0"/>
      <w:marRight w:val="0"/>
      <w:marTop w:val="0"/>
      <w:marBottom w:val="0"/>
      <w:divBdr>
        <w:top w:val="none" w:sz="0" w:space="0" w:color="auto"/>
        <w:left w:val="none" w:sz="0" w:space="0" w:color="auto"/>
        <w:bottom w:val="none" w:sz="0" w:space="0" w:color="auto"/>
        <w:right w:val="none" w:sz="0" w:space="0" w:color="auto"/>
      </w:divBdr>
    </w:div>
    <w:div w:id="1613786716">
      <w:bodyDiv w:val="1"/>
      <w:marLeft w:val="0"/>
      <w:marRight w:val="0"/>
      <w:marTop w:val="0"/>
      <w:marBottom w:val="0"/>
      <w:divBdr>
        <w:top w:val="none" w:sz="0" w:space="0" w:color="auto"/>
        <w:left w:val="none" w:sz="0" w:space="0" w:color="auto"/>
        <w:bottom w:val="none" w:sz="0" w:space="0" w:color="auto"/>
        <w:right w:val="none" w:sz="0" w:space="0" w:color="auto"/>
      </w:divBdr>
      <w:divsChild>
        <w:div w:id="500630175">
          <w:marLeft w:val="0"/>
          <w:marRight w:val="0"/>
          <w:marTop w:val="0"/>
          <w:marBottom w:val="0"/>
          <w:divBdr>
            <w:top w:val="none" w:sz="0" w:space="0" w:color="auto"/>
            <w:left w:val="none" w:sz="0" w:space="0" w:color="auto"/>
            <w:bottom w:val="none" w:sz="0" w:space="0" w:color="auto"/>
            <w:right w:val="none" w:sz="0" w:space="0" w:color="auto"/>
          </w:divBdr>
        </w:div>
        <w:div w:id="654726445">
          <w:marLeft w:val="0"/>
          <w:marRight w:val="0"/>
          <w:marTop w:val="0"/>
          <w:marBottom w:val="0"/>
          <w:divBdr>
            <w:top w:val="none" w:sz="0" w:space="0" w:color="auto"/>
            <w:left w:val="none" w:sz="0" w:space="0" w:color="auto"/>
            <w:bottom w:val="none" w:sz="0" w:space="0" w:color="auto"/>
            <w:right w:val="none" w:sz="0" w:space="0" w:color="auto"/>
          </w:divBdr>
        </w:div>
        <w:div w:id="1077282838">
          <w:marLeft w:val="0"/>
          <w:marRight w:val="0"/>
          <w:marTop w:val="0"/>
          <w:marBottom w:val="0"/>
          <w:divBdr>
            <w:top w:val="none" w:sz="0" w:space="0" w:color="auto"/>
            <w:left w:val="none" w:sz="0" w:space="0" w:color="auto"/>
            <w:bottom w:val="none" w:sz="0" w:space="0" w:color="auto"/>
            <w:right w:val="none" w:sz="0" w:space="0" w:color="auto"/>
          </w:divBdr>
        </w:div>
        <w:div w:id="1080440791">
          <w:marLeft w:val="0"/>
          <w:marRight w:val="0"/>
          <w:marTop w:val="0"/>
          <w:marBottom w:val="0"/>
          <w:divBdr>
            <w:top w:val="none" w:sz="0" w:space="0" w:color="auto"/>
            <w:left w:val="none" w:sz="0" w:space="0" w:color="auto"/>
            <w:bottom w:val="none" w:sz="0" w:space="0" w:color="auto"/>
            <w:right w:val="none" w:sz="0" w:space="0" w:color="auto"/>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1969045045">
          <w:marLeft w:val="0"/>
          <w:marRight w:val="0"/>
          <w:marTop w:val="0"/>
          <w:marBottom w:val="0"/>
          <w:divBdr>
            <w:top w:val="none" w:sz="0" w:space="0" w:color="auto"/>
            <w:left w:val="none" w:sz="0" w:space="0" w:color="auto"/>
            <w:bottom w:val="none" w:sz="0" w:space="0" w:color="auto"/>
            <w:right w:val="none" w:sz="0" w:space="0" w:color="auto"/>
          </w:divBdr>
        </w:div>
        <w:div w:id="252252063">
          <w:marLeft w:val="0"/>
          <w:marRight w:val="0"/>
          <w:marTop w:val="0"/>
          <w:marBottom w:val="0"/>
          <w:divBdr>
            <w:top w:val="none" w:sz="0" w:space="0" w:color="auto"/>
            <w:left w:val="none" w:sz="0" w:space="0" w:color="auto"/>
            <w:bottom w:val="none" w:sz="0" w:space="0" w:color="auto"/>
            <w:right w:val="none" w:sz="0" w:space="0" w:color="auto"/>
          </w:divBdr>
        </w:div>
      </w:divsChild>
    </w:div>
    <w:div w:id="1767653574">
      <w:bodyDiv w:val="1"/>
      <w:marLeft w:val="0"/>
      <w:marRight w:val="0"/>
      <w:marTop w:val="0"/>
      <w:marBottom w:val="0"/>
      <w:divBdr>
        <w:top w:val="none" w:sz="0" w:space="0" w:color="auto"/>
        <w:left w:val="none" w:sz="0" w:space="0" w:color="auto"/>
        <w:bottom w:val="none" w:sz="0" w:space="0" w:color="auto"/>
        <w:right w:val="none" w:sz="0" w:space="0" w:color="auto"/>
      </w:divBdr>
    </w:div>
    <w:div w:id="1876313301">
      <w:bodyDiv w:val="1"/>
      <w:marLeft w:val="0"/>
      <w:marRight w:val="0"/>
      <w:marTop w:val="0"/>
      <w:marBottom w:val="0"/>
      <w:divBdr>
        <w:top w:val="none" w:sz="0" w:space="0" w:color="auto"/>
        <w:left w:val="none" w:sz="0" w:space="0" w:color="auto"/>
        <w:bottom w:val="none" w:sz="0" w:space="0" w:color="auto"/>
        <w:right w:val="none" w:sz="0" w:space="0" w:color="auto"/>
      </w:divBdr>
      <w:divsChild>
        <w:div w:id="1858692028">
          <w:marLeft w:val="0"/>
          <w:marRight w:val="0"/>
          <w:marTop w:val="0"/>
          <w:marBottom w:val="0"/>
          <w:divBdr>
            <w:top w:val="none" w:sz="0" w:space="0" w:color="auto"/>
            <w:left w:val="none" w:sz="0" w:space="0" w:color="auto"/>
            <w:bottom w:val="none" w:sz="0" w:space="0" w:color="auto"/>
            <w:right w:val="none" w:sz="0" w:space="0" w:color="auto"/>
          </w:divBdr>
        </w:div>
        <w:div w:id="1039088369">
          <w:marLeft w:val="0"/>
          <w:marRight w:val="0"/>
          <w:marTop w:val="0"/>
          <w:marBottom w:val="0"/>
          <w:divBdr>
            <w:top w:val="none" w:sz="0" w:space="0" w:color="auto"/>
            <w:left w:val="none" w:sz="0" w:space="0" w:color="auto"/>
            <w:bottom w:val="none" w:sz="0" w:space="0" w:color="auto"/>
            <w:right w:val="none" w:sz="0" w:space="0" w:color="auto"/>
          </w:divBdr>
        </w:div>
        <w:div w:id="1480462191">
          <w:marLeft w:val="0"/>
          <w:marRight w:val="0"/>
          <w:marTop w:val="0"/>
          <w:marBottom w:val="0"/>
          <w:divBdr>
            <w:top w:val="none" w:sz="0" w:space="0" w:color="auto"/>
            <w:left w:val="none" w:sz="0" w:space="0" w:color="auto"/>
            <w:bottom w:val="none" w:sz="0" w:space="0" w:color="auto"/>
            <w:right w:val="none" w:sz="0" w:space="0" w:color="auto"/>
          </w:divBdr>
        </w:div>
        <w:div w:id="453793473">
          <w:marLeft w:val="0"/>
          <w:marRight w:val="0"/>
          <w:marTop w:val="0"/>
          <w:marBottom w:val="0"/>
          <w:divBdr>
            <w:top w:val="none" w:sz="0" w:space="0" w:color="auto"/>
            <w:left w:val="none" w:sz="0" w:space="0" w:color="auto"/>
            <w:bottom w:val="none" w:sz="0" w:space="0" w:color="auto"/>
            <w:right w:val="none" w:sz="0" w:space="0" w:color="auto"/>
          </w:divBdr>
        </w:div>
        <w:div w:id="1219629018">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sChild>
    </w:div>
    <w:div w:id="1949655199">
      <w:bodyDiv w:val="1"/>
      <w:marLeft w:val="0"/>
      <w:marRight w:val="0"/>
      <w:marTop w:val="0"/>
      <w:marBottom w:val="0"/>
      <w:divBdr>
        <w:top w:val="none" w:sz="0" w:space="0" w:color="auto"/>
        <w:left w:val="none" w:sz="0" w:space="0" w:color="auto"/>
        <w:bottom w:val="none" w:sz="0" w:space="0" w:color="auto"/>
        <w:right w:val="none" w:sz="0" w:space="0" w:color="auto"/>
      </w:divBdr>
    </w:div>
    <w:div w:id="20586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F372-966A-4DD3-9E35-6D56819A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6334</Characters>
  <Application>Microsoft Office Word</Application>
  <DocSecurity>0</DocSecurity>
  <Lines>150</Lines>
  <Paragraphs>32</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Edgard Jorge Espinoza Ramírez</cp:lastModifiedBy>
  <cp:revision>2</cp:revision>
  <cp:lastPrinted>2017-03-29T20:43:00Z</cp:lastPrinted>
  <dcterms:created xsi:type="dcterms:W3CDTF">2017-03-30T15:41:00Z</dcterms:created>
  <dcterms:modified xsi:type="dcterms:W3CDTF">2017-03-30T15:41:00Z</dcterms:modified>
</cp:coreProperties>
</file>