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A5E5" w14:textId="77777777" w:rsidR="00FC3D59" w:rsidRDefault="00FC3D59" w:rsidP="00BF0D0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</w:p>
    <w:p w14:paraId="585F15F5" w14:textId="30F79BDC" w:rsidR="001071EE" w:rsidRDefault="001071EE" w:rsidP="00BF0D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0158C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701248" behindDoc="0" locked="0" layoutInCell="1" allowOverlap="1" wp14:anchorId="262321F6" wp14:editId="2CDAA872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2103120" cy="504190"/>
            <wp:effectExtent l="0" t="0" r="0" b="0"/>
            <wp:wrapSquare wrapText="bothSides"/>
            <wp:docPr id="5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C8B39" w14:textId="77777777" w:rsidR="001071EE" w:rsidRDefault="001071EE" w:rsidP="00BF0D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5DEAC09" w14:textId="77777777" w:rsidR="001071EE" w:rsidRDefault="001071EE" w:rsidP="00BF0D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F68D92D" w14:textId="77777777" w:rsidR="001071EE" w:rsidRDefault="001071EE" w:rsidP="00BF0D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C16E37F" w14:textId="77777777" w:rsidR="001071EE" w:rsidRDefault="001071EE" w:rsidP="00BF0D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BA2E782" w14:textId="7BCCF01D" w:rsidR="001071EE" w:rsidRPr="00F0158C" w:rsidRDefault="001071EE" w:rsidP="001071EE">
      <w:pPr>
        <w:tabs>
          <w:tab w:val="left" w:pos="3402"/>
        </w:tabs>
        <w:spacing w:after="0"/>
        <w:ind w:right="5436"/>
        <w:rPr>
          <w:rFonts w:ascii="Arial" w:eastAsia="Calibri" w:hAnsi="Arial" w:cs="Arial"/>
          <w:sz w:val="20"/>
          <w:szCs w:val="20"/>
        </w:rPr>
      </w:pPr>
      <w:r w:rsidRPr="00F0158C">
        <w:rPr>
          <w:rFonts w:ascii="Arial" w:eastAsia="Calibri" w:hAnsi="Arial" w:cs="Arial"/>
          <w:sz w:val="20"/>
          <w:szCs w:val="20"/>
        </w:rPr>
        <w:t>PERIODO</w:t>
      </w:r>
      <w:r>
        <w:rPr>
          <w:rFonts w:ascii="Arial" w:eastAsia="Calibri" w:hAnsi="Arial" w:cs="Arial"/>
          <w:sz w:val="20"/>
          <w:szCs w:val="20"/>
        </w:rPr>
        <w:t xml:space="preserve"> 124</w:t>
      </w:r>
      <w:r w:rsidRPr="00F0158C">
        <w:rPr>
          <w:rFonts w:ascii="Arial" w:eastAsia="Calibri" w:hAnsi="Arial" w:cs="Arial"/>
          <w:sz w:val="20"/>
          <w:szCs w:val="20"/>
        </w:rPr>
        <w:t xml:space="preserve"> DE SESIONES </w:t>
      </w:r>
      <w:r>
        <w:rPr>
          <w:rFonts w:ascii="Arial" w:eastAsia="Calibri" w:hAnsi="Arial" w:cs="Arial"/>
          <w:sz w:val="20"/>
          <w:szCs w:val="20"/>
        </w:rPr>
        <w:t>ORDINARIA</w:t>
      </w:r>
      <w:r w:rsidRPr="00F0158C">
        <w:rPr>
          <w:rFonts w:ascii="Arial" w:eastAsia="Calibri" w:hAnsi="Arial" w:cs="Arial"/>
          <w:sz w:val="20"/>
          <w:szCs w:val="20"/>
        </w:rPr>
        <w:t xml:space="preserve"> DE LA COMISIÓN DE LA COMUNIDAD ANDINA</w:t>
      </w:r>
    </w:p>
    <w:p w14:paraId="13983B20" w14:textId="77777777" w:rsidR="001071EE" w:rsidRPr="00F0158C" w:rsidRDefault="001071EE" w:rsidP="001071EE">
      <w:pPr>
        <w:tabs>
          <w:tab w:val="left" w:pos="3402"/>
        </w:tabs>
        <w:spacing w:after="0"/>
        <w:ind w:right="5436"/>
        <w:rPr>
          <w:rFonts w:ascii="Arial" w:eastAsia="Calibri" w:hAnsi="Arial" w:cs="Arial"/>
          <w:sz w:val="20"/>
          <w:szCs w:val="20"/>
        </w:rPr>
      </w:pPr>
      <w:r w:rsidRPr="00C362A2">
        <w:rPr>
          <w:rFonts w:ascii="Arial" w:eastAsia="Calibri" w:hAnsi="Arial" w:cs="Arial"/>
          <w:sz w:val="20"/>
          <w:szCs w:val="20"/>
        </w:rPr>
        <w:t>23 de junio de 2021</w:t>
      </w:r>
    </w:p>
    <w:p w14:paraId="5220E662" w14:textId="77777777" w:rsidR="001071EE" w:rsidRPr="00F0158C" w:rsidRDefault="001071EE" w:rsidP="001071EE">
      <w:pPr>
        <w:tabs>
          <w:tab w:val="left" w:pos="3402"/>
        </w:tabs>
        <w:ind w:right="5436"/>
        <w:rPr>
          <w:rFonts w:ascii="Arial" w:eastAsia="Calibri" w:hAnsi="Arial" w:cs="Arial"/>
          <w:sz w:val="20"/>
          <w:szCs w:val="20"/>
        </w:rPr>
      </w:pPr>
      <w:r w:rsidRPr="00F0158C">
        <w:rPr>
          <w:rFonts w:ascii="Arial" w:eastAsia="Calibri" w:hAnsi="Arial" w:cs="Arial"/>
          <w:sz w:val="20"/>
          <w:szCs w:val="20"/>
        </w:rPr>
        <w:t>Modalidad videoconferencia</w:t>
      </w:r>
    </w:p>
    <w:p w14:paraId="6B045BAF" w14:textId="77777777" w:rsidR="00EB0922" w:rsidRDefault="00EB0922" w:rsidP="00EB09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699D01" w14:textId="6520A92A" w:rsidR="00EB0922" w:rsidRDefault="00E44F4B" w:rsidP="00EB09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Decisión</w:t>
      </w:r>
      <w:r w:rsidR="00833763">
        <w:rPr>
          <w:rFonts w:ascii="Arial" w:hAnsi="Arial" w:cs="Arial"/>
          <w:b/>
          <w:bCs/>
          <w:sz w:val="24"/>
          <w:szCs w:val="24"/>
        </w:rPr>
        <w:t xml:space="preserve"> 881</w:t>
      </w:r>
      <w:bookmarkStart w:id="0" w:name="_GoBack"/>
      <w:bookmarkEnd w:id="0"/>
    </w:p>
    <w:p w14:paraId="7D8C0E1B" w14:textId="01060B50" w:rsidR="00EB0922" w:rsidRDefault="00EB0922" w:rsidP="00FC3D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</w:rPr>
      </w:pPr>
    </w:p>
    <w:p w14:paraId="5FECA5F2" w14:textId="77777777" w:rsidR="00EB0922" w:rsidRDefault="00EB0922" w:rsidP="00FC3D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</w:rPr>
      </w:pPr>
    </w:p>
    <w:p w14:paraId="777D9F9D" w14:textId="3DB901EF" w:rsidR="00FC3D59" w:rsidRDefault="00E44F4B" w:rsidP="001071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42E0B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 xml:space="preserve">Reglamento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d</w:t>
      </w:r>
      <w:r w:rsidRPr="00242E0B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el Fondo</w:t>
      </w:r>
      <w:r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 xml:space="preserve"> </w:t>
      </w:r>
      <w:r w:rsidRPr="00242E0B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 xml:space="preserve">Financiero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d</w:t>
      </w:r>
      <w:r w:rsidRPr="00242E0B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e Reserva</w:t>
      </w:r>
      <w:r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 xml:space="preserve"> de la</w:t>
      </w:r>
      <w:r w:rsidRPr="00242E0B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 xml:space="preserve"> Secretaría General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d</w:t>
      </w:r>
      <w:r w:rsidRPr="00242E0B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 xml:space="preserve">e </w:t>
      </w:r>
      <w:r w:rsidR="00EC289B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l</w:t>
      </w:r>
      <w:r w:rsidR="00EC289B" w:rsidRPr="00242E0B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 xml:space="preserve">a </w:t>
      </w:r>
      <w:r w:rsidRPr="00242E0B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Comunidad Andina</w:t>
      </w:r>
      <w:r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.</w:t>
      </w:r>
    </w:p>
    <w:p w14:paraId="7C185F95" w14:textId="77777777" w:rsidR="00FC3D59" w:rsidRDefault="00FC3D59" w:rsidP="00FC3D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B61EDC" w14:textId="4AFC92A8" w:rsidR="00FC3D59" w:rsidRDefault="00E44F4B" w:rsidP="00E44F4B">
      <w:pPr>
        <w:rPr>
          <w:rFonts w:ascii="Arial" w:hAnsi="Arial" w:cs="Arial"/>
          <w:color w:val="000000"/>
          <w:sz w:val="24"/>
          <w:szCs w:val="24"/>
        </w:rPr>
      </w:pPr>
      <w:r w:rsidRPr="00BF0D0D">
        <w:rPr>
          <w:rFonts w:ascii="Arial" w:hAnsi="Arial" w:cs="Arial"/>
          <w:b/>
          <w:bCs/>
          <w:color w:val="000000"/>
          <w:sz w:val="24"/>
          <w:szCs w:val="24"/>
        </w:rPr>
        <w:t>LA COMISIÓN DE LA COMUNIDAD ANDINA</w:t>
      </w:r>
      <w:r w:rsidRPr="008F0886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1E2D3C5C" w14:textId="1A906318" w:rsidR="00B705F0" w:rsidRDefault="00BF0D0D" w:rsidP="00BF0D0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F0D0D">
        <w:rPr>
          <w:rFonts w:ascii="Arial" w:hAnsi="Arial" w:cs="Arial"/>
          <w:b/>
          <w:bCs/>
          <w:color w:val="000000"/>
          <w:sz w:val="24"/>
          <w:szCs w:val="24"/>
        </w:rPr>
        <w:t>VIST</w:t>
      </w:r>
      <w:r>
        <w:rPr>
          <w:rFonts w:ascii="Arial" w:hAnsi="Arial" w:cs="Arial"/>
          <w:b/>
          <w:bCs/>
          <w:color w:val="000000"/>
          <w:sz w:val="24"/>
          <w:szCs w:val="24"/>
        </w:rPr>
        <w:t>OS</w:t>
      </w:r>
      <w:r w:rsidRPr="00E9289D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 w:rsidRPr="00AF6975">
        <w:rPr>
          <w:rFonts w:ascii="Arial" w:hAnsi="Arial" w:cs="Arial"/>
          <w:sz w:val="24"/>
          <w:szCs w:val="24"/>
        </w:rPr>
        <w:t xml:space="preserve"> artículo</w:t>
      </w:r>
      <w:r>
        <w:rPr>
          <w:rFonts w:ascii="Arial" w:hAnsi="Arial" w:cs="Arial"/>
          <w:sz w:val="24"/>
          <w:szCs w:val="24"/>
        </w:rPr>
        <w:t>s</w:t>
      </w:r>
      <w:r w:rsidRPr="00AF6975">
        <w:rPr>
          <w:rFonts w:ascii="Arial" w:hAnsi="Arial" w:cs="Arial"/>
          <w:sz w:val="24"/>
          <w:szCs w:val="24"/>
        </w:rPr>
        <w:t xml:space="preserve"> 27</w:t>
      </w:r>
      <w:r>
        <w:rPr>
          <w:rFonts w:ascii="Arial" w:hAnsi="Arial" w:cs="Arial"/>
          <w:sz w:val="24"/>
          <w:szCs w:val="24"/>
        </w:rPr>
        <w:t xml:space="preserve"> y 28</w:t>
      </w:r>
      <w:r w:rsidRPr="00AF6975">
        <w:rPr>
          <w:rFonts w:ascii="Arial" w:hAnsi="Arial" w:cs="Arial"/>
          <w:sz w:val="24"/>
          <w:szCs w:val="24"/>
        </w:rPr>
        <w:t xml:space="preserve"> del Acuerdo de Cartagena, el artículo 11 literal </w:t>
      </w:r>
      <w:r>
        <w:rPr>
          <w:rFonts w:ascii="Arial" w:hAnsi="Arial" w:cs="Arial"/>
          <w:sz w:val="24"/>
          <w:szCs w:val="24"/>
        </w:rPr>
        <w:t>f</w:t>
      </w:r>
      <w:r w:rsidRPr="00AF6975">
        <w:rPr>
          <w:rFonts w:ascii="Arial" w:hAnsi="Arial" w:cs="Arial"/>
          <w:sz w:val="24"/>
          <w:szCs w:val="24"/>
        </w:rPr>
        <w:t xml:space="preserve">) y el Capítulo IV de la Decisión 409 que contiene el Reglamento de la Secretaría General, el literal </w:t>
      </w:r>
      <w:r>
        <w:rPr>
          <w:rFonts w:ascii="Arial" w:hAnsi="Arial" w:cs="Arial"/>
          <w:sz w:val="24"/>
          <w:szCs w:val="24"/>
        </w:rPr>
        <w:t>f</w:t>
      </w:r>
      <w:r w:rsidRPr="00AF6975">
        <w:rPr>
          <w:rFonts w:ascii="Arial" w:hAnsi="Arial" w:cs="Arial"/>
          <w:sz w:val="24"/>
          <w:szCs w:val="24"/>
        </w:rPr>
        <w:t>) del Artículo 11 del Reglamento de la Comisión la Decisión 471, la Resolución 1733 de la Secretaría General,</w:t>
      </w:r>
      <w:r>
        <w:rPr>
          <w:rFonts w:ascii="Arial" w:hAnsi="Arial" w:cs="Arial"/>
          <w:sz w:val="24"/>
          <w:szCs w:val="24"/>
        </w:rPr>
        <w:t xml:space="preserve"> el artículo 8 de la </w:t>
      </w:r>
      <w:r w:rsidR="00E44F4B">
        <w:rPr>
          <w:rFonts w:ascii="Arial" w:hAnsi="Arial" w:cs="Arial"/>
          <w:color w:val="000000"/>
          <w:sz w:val="24"/>
          <w:szCs w:val="24"/>
        </w:rPr>
        <w:t xml:space="preserve">Decisión </w:t>
      </w:r>
      <w:r w:rsidR="00E44F4B" w:rsidRPr="00EE679C">
        <w:rPr>
          <w:rFonts w:ascii="Arial" w:hAnsi="Arial" w:cs="Arial"/>
          <w:color w:val="000000"/>
          <w:sz w:val="24"/>
          <w:szCs w:val="24"/>
        </w:rPr>
        <w:t>874</w:t>
      </w:r>
      <w:r w:rsidR="00E44F4B">
        <w:rPr>
          <w:rFonts w:ascii="Arial" w:hAnsi="Arial" w:cs="Arial"/>
          <w:color w:val="000000"/>
          <w:sz w:val="24"/>
          <w:szCs w:val="24"/>
        </w:rPr>
        <w:t xml:space="preserve"> de la Comisión de la Comunidad Andina; y</w:t>
      </w:r>
    </w:p>
    <w:p w14:paraId="5916133E" w14:textId="2C1F1497" w:rsidR="000C137E" w:rsidRPr="00EE679C" w:rsidRDefault="00DB0A66" w:rsidP="00BF0D0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F0D0D">
        <w:rPr>
          <w:rFonts w:ascii="Arial" w:hAnsi="Arial" w:cs="Arial"/>
          <w:b/>
          <w:bCs/>
          <w:color w:val="000000"/>
          <w:sz w:val="24"/>
          <w:szCs w:val="24"/>
        </w:rPr>
        <w:t>CONSIDERANDO</w:t>
      </w:r>
      <w:r w:rsidRPr="00E9289D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Que, e</w:t>
      </w:r>
      <w:r w:rsidR="00EE4582" w:rsidRPr="00EE679C">
        <w:rPr>
          <w:rFonts w:ascii="Arial" w:hAnsi="Arial" w:cs="Arial"/>
          <w:color w:val="000000"/>
          <w:sz w:val="24"/>
          <w:szCs w:val="24"/>
        </w:rPr>
        <w:t>n el Periodo 153 de Sesiones Extraordinarias de la Comisión de la Comunidad Andina</w:t>
      </w:r>
      <w:r w:rsidR="00BF0D0D">
        <w:rPr>
          <w:rFonts w:ascii="Arial" w:hAnsi="Arial" w:cs="Arial"/>
          <w:color w:val="000000"/>
          <w:sz w:val="24"/>
          <w:szCs w:val="24"/>
        </w:rPr>
        <w:t xml:space="preserve"> </w:t>
      </w:r>
      <w:r w:rsidR="00AD0254" w:rsidRPr="00EE679C">
        <w:rPr>
          <w:rFonts w:ascii="Arial" w:hAnsi="Arial" w:cs="Arial"/>
          <w:color w:val="000000"/>
          <w:sz w:val="24"/>
          <w:szCs w:val="24"/>
        </w:rPr>
        <w:t xml:space="preserve">se </w:t>
      </w:r>
      <w:r w:rsidR="00021C5E" w:rsidRPr="00EE679C">
        <w:rPr>
          <w:rFonts w:ascii="Arial" w:hAnsi="Arial" w:cs="Arial"/>
          <w:color w:val="000000"/>
          <w:sz w:val="24"/>
          <w:szCs w:val="24"/>
        </w:rPr>
        <w:t xml:space="preserve">aprobó </w:t>
      </w:r>
      <w:r w:rsidR="00AD0254" w:rsidRPr="00EE679C">
        <w:rPr>
          <w:rFonts w:ascii="Arial" w:hAnsi="Arial" w:cs="Arial"/>
          <w:color w:val="000000"/>
          <w:sz w:val="24"/>
          <w:szCs w:val="24"/>
        </w:rPr>
        <w:t xml:space="preserve">mediante Decisión 874 </w:t>
      </w:r>
      <w:r w:rsidR="00021C5E" w:rsidRPr="00EE679C">
        <w:rPr>
          <w:rFonts w:ascii="Arial" w:hAnsi="Arial" w:cs="Arial"/>
          <w:color w:val="000000"/>
          <w:sz w:val="24"/>
          <w:szCs w:val="24"/>
        </w:rPr>
        <w:t xml:space="preserve">el presupuesto de la Secretaría General </w:t>
      </w:r>
      <w:r w:rsidR="00062AD2" w:rsidRPr="00EE679C">
        <w:rPr>
          <w:rFonts w:ascii="Arial" w:hAnsi="Arial" w:cs="Arial"/>
          <w:color w:val="000000"/>
          <w:sz w:val="24"/>
          <w:szCs w:val="24"/>
        </w:rPr>
        <w:t xml:space="preserve">de la Comunidad Andina </w:t>
      </w:r>
      <w:r>
        <w:rPr>
          <w:rFonts w:ascii="Arial" w:hAnsi="Arial" w:cs="Arial"/>
          <w:color w:val="000000"/>
          <w:sz w:val="24"/>
          <w:szCs w:val="24"/>
        </w:rPr>
        <w:t xml:space="preserve">(SGCAN) </w:t>
      </w:r>
      <w:r w:rsidR="00021C5E" w:rsidRPr="00EE679C">
        <w:rPr>
          <w:rFonts w:ascii="Arial" w:hAnsi="Arial" w:cs="Arial"/>
          <w:color w:val="000000"/>
          <w:sz w:val="24"/>
          <w:szCs w:val="24"/>
        </w:rPr>
        <w:t xml:space="preserve">para el </w:t>
      </w:r>
      <w:r w:rsidR="008E1092" w:rsidRPr="00EE679C">
        <w:rPr>
          <w:rFonts w:ascii="Arial" w:hAnsi="Arial" w:cs="Arial"/>
          <w:color w:val="000000"/>
          <w:sz w:val="24"/>
          <w:szCs w:val="24"/>
        </w:rPr>
        <w:t>ejercicio económico</w:t>
      </w:r>
      <w:r w:rsidR="00021C5E" w:rsidRPr="00EE679C">
        <w:rPr>
          <w:rFonts w:ascii="Arial" w:hAnsi="Arial" w:cs="Arial"/>
          <w:color w:val="000000"/>
          <w:sz w:val="24"/>
          <w:szCs w:val="24"/>
        </w:rPr>
        <w:t xml:space="preserve"> 20</w:t>
      </w:r>
      <w:r w:rsidR="001E7562">
        <w:rPr>
          <w:rFonts w:ascii="Arial" w:hAnsi="Arial" w:cs="Arial"/>
          <w:color w:val="000000"/>
          <w:sz w:val="24"/>
          <w:szCs w:val="24"/>
        </w:rPr>
        <w:t>21;</w:t>
      </w:r>
    </w:p>
    <w:p w14:paraId="407EA71F" w14:textId="33DA37A3" w:rsidR="003A5B4E" w:rsidRPr="00EE679C" w:rsidRDefault="00DB0A66" w:rsidP="00BF0D0D">
      <w:pPr>
        <w:ind w:firstLine="708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</w:rPr>
        <w:t>Que</w:t>
      </w:r>
      <w:r w:rsidR="00700199">
        <w:rPr>
          <w:rFonts w:ascii="Arial" w:hAnsi="Arial" w:cs="Arial"/>
          <w:color w:val="000000"/>
          <w:sz w:val="24"/>
          <w:szCs w:val="24"/>
        </w:rPr>
        <w:t xml:space="preserve">, </w:t>
      </w:r>
      <w:r w:rsidR="000E08EF" w:rsidRPr="00EE679C">
        <w:rPr>
          <w:rFonts w:ascii="Arial" w:hAnsi="Arial" w:cs="Arial"/>
          <w:color w:val="000000"/>
          <w:sz w:val="24"/>
          <w:szCs w:val="24"/>
        </w:rPr>
        <w:t>e</w:t>
      </w:r>
      <w:r w:rsidR="000C137E" w:rsidRPr="00EE679C">
        <w:rPr>
          <w:rFonts w:ascii="Arial" w:hAnsi="Arial" w:cs="Arial"/>
          <w:color w:val="000000"/>
          <w:sz w:val="24"/>
          <w:szCs w:val="24"/>
        </w:rPr>
        <w:t>l</w:t>
      </w:r>
      <w:r w:rsidR="002D0EAC" w:rsidRPr="00EE679C">
        <w:rPr>
          <w:rFonts w:ascii="Arial" w:hAnsi="Arial" w:cs="Arial"/>
          <w:color w:val="000000"/>
          <w:sz w:val="24"/>
          <w:szCs w:val="24"/>
        </w:rPr>
        <w:t xml:space="preserve"> </w:t>
      </w:r>
      <w:r w:rsidR="008E1092" w:rsidRPr="00EE679C">
        <w:rPr>
          <w:rFonts w:ascii="Arial" w:eastAsia="Arial" w:hAnsi="Arial" w:cs="Arial"/>
          <w:bCs/>
          <w:color w:val="0E1115"/>
          <w:sz w:val="24"/>
          <w:szCs w:val="24"/>
          <w:lang w:val="es-ES"/>
        </w:rPr>
        <w:t>a</w:t>
      </w:r>
      <w:r w:rsidR="003A5B4E" w:rsidRPr="00EE679C">
        <w:rPr>
          <w:rFonts w:ascii="Arial" w:eastAsia="Arial" w:hAnsi="Arial" w:cs="Arial"/>
          <w:bCs/>
          <w:color w:val="0E1115"/>
          <w:sz w:val="24"/>
          <w:szCs w:val="24"/>
          <w:lang w:val="es-ES"/>
        </w:rPr>
        <w:t>rtículo 8</w:t>
      </w:r>
      <w:r w:rsidR="00DE7758" w:rsidRPr="00EE679C">
        <w:rPr>
          <w:rFonts w:ascii="Arial" w:eastAsia="Arial" w:hAnsi="Arial" w:cs="Arial"/>
          <w:bCs/>
          <w:color w:val="0E1115"/>
          <w:sz w:val="24"/>
          <w:szCs w:val="24"/>
          <w:lang w:val="es-ES"/>
        </w:rPr>
        <w:t xml:space="preserve"> </w:t>
      </w:r>
      <w:r w:rsidR="000C137E" w:rsidRPr="00EE679C">
        <w:rPr>
          <w:rFonts w:ascii="Arial" w:eastAsia="Arial" w:hAnsi="Arial" w:cs="Arial"/>
          <w:bCs/>
          <w:color w:val="0E1115"/>
          <w:sz w:val="24"/>
          <w:szCs w:val="24"/>
          <w:lang w:val="es-ES"/>
        </w:rPr>
        <w:t xml:space="preserve">de la referida Decisión, </w:t>
      </w:r>
      <w:r w:rsidR="001E7562">
        <w:rPr>
          <w:rFonts w:ascii="Arial" w:eastAsia="Arial" w:hAnsi="Arial" w:cs="Arial"/>
          <w:bCs/>
          <w:color w:val="0E1115"/>
          <w:sz w:val="24"/>
          <w:szCs w:val="24"/>
          <w:lang w:val="es-ES"/>
        </w:rPr>
        <w:t xml:space="preserve">instruyó a </w:t>
      </w:r>
      <w:r w:rsidR="008E1092" w:rsidRPr="00EE679C">
        <w:rPr>
          <w:rFonts w:ascii="Arial" w:eastAsia="Arial" w:hAnsi="Arial" w:cs="Arial"/>
          <w:bCs/>
          <w:color w:val="0E1115"/>
          <w:sz w:val="24"/>
          <w:szCs w:val="24"/>
          <w:lang w:val="es-ES"/>
        </w:rPr>
        <w:t>la</w:t>
      </w:r>
      <w:r w:rsidR="003A5B4E" w:rsidRPr="00EE679C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</w:t>
      </w:r>
      <w:r w:rsidR="000B440B" w:rsidRPr="00EE679C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SGCAN</w:t>
      </w:r>
      <w:r w:rsidR="0077634F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</w:t>
      </w:r>
      <w:r w:rsidR="00F71048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a </w:t>
      </w:r>
      <w:r w:rsidR="00F71048" w:rsidRPr="00EE679C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crear</w:t>
      </w:r>
      <w:r w:rsidR="003A5B4E" w:rsidRPr="00EE679C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un Fondo Financiero de Reserva</w:t>
      </w:r>
      <w:r w:rsidR="00FC1488" w:rsidRPr="00EE679C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</w:t>
      </w:r>
      <w:r w:rsidR="003A5B4E" w:rsidRPr="00EE679C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que se constituirá con los saldos no ejecutados de años anteriores al 2018 y recursos disponibles a la fecha</w:t>
      </w:r>
      <w:r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, de modo que el</w:t>
      </w:r>
      <w:r w:rsidR="00FC1488" w:rsidRPr="00EE679C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fondo </w:t>
      </w:r>
      <w:r w:rsidR="003A5B4E" w:rsidRPr="00EE679C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se destinará </w:t>
      </w:r>
      <w:r w:rsidR="00EE679C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exclusivamente </w:t>
      </w:r>
      <w:r w:rsidR="003A5B4E" w:rsidRPr="00EE679C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a atender la liquidez de la SGCAN</w:t>
      </w:r>
      <w:r w:rsidR="00FC3D59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;</w:t>
      </w:r>
    </w:p>
    <w:p w14:paraId="483A0260" w14:textId="6F77C21F" w:rsidR="00D631D8" w:rsidRDefault="00BF0D0D" w:rsidP="00BF0D0D">
      <w:pPr>
        <w:ind w:firstLine="708"/>
        <w:jc w:val="both"/>
        <w:rPr>
          <w:rFonts w:ascii="Arial" w:hAnsi="Arial" w:cs="Arial"/>
          <w:b/>
          <w:bCs/>
          <w:lang w:val="es-ES_tradnl"/>
        </w:rPr>
      </w:pPr>
      <w:r w:rsidRPr="00BF0D0D">
        <w:rPr>
          <w:rFonts w:ascii="Arial" w:eastAsia="Arial" w:hAnsi="Arial" w:cs="Arial"/>
          <w:bCs/>
          <w:color w:val="0E1115"/>
          <w:lang w:val="es-ES_tradnl"/>
        </w:rPr>
        <w:t xml:space="preserve"> </w:t>
      </w:r>
      <w:r w:rsidRPr="00E9289D">
        <w:rPr>
          <w:rFonts w:ascii="Arial" w:eastAsia="Arial" w:hAnsi="Arial" w:cs="Arial"/>
          <w:bCs/>
          <w:color w:val="0E1115"/>
          <w:lang w:val="es-ES_tradnl"/>
        </w:rPr>
        <w:t>Que,</w:t>
      </w:r>
      <w:r>
        <w:rPr>
          <w:rFonts w:ascii="Arial" w:eastAsia="Arial" w:hAnsi="Arial" w:cs="Arial"/>
          <w:bCs/>
          <w:color w:val="0E1115"/>
          <w:lang w:val="es-ES_tradnl"/>
        </w:rPr>
        <w:t xml:space="preserve"> con el objeto de </w:t>
      </w:r>
      <w:r w:rsidR="00D00BB3">
        <w:rPr>
          <w:rFonts w:ascii="Arial" w:hAnsi="Arial" w:cs="Arial"/>
          <w:color w:val="000000"/>
        </w:rPr>
        <w:t>garantizar</w:t>
      </w:r>
      <w:r w:rsidRPr="00EE679C">
        <w:rPr>
          <w:rFonts w:ascii="Arial" w:hAnsi="Arial" w:cs="Arial"/>
          <w:color w:val="000000"/>
        </w:rPr>
        <w:t xml:space="preserve"> la liquidez para el correcto funcionamiento de la SGCAN</w:t>
      </w:r>
      <w:r>
        <w:rPr>
          <w:rFonts w:ascii="Arial" w:hAnsi="Arial" w:cs="Arial"/>
          <w:color w:val="000000"/>
        </w:rPr>
        <w:t>, dicho órgano comunitario presentó un Proyecto de Decisión que</w:t>
      </w:r>
      <w:r>
        <w:rPr>
          <w:rFonts w:ascii="Arial" w:eastAsia="Arial" w:hAnsi="Arial" w:cs="Arial"/>
          <w:bCs/>
          <w:color w:val="0E1115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cuenta con opinión favorable del Grupo Presupuesto, quien recomendó su adopción mediante Decisión de la Comisión de la Comunidad Andina;</w:t>
      </w:r>
    </w:p>
    <w:p w14:paraId="18580990" w14:textId="5B14BD5D" w:rsidR="007841AD" w:rsidRDefault="007841AD" w:rsidP="007841AD">
      <w:pPr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 w:rsidRPr="00E9289D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DECIDE:</w:t>
      </w:r>
    </w:p>
    <w:p w14:paraId="26F2B456" w14:textId="6B0C4C85" w:rsidR="00905746" w:rsidRDefault="00700199" w:rsidP="008B1B82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Artículo 1.-</w:t>
      </w:r>
      <w:r w:rsidRPr="00905746">
        <w:rPr>
          <w:rFonts w:ascii="Arial" w:eastAsia="Arial" w:hAnsi="Arial" w:cs="Arial"/>
          <w:color w:val="0E1115"/>
          <w:sz w:val="24"/>
          <w:szCs w:val="24"/>
          <w:lang w:val="es-ES_tradnl"/>
        </w:rPr>
        <w:t xml:space="preserve"> </w:t>
      </w:r>
      <w:r w:rsidR="00905746" w:rsidRPr="00905746">
        <w:rPr>
          <w:rFonts w:ascii="Arial" w:eastAsia="Arial" w:hAnsi="Arial" w:cs="Arial"/>
          <w:color w:val="0E1115"/>
          <w:sz w:val="24"/>
          <w:szCs w:val="24"/>
          <w:lang w:val="es-ES_tradnl"/>
        </w:rPr>
        <w:t xml:space="preserve">Constituir </w:t>
      </w:r>
      <w:r w:rsidR="00905746">
        <w:rPr>
          <w:rFonts w:ascii="Arial" w:eastAsia="Arial" w:hAnsi="Arial" w:cs="Arial"/>
          <w:color w:val="0E1115"/>
          <w:sz w:val="24"/>
          <w:szCs w:val="24"/>
          <w:lang w:val="es-ES_tradnl"/>
        </w:rPr>
        <w:t xml:space="preserve">un </w:t>
      </w:r>
      <w:r w:rsidR="00905746" w:rsidRPr="00EE679C">
        <w:rPr>
          <w:rFonts w:ascii="Arial" w:hAnsi="Arial" w:cs="Arial"/>
          <w:color w:val="000000"/>
          <w:sz w:val="24"/>
          <w:szCs w:val="24"/>
        </w:rPr>
        <w:t>Fondo Financiero de Reserva</w:t>
      </w:r>
      <w:r w:rsidR="008B1B82">
        <w:rPr>
          <w:rFonts w:ascii="Arial" w:hAnsi="Arial" w:cs="Arial"/>
          <w:color w:val="000000"/>
          <w:sz w:val="24"/>
          <w:szCs w:val="24"/>
        </w:rPr>
        <w:t xml:space="preserve"> que tiene por o</w:t>
      </w:r>
      <w:r w:rsidR="008B1B82" w:rsidRPr="00EE679C">
        <w:rPr>
          <w:rFonts w:ascii="Arial" w:hAnsi="Arial" w:cs="Arial"/>
          <w:color w:val="000000"/>
          <w:sz w:val="24"/>
          <w:szCs w:val="24"/>
        </w:rPr>
        <w:t>bjetivo</w:t>
      </w:r>
      <w:r w:rsidR="008B1B82">
        <w:rPr>
          <w:rFonts w:ascii="Arial" w:hAnsi="Arial" w:cs="Arial"/>
          <w:color w:val="000000"/>
          <w:sz w:val="24"/>
          <w:szCs w:val="24"/>
        </w:rPr>
        <w:t xml:space="preserve"> garantizar</w:t>
      </w:r>
      <w:r w:rsidR="008B1B82" w:rsidRPr="00EE679C">
        <w:rPr>
          <w:rFonts w:ascii="Arial" w:hAnsi="Arial" w:cs="Arial"/>
          <w:color w:val="000000"/>
          <w:sz w:val="24"/>
          <w:szCs w:val="24"/>
        </w:rPr>
        <w:t xml:space="preserve"> la liquidez </w:t>
      </w:r>
      <w:r w:rsidR="008B1B82">
        <w:rPr>
          <w:rFonts w:ascii="Arial" w:hAnsi="Arial" w:cs="Arial"/>
          <w:color w:val="000000"/>
          <w:sz w:val="24"/>
          <w:szCs w:val="24"/>
        </w:rPr>
        <w:t>y</w:t>
      </w:r>
      <w:r w:rsidR="008B1B82" w:rsidRPr="00EE679C">
        <w:rPr>
          <w:rFonts w:ascii="Arial" w:hAnsi="Arial" w:cs="Arial"/>
          <w:color w:val="000000"/>
          <w:sz w:val="24"/>
          <w:szCs w:val="24"/>
        </w:rPr>
        <w:t xml:space="preserve"> el correcto funcionamiento de la SGCAN</w:t>
      </w:r>
      <w:r w:rsidR="008B1B82">
        <w:rPr>
          <w:rFonts w:ascii="Arial" w:hAnsi="Arial" w:cs="Arial"/>
          <w:color w:val="000000"/>
          <w:sz w:val="24"/>
          <w:szCs w:val="24"/>
        </w:rPr>
        <w:t>;</w:t>
      </w:r>
    </w:p>
    <w:p w14:paraId="51E06D25" w14:textId="29C814C3" w:rsidR="008B1B82" w:rsidRDefault="008B1B82" w:rsidP="008B1B82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D13B07" w14:textId="0A44B32D" w:rsidR="008B1B82" w:rsidRPr="00C26A86" w:rsidRDefault="008B1B82" w:rsidP="008B1B82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B1B82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2.- </w:t>
      </w:r>
      <w:r w:rsidR="00C26A86">
        <w:rPr>
          <w:rFonts w:ascii="Arial" w:hAnsi="Arial" w:cs="Arial"/>
          <w:color w:val="000000"/>
          <w:sz w:val="24"/>
          <w:szCs w:val="24"/>
        </w:rPr>
        <w:t>El Fondo Financiero de Reserva que se constituye se</w:t>
      </w:r>
      <w:r w:rsidR="00967A3F">
        <w:rPr>
          <w:rFonts w:ascii="Arial" w:hAnsi="Arial" w:cs="Arial"/>
          <w:color w:val="000000"/>
          <w:sz w:val="24"/>
          <w:szCs w:val="24"/>
        </w:rPr>
        <w:t xml:space="preserve"> regulará por el siguiente Reglamento:</w:t>
      </w:r>
    </w:p>
    <w:p w14:paraId="78979A6D" w14:textId="77777777" w:rsidR="008B1B82" w:rsidRPr="00EE679C" w:rsidRDefault="008B1B82" w:rsidP="008B1B82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128234" w14:textId="089A6E43" w:rsidR="00B705F0" w:rsidRDefault="00B705F0" w:rsidP="00B705F0">
      <w:pPr>
        <w:tabs>
          <w:tab w:val="left" w:pos="426"/>
        </w:tabs>
        <w:spacing w:line="264" w:lineRule="exact"/>
        <w:jc w:val="both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388AD136" w14:textId="271121B7" w:rsidR="00E45995" w:rsidRDefault="00BF0D0D" w:rsidP="00B705F0">
      <w:pPr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 w:rsidRPr="00392B4E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lastRenderedPageBreak/>
        <w:t xml:space="preserve">REGLAMENTO </w:t>
      </w:r>
      <w:r w:rsidRPr="00B705F0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DEL</w:t>
      </w:r>
      <w:r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 xml:space="preserve"> </w:t>
      </w:r>
      <w:r w:rsidRPr="00B705F0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 xml:space="preserve">FONDO FINANCIERO DE RESERVA DE LA </w:t>
      </w:r>
      <w:r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 xml:space="preserve">SECRETARÍA GENERAL DE LA </w:t>
      </w:r>
      <w:r w:rsidRPr="00B705F0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COMUNIDAD ANDINA</w:t>
      </w:r>
    </w:p>
    <w:p w14:paraId="05C4F12F" w14:textId="1B12B969" w:rsidR="00BF0D0D" w:rsidRDefault="00BF0D0D" w:rsidP="00FC3D59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CAPÍTULO I</w:t>
      </w:r>
    </w:p>
    <w:p w14:paraId="385FA1B3" w14:textId="77777777" w:rsidR="008B4A24" w:rsidRDefault="008B4A24" w:rsidP="00FC3D59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8E6EEC" w14:textId="2A6D0CF4" w:rsidR="007C7515" w:rsidRDefault="007C7515" w:rsidP="00BF0D0D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679C">
        <w:rPr>
          <w:rFonts w:ascii="Arial" w:hAnsi="Arial" w:cs="Arial"/>
          <w:b/>
          <w:bCs/>
          <w:sz w:val="24"/>
          <w:szCs w:val="24"/>
        </w:rPr>
        <w:t>OBJETIVOS, PROPÓSITOS Y CARACTERÍSTICAS DEL FONDO FINANCIERO DE RESERVA</w:t>
      </w:r>
    </w:p>
    <w:p w14:paraId="1CC3BC25" w14:textId="05766CA7" w:rsidR="007A785E" w:rsidRDefault="007A785E" w:rsidP="00942197">
      <w:pPr>
        <w:keepNext/>
        <w:spacing w:after="0" w:line="240" w:lineRule="auto"/>
        <w:jc w:val="center"/>
        <w:rPr>
          <w:rFonts w:ascii="Arial" w:eastAsia="Arial" w:hAnsi="Arial" w:cs="Arial"/>
          <w:b/>
          <w:bCs/>
          <w:color w:val="0E1115"/>
          <w:sz w:val="24"/>
          <w:szCs w:val="24"/>
          <w:lang w:val="es-ES_tradnl"/>
        </w:rPr>
      </w:pPr>
    </w:p>
    <w:p w14:paraId="2B330222" w14:textId="77777777" w:rsidR="00E45995" w:rsidRPr="00EE679C" w:rsidRDefault="00E45995" w:rsidP="00BF0D0D">
      <w:pPr>
        <w:keepNext/>
        <w:spacing w:after="0" w:line="240" w:lineRule="auto"/>
        <w:jc w:val="center"/>
        <w:rPr>
          <w:rFonts w:ascii="Arial" w:eastAsia="Arial" w:hAnsi="Arial" w:cs="Arial"/>
          <w:b/>
          <w:bCs/>
          <w:color w:val="0E1115"/>
          <w:sz w:val="24"/>
          <w:szCs w:val="24"/>
          <w:lang w:val="es-ES_tradnl"/>
        </w:rPr>
      </w:pPr>
    </w:p>
    <w:p w14:paraId="66C7004A" w14:textId="569BACB8" w:rsidR="00A25D3E" w:rsidRDefault="00BF0D0D" w:rsidP="00107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 w:rsidR="00F7104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.- </w:t>
      </w:r>
      <w:r w:rsidRPr="00EE679C">
        <w:rPr>
          <w:rFonts w:ascii="Arial" w:hAnsi="Arial" w:cs="Arial"/>
          <w:color w:val="000000"/>
          <w:sz w:val="24"/>
          <w:szCs w:val="24"/>
        </w:rPr>
        <w:t>E</w:t>
      </w:r>
      <w:r w:rsidR="00A94D16" w:rsidRPr="00EE679C">
        <w:rPr>
          <w:rFonts w:ascii="Arial" w:hAnsi="Arial" w:cs="Arial"/>
          <w:color w:val="000000"/>
          <w:sz w:val="24"/>
          <w:szCs w:val="24"/>
        </w:rPr>
        <w:t xml:space="preserve">l Fondo Financiero de Reserva </w:t>
      </w:r>
      <w:r w:rsidR="000B440B" w:rsidRPr="00EE679C">
        <w:rPr>
          <w:rFonts w:ascii="Arial" w:hAnsi="Arial" w:cs="Arial"/>
          <w:color w:val="000000"/>
          <w:sz w:val="24"/>
          <w:szCs w:val="24"/>
        </w:rPr>
        <w:t>(en adelante el “Fondo Financiero</w:t>
      </w:r>
      <w:r w:rsidR="00A63059">
        <w:rPr>
          <w:rFonts w:ascii="Arial" w:hAnsi="Arial" w:cs="Arial"/>
          <w:color w:val="000000"/>
          <w:sz w:val="24"/>
          <w:szCs w:val="24"/>
        </w:rPr>
        <w:t xml:space="preserve"> de Reserva</w:t>
      </w:r>
      <w:r w:rsidR="000B440B" w:rsidRPr="00EE679C">
        <w:rPr>
          <w:rFonts w:ascii="Arial" w:hAnsi="Arial" w:cs="Arial"/>
          <w:color w:val="000000"/>
          <w:sz w:val="24"/>
          <w:szCs w:val="24"/>
        </w:rPr>
        <w:t xml:space="preserve">”) </w:t>
      </w:r>
      <w:r w:rsidR="00A94D16" w:rsidRPr="00EE679C">
        <w:rPr>
          <w:rFonts w:ascii="Arial" w:hAnsi="Arial" w:cs="Arial"/>
          <w:color w:val="000000"/>
          <w:sz w:val="24"/>
          <w:szCs w:val="24"/>
        </w:rPr>
        <w:t xml:space="preserve">tiene por </w:t>
      </w:r>
      <w:r w:rsidR="00837453" w:rsidRPr="00EE679C">
        <w:rPr>
          <w:rFonts w:ascii="Arial" w:hAnsi="Arial" w:cs="Arial"/>
          <w:color w:val="000000"/>
          <w:sz w:val="24"/>
          <w:szCs w:val="24"/>
        </w:rPr>
        <w:t xml:space="preserve">objetivo </w:t>
      </w:r>
      <w:r w:rsidR="003518A4">
        <w:rPr>
          <w:rFonts w:ascii="Arial" w:hAnsi="Arial" w:cs="Arial"/>
          <w:color w:val="000000"/>
          <w:sz w:val="24"/>
          <w:szCs w:val="24"/>
        </w:rPr>
        <w:t>garantizar</w:t>
      </w:r>
      <w:r w:rsidR="00AA4846" w:rsidRPr="00EE679C">
        <w:rPr>
          <w:rFonts w:ascii="Arial" w:hAnsi="Arial" w:cs="Arial"/>
          <w:color w:val="000000"/>
          <w:sz w:val="24"/>
          <w:szCs w:val="24"/>
        </w:rPr>
        <w:t xml:space="preserve"> </w:t>
      </w:r>
      <w:r w:rsidR="00837453" w:rsidRPr="00EE679C">
        <w:rPr>
          <w:rFonts w:ascii="Arial" w:hAnsi="Arial" w:cs="Arial"/>
          <w:color w:val="000000"/>
          <w:sz w:val="24"/>
          <w:szCs w:val="24"/>
        </w:rPr>
        <w:t xml:space="preserve">la liquidez para el correcto funcionamiento de la </w:t>
      </w:r>
      <w:r w:rsidR="00AA4846" w:rsidRPr="00EE679C">
        <w:rPr>
          <w:rFonts w:ascii="Arial" w:hAnsi="Arial" w:cs="Arial"/>
          <w:color w:val="000000"/>
          <w:sz w:val="24"/>
          <w:szCs w:val="24"/>
        </w:rPr>
        <w:t>SGCAN</w:t>
      </w:r>
      <w:r w:rsidR="009F592E" w:rsidRPr="00EE679C">
        <w:rPr>
          <w:rFonts w:ascii="Arial" w:hAnsi="Arial" w:cs="Arial"/>
          <w:color w:val="000000"/>
          <w:sz w:val="24"/>
          <w:szCs w:val="24"/>
        </w:rPr>
        <w:t>.</w:t>
      </w:r>
    </w:p>
    <w:p w14:paraId="24E300B7" w14:textId="77777777" w:rsidR="00A63059" w:rsidRPr="00EE679C" w:rsidRDefault="00A63059" w:rsidP="00A6305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2E6D9219" w14:textId="16FB91DA" w:rsidR="00A25D3E" w:rsidRDefault="00A63059" w:rsidP="007A78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/>
          <w:snapToGrid w:val="0"/>
          <w:sz w:val="24"/>
          <w:u w:val="single"/>
          <w:lang w:val="es-ES_tradnl" w:eastAsia="es-ES"/>
        </w:rPr>
        <w:t>Sección A</w:t>
      </w:r>
      <w:r w:rsidRPr="00B705F0">
        <w:rPr>
          <w:rFonts w:ascii="Arial" w:hAnsi="Arial"/>
          <w:snapToGrid w:val="0"/>
          <w:sz w:val="24"/>
          <w:u w:val="single"/>
          <w:lang w:val="es-ES_tradnl" w:eastAsia="es-ES"/>
        </w:rPr>
        <w:t xml:space="preserve">: Del </w:t>
      </w:r>
      <w:r w:rsidR="00A25D3E" w:rsidRPr="00A63059">
        <w:rPr>
          <w:rFonts w:ascii="Arial" w:hAnsi="Arial" w:cs="Arial"/>
          <w:sz w:val="24"/>
          <w:szCs w:val="24"/>
          <w:u w:val="single"/>
          <w:lang w:val="es-UY"/>
        </w:rPr>
        <w:t xml:space="preserve">Alcance del Fondo </w:t>
      </w:r>
      <w:r>
        <w:rPr>
          <w:rFonts w:ascii="Arial" w:hAnsi="Arial" w:cs="Arial"/>
          <w:sz w:val="24"/>
          <w:szCs w:val="24"/>
          <w:u w:val="single"/>
          <w:lang w:val="es-UY"/>
        </w:rPr>
        <w:t>de Reserva</w:t>
      </w:r>
    </w:p>
    <w:p w14:paraId="11A6E69E" w14:textId="77777777" w:rsidR="007A785E" w:rsidRPr="00A63059" w:rsidRDefault="007A785E" w:rsidP="00A63059">
      <w:pPr>
        <w:spacing w:after="0" w:line="240" w:lineRule="auto"/>
        <w:jc w:val="center"/>
        <w:rPr>
          <w:rFonts w:ascii="Arial" w:hAnsi="Arial"/>
          <w:snapToGrid w:val="0"/>
          <w:sz w:val="24"/>
          <w:lang w:val="es-ES_tradnl" w:eastAsia="es-ES"/>
        </w:rPr>
      </w:pPr>
    </w:p>
    <w:p w14:paraId="3C8A9F40" w14:textId="3E8628A3" w:rsidR="00A25D3E" w:rsidRDefault="00A63059" w:rsidP="00107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Artículo </w:t>
      </w:r>
      <w:r w:rsidR="00D87B56">
        <w:rPr>
          <w:rFonts w:ascii="Arial" w:hAnsi="Arial" w:cs="Arial"/>
          <w:b/>
          <w:bCs/>
          <w:sz w:val="24"/>
          <w:szCs w:val="24"/>
          <w:lang w:val="es-ES"/>
        </w:rPr>
        <w:t>4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.- </w:t>
      </w:r>
      <w:r w:rsidR="00A25D3E" w:rsidRPr="00EE679C">
        <w:rPr>
          <w:rFonts w:ascii="Arial" w:hAnsi="Arial" w:cs="Arial"/>
          <w:sz w:val="24"/>
          <w:szCs w:val="24"/>
          <w:lang w:val="es-ES"/>
        </w:rPr>
        <w:t>El Fondo Financiero</w:t>
      </w:r>
      <w:r w:rsidR="00EB092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 Reserva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 integra el patrimonio </w:t>
      </w:r>
      <w:r w:rsidR="006D0AB6" w:rsidRPr="00EE679C">
        <w:rPr>
          <w:rFonts w:ascii="Arial" w:hAnsi="Arial" w:cs="Arial"/>
          <w:sz w:val="24"/>
          <w:szCs w:val="24"/>
          <w:lang w:val="es-ES"/>
        </w:rPr>
        <w:t xml:space="preserve">contable 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de la SGCAN y se constituye con los saldos no ejecutados de los ejercicios presupuestarios </w:t>
      </w:r>
      <w:r w:rsidR="00A25D3E" w:rsidRPr="00AC27B4">
        <w:rPr>
          <w:rFonts w:ascii="Arial" w:hAnsi="Arial" w:cs="Arial"/>
          <w:sz w:val="24"/>
          <w:szCs w:val="24"/>
          <w:lang w:val="es-ES"/>
        </w:rPr>
        <w:t>anteriores</w:t>
      </w:r>
      <w:r w:rsidR="00D90381" w:rsidRPr="00AC27B4">
        <w:rPr>
          <w:rFonts w:ascii="Arial" w:hAnsi="Arial" w:cs="Arial"/>
          <w:sz w:val="24"/>
          <w:szCs w:val="24"/>
          <w:lang w:val="es-ES"/>
        </w:rPr>
        <w:t xml:space="preserve"> al 2018 y los recursos disponibles a la fecha</w:t>
      </w:r>
      <w:r w:rsidR="00A25D3E" w:rsidRPr="00AC27B4">
        <w:rPr>
          <w:rFonts w:ascii="Arial" w:hAnsi="Arial" w:cs="Arial"/>
          <w:sz w:val="24"/>
          <w:szCs w:val="24"/>
          <w:lang w:val="es-ES"/>
        </w:rPr>
        <w:t>.</w:t>
      </w:r>
    </w:p>
    <w:p w14:paraId="3E4ED07E" w14:textId="77777777" w:rsidR="00BB3854" w:rsidRDefault="00BB3854" w:rsidP="00A63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14:paraId="7CF2F624" w14:textId="7B7F9810" w:rsidR="00B705F0" w:rsidRDefault="00A63059" w:rsidP="00107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Artículo </w:t>
      </w:r>
      <w:r w:rsidR="00D87B56">
        <w:rPr>
          <w:rFonts w:ascii="Arial" w:hAnsi="Arial" w:cs="Arial"/>
          <w:b/>
          <w:bCs/>
          <w:sz w:val="24"/>
          <w:szCs w:val="24"/>
          <w:lang w:val="es-ES"/>
        </w:rPr>
        <w:t>5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.- 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El Fondo Financiero </w:t>
      </w:r>
      <w:r>
        <w:rPr>
          <w:rFonts w:ascii="Arial" w:hAnsi="Arial" w:cs="Arial"/>
          <w:sz w:val="24"/>
          <w:szCs w:val="24"/>
          <w:lang w:val="es-ES"/>
        </w:rPr>
        <w:t>de Reserva</w:t>
      </w:r>
      <w:r w:rsidRPr="00EE679C">
        <w:rPr>
          <w:rFonts w:ascii="Arial" w:hAnsi="Arial" w:cs="Arial"/>
          <w:sz w:val="24"/>
          <w:szCs w:val="24"/>
          <w:lang w:val="es-ES"/>
        </w:rPr>
        <w:t xml:space="preserve"> 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deberá servir para </w:t>
      </w:r>
      <w:r>
        <w:rPr>
          <w:rFonts w:ascii="Arial" w:hAnsi="Arial" w:cs="Arial"/>
          <w:sz w:val="24"/>
          <w:szCs w:val="24"/>
          <w:lang w:val="es-ES"/>
        </w:rPr>
        <w:t>f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inanciar transitoriamente </w:t>
      </w:r>
      <w:r w:rsidR="001341F1" w:rsidRPr="00EE679C">
        <w:rPr>
          <w:rFonts w:ascii="Arial" w:hAnsi="Arial" w:cs="Arial"/>
          <w:sz w:val="24"/>
          <w:szCs w:val="24"/>
          <w:lang w:val="es-ES"/>
        </w:rPr>
        <w:t>a través de una transferencia financiera</w:t>
      </w:r>
      <w:r w:rsidR="00F06007" w:rsidRPr="00EE679C">
        <w:rPr>
          <w:rFonts w:ascii="Arial" w:hAnsi="Arial" w:cs="Arial"/>
          <w:sz w:val="24"/>
          <w:szCs w:val="24"/>
          <w:lang w:val="es-ES"/>
        </w:rPr>
        <w:t xml:space="preserve"> reembolsable</w:t>
      </w:r>
      <w:r w:rsidR="001341F1" w:rsidRPr="00EE679C">
        <w:rPr>
          <w:rFonts w:ascii="Arial" w:hAnsi="Arial" w:cs="Arial"/>
          <w:sz w:val="24"/>
          <w:szCs w:val="24"/>
          <w:lang w:val="es-ES"/>
        </w:rPr>
        <w:t xml:space="preserve">, 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los gastos </w:t>
      </w:r>
      <w:r w:rsidR="00035B09" w:rsidRPr="00EE679C">
        <w:rPr>
          <w:rFonts w:ascii="Arial" w:hAnsi="Arial" w:cs="Arial"/>
          <w:sz w:val="24"/>
          <w:szCs w:val="24"/>
          <w:lang w:val="es-ES"/>
        </w:rPr>
        <w:t xml:space="preserve">operativos 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de la </w:t>
      </w:r>
      <w:r w:rsidR="00035B09" w:rsidRPr="00EE679C">
        <w:rPr>
          <w:rFonts w:ascii="Arial" w:hAnsi="Arial" w:cs="Arial"/>
          <w:sz w:val="24"/>
          <w:szCs w:val="24"/>
          <w:lang w:val="es-ES"/>
        </w:rPr>
        <w:t>SGCAN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, en espera del pago de las contribuciones de los </w:t>
      </w:r>
      <w:r w:rsidR="0009385B">
        <w:rPr>
          <w:rFonts w:ascii="Arial" w:hAnsi="Arial" w:cs="Arial"/>
          <w:sz w:val="24"/>
          <w:szCs w:val="24"/>
          <w:lang w:val="es-ES"/>
        </w:rPr>
        <w:t>P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aíses </w:t>
      </w:r>
      <w:r>
        <w:rPr>
          <w:rFonts w:ascii="Arial" w:hAnsi="Arial" w:cs="Arial"/>
          <w:sz w:val="24"/>
          <w:szCs w:val="24"/>
          <w:lang w:val="es-ES"/>
        </w:rPr>
        <w:t>Miembros;</w:t>
      </w:r>
      <w:r w:rsidR="00B705F0" w:rsidRPr="00EE679C">
        <w:rPr>
          <w:rFonts w:ascii="Arial" w:hAnsi="Arial" w:cs="Arial"/>
          <w:sz w:val="24"/>
          <w:szCs w:val="24"/>
          <w:lang w:val="es-ES"/>
        </w:rPr>
        <w:t xml:space="preserve"> 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sin que ello </w:t>
      </w:r>
      <w:r w:rsidR="00013E46" w:rsidRPr="00EE679C">
        <w:rPr>
          <w:rFonts w:ascii="Arial" w:hAnsi="Arial" w:cs="Arial"/>
          <w:sz w:val="24"/>
          <w:szCs w:val="24"/>
          <w:lang w:val="es-ES"/>
        </w:rPr>
        <w:t xml:space="preserve">implique </w:t>
      </w:r>
      <w:r w:rsidR="00A25D3E" w:rsidRPr="00EE679C">
        <w:rPr>
          <w:rFonts w:ascii="Arial" w:hAnsi="Arial" w:cs="Arial"/>
          <w:sz w:val="24"/>
          <w:szCs w:val="24"/>
          <w:lang w:val="es-ES"/>
        </w:rPr>
        <w:t>un aumento del crédito presupuestario aprobado</w:t>
      </w:r>
      <w:r w:rsidR="00DF3993" w:rsidRPr="00EE679C">
        <w:rPr>
          <w:rFonts w:ascii="Arial" w:hAnsi="Arial" w:cs="Arial"/>
          <w:sz w:val="24"/>
          <w:szCs w:val="24"/>
          <w:lang w:val="es-ES"/>
        </w:rPr>
        <w:t xml:space="preserve"> durante el ejercicio presupuesta</w:t>
      </w:r>
      <w:r w:rsidR="00095A25">
        <w:rPr>
          <w:rFonts w:ascii="Arial" w:hAnsi="Arial" w:cs="Arial"/>
          <w:sz w:val="24"/>
          <w:szCs w:val="24"/>
          <w:lang w:val="es-ES"/>
        </w:rPr>
        <w:t>rio correspondiente</w:t>
      </w:r>
      <w:r w:rsidR="00DF3993" w:rsidRPr="00EE679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4FBBAA7" w14:textId="77777777" w:rsidR="001071EE" w:rsidRDefault="001071EE" w:rsidP="007A78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14:paraId="47906F87" w14:textId="39D0A94D" w:rsidR="00A25D3E" w:rsidRDefault="00DF3993" w:rsidP="007A78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EE679C">
        <w:rPr>
          <w:rFonts w:ascii="Arial" w:hAnsi="Arial" w:cs="Arial"/>
          <w:sz w:val="24"/>
          <w:szCs w:val="24"/>
          <w:lang w:val="es-ES"/>
        </w:rPr>
        <w:t>La SGCAN deberá reembolsar el monto transferido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 al Fondo </w:t>
      </w:r>
      <w:r w:rsidRPr="00EE679C">
        <w:rPr>
          <w:rFonts w:ascii="Arial" w:hAnsi="Arial" w:cs="Arial"/>
          <w:sz w:val="24"/>
          <w:szCs w:val="24"/>
          <w:lang w:val="es-ES"/>
        </w:rPr>
        <w:t xml:space="preserve">Financiero </w:t>
      </w:r>
      <w:r w:rsidR="00A63059">
        <w:rPr>
          <w:rFonts w:ascii="Arial" w:hAnsi="Arial" w:cs="Arial"/>
          <w:sz w:val="24"/>
          <w:szCs w:val="24"/>
          <w:lang w:val="es-ES"/>
        </w:rPr>
        <w:t xml:space="preserve">de Reserva </w:t>
      </w:r>
      <w:r w:rsidR="00A25D3E" w:rsidRPr="00EE679C">
        <w:rPr>
          <w:rFonts w:ascii="Arial" w:hAnsi="Arial" w:cs="Arial"/>
          <w:sz w:val="24"/>
          <w:szCs w:val="24"/>
          <w:lang w:val="es-ES"/>
        </w:rPr>
        <w:t>tan pronto como los ingresos procedentes de las contribuciones estén disponibles a ese efecto.</w:t>
      </w:r>
    </w:p>
    <w:p w14:paraId="2BFA9ADA" w14:textId="77777777" w:rsidR="001071EE" w:rsidRDefault="001071EE" w:rsidP="00107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3C70C4B" w14:textId="18345DAE" w:rsidR="00A25D3E" w:rsidRDefault="00A63059" w:rsidP="00107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Artículo </w:t>
      </w:r>
      <w:r w:rsidR="00D87B56">
        <w:rPr>
          <w:rFonts w:ascii="Arial" w:hAnsi="Arial" w:cs="Arial"/>
          <w:b/>
          <w:bCs/>
          <w:sz w:val="24"/>
          <w:szCs w:val="24"/>
          <w:lang w:val="es-ES"/>
        </w:rPr>
        <w:t>6</w:t>
      </w:r>
      <w:r>
        <w:rPr>
          <w:rFonts w:ascii="Arial" w:hAnsi="Arial" w:cs="Arial"/>
          <w:b/>
          <w:bCs/>
          <w:sz w:val="24"/>
          <w:szCs w:val="24"/>
          <w:lang w:val="es-ES"/>
        </w:rPr>
        <w:t>.-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El Fondo Financiero </w:t>
      </w:r>
      <w:r>
        <w:rPr>
          <w:rFonts w:ascii="Arial" w:hAnsi="Arial" w:cs="Arial"/>
          <w:sz w:val="24"/>
          <w:szCs w:val="24"/>
          <w:lang w:val="es-ES"/>
        </w:rPr>
        <w:t>de Reserva</w:t>
      </w:r>
      <w:r w:rsidRPr="00EE679C">
        <w:rPr>
          <w:rFonts w:ascii="Arial" w:hAnsi="Arial" w:cs="Arial"/>
          <w:sz w:val="24"/>
          <w:szCs w:val="24"/>
          <w:lang w:val="es-ES"/>
        </w:rPr>
        <w:t xml:space="preserve"> </w:t>
      </w:r>
      <w:r w:rsidR="00A25D3E" w:rsidRPr="00EE679C">
        <w:rPr>
          <w:rFonts w:ascii="Arial" w:hAnsi="Arial" w:cs="Arial"/>
          <w:sz w:val="24"/>
          <w:szCs w:val="24"/>
          <w:lang w:val="es-ES"/>
        </w:rPr>
        <w:t>se expresará en dólares de Estados Unidos.</w:t>
      </w:r>
    </w:p>
    <w:p w14:paraId="45583373" w14:textId="77777777" w:rsidR="00EB0922" w:rsidRPr="00EE679C" w:rsidRDefault="00EB0922" w:rsidP="00A63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14:paraId="7AA13F85" w14:textId="4C01E42D" w:rsidR="00FA0CAC" w:rsidRPr="00EE679C" w:rsidRDefault="00B705F0" w:rsidP="00A6305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="00FA0CAC" w:rsidRPr="00EE679C">
        <w:rPr>
          <w:rFonts w:ascii="Arial" w:hAnsi="Arial" w:cs="Arial"/>
          <w:sz w:val="24"/>
          <w:szCs w:val="24"/>
          <w:lang w:val="es-ES"/>
        </w:rPr>
        <w:t xml:space="preserve">Al cierre de cada ejercicio presupuestario, la Comisión </w:t>
      </w:r>
      <w:r w:rsidR="004446A9">
        <w:rPr>
          <w:rFonts w:ascii="Arial" w:hAnsi="Arial" w:cs="Arial"/>
          <w:sz w:val="24"/>
          <w:szCs w:val="24"/>
          <w:lang w:val="es-ES"/>
        </w:rPr>
        <w:t xml:space="preserve">de la Comunidad Andina </w:t>
      </w:r>
      <w:r w:rsidR="00FA0CAC" w:rsidRPr="00EE679C">
        <w:rPr>
          <w:rFonts w:ascii="Arial" w:hAnsi="Arial" w:cs="Arial"/>
          <w:sz w:val="24"/>
          <w:szCs w:val="24"/>
          <w:lang w:val="es-ES"/>
        </w:rPr>
        <w:t xml:space="preserve">determinará el monto de saldos no ejecutados del período </w:t>
      </w:r>
      <w:r w:rsidR="004446A9">
        <w:rPr>
          <w:rFonts w:ascii="Arial" w:hAnsi="Arial" w:cs="Arial"/>
          <w:sz w:val="24"/>
          <w:szCs w:val="24"/>
          <w:lang w:val="es-ES"/>
        </w:rPr>
        <w:t xml:space="preserve">correspondiente </w:t>
      </w:r>
      <w:r w:rsidR="00FA0CAC" w:rsidRPr="00EE679C">
        <w:rPr>
          <w:rFonts w:ascii="Arial" w:hAnsi="Arial" w:cs="Arial"/>
          <w:sz w:val="24"/>
          <w:szCs w:val="24"/>
          <w:lang w:val="es-ES"/>
        </w:rPr>
        <w:t>y los demás recursos que pasarán a integrar el Fondo Financiero de</w:t>
      </w:r>
      <w:r w:rsidR="00A63059">
        <w:rPr>
          <w:rFonts w:ascii="Arial" w:hAnsi="Arial" w:cs="Arial"/>
          <w:sz w:val="24"/>
          <w:szCs w:val="24"/>
          <w:lang w:val="es-ES"/>
        </w:rPr>
        <w:t xml:space="preserve"> Reserva de</w:t>
      </w:r>
      <w:r w:rsidR="00FA0CAC" w:rsidRPr="00EE679C">
        <w:rPr>
          <w:rFonts w:ascii="Arial" w:hAnsi="Arial" w:cs="Arial"/>
          <w:sz w:val="24"/>
          <w:szCs w:val="24"/>
          <w:lang w:val="es-ES"/>
        </w:rPr>
        <w:t xml:space="preserve"> la SGCAN, a cuyos efectos la </w:t>
      </w:r>
      <w:r w:rsidR="004446A9">
        <w:rPr>
          <w:rFonts w:ascii="Arial" w:hAnsi="Arial" w:cs="Arial"/>
          <w:sz w:val="24"/>
          <w:szCs w:val="24"/>
          <w:lang w:val="es-ES"/>
        </w:rPr>
        <w:t>SGCAN</w:t>
      </w:r>
      <w:r w:rsidR="00FA0CAC" w:rsidRPr="00EE679C">
        <w:rPr>
          <w:rFonts w:ascii="Arial" w:hAnsi="Arial" w:cs="Arial"/>
          <w:sz w:val="24"/>
          <w:szCs w:val="24"/>
          <w:lang w:val="es-ES"/>
        </w:rPr>
        <w:t xml:space="preserve"> presentará </w:t>
      </w:r>
      <w:r w:rsidR="00991820" w:rsidRPr="00EE679C">
        <w:rPr>
          <w:rFonts w:ascii="Arial" w:hAnsi="Arial" w:cs="Arial"/>
          <w:sz w:val="24"/>
          <w:szCs w:val="24"/>
          <w:lang w:val="es-ES"/>
        </w:rPr>
        <w:t xml:space="preserve">y certificará </w:t>
      </w:r>
      <w:r w:rsidR="00FA0CAC" w:rsidRPr="00EE679C">
        <w:rPr>
          <w:rFonts w:ascii="Arial" w:hAnsi="Arial" w:cs="Arial"/>
          <w:sz w:val="24"/>
          <w:szCs w:val="24"/>
          <w:lang w:val="es-ES"/>
        </w:rPr>
        <w:t>el respectivo estado de los recursos al Grupo de Presupuesto.</w:t>
      </w:r>
    </w:p>
    <w:p w14:paraId="7DBE4E73" w14:textId="77777777" w:rsidR="00A63059" w:rsidRDefault="00A63059" w:rsidP="007A785E">
      <w:pPr>
        <w:spacing w:after="0" w:line="240" w:lineRule="auto"/>
        <w:jc w:val="center"/>
        <w:rPr>
          <w:rFonts w:ascii="Arial" w:hAnsi="Arial"/>
          <w:snapToGrid w:val="0"/>
          <w:sz w:val="24"/>
          <w:u w:val="single"/>
          <w:lang w:val="es-ES_tradnl" w:eastAsia="es-ES"/>
        </w:rPr>
      </w:pPr>
    </w:p>
    <w:p w14:paraId="7FAEC018" w14:textId="207D5E68" w:rsidR="004704F9" w:rsidRDefault="00A63059" w:rsidP="007A78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/>
          <w:snapToGrid w:val="0"/>
          <w:sz w:val="24"/>
          <w:u w:val="single"/>
          <w:lang w:val="es-ES_tradnl" w:eastAsia="es-ES"/>
        </w:rPr>
        <w:t xml:space="preserve">Sección B: De la </w:t>
      </w:r>
      <w:r w:rsidR="004704F9" w:rsidRPr="00EB0922">
        <w:rPr>
          <w:rFonts w:ascii="Arial" w:hAnsi="Arial"/>
          <w:snapToGrid w:val="0"/>
          <w:sz w:val="24"/>
          <w:u w:val="single"/>
          <w:lang w:val="es-ES_tradnl" w:eastAsia="es-ES"/>
        </w:rPr>
        <w:t>Administración del Fondo Financiero</w:t>
      </w:r>
    </w:p>
    <w:p w14:paraId="2CEFEFC6" w14:textId="77777777" w:rsidR="001071EE" w:rsidRDefault="001071EE" w:rsidP="001071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09DFF0D" w14:textId="48137157" w:rsidR="00BB5102" w:rsidRDefault="00A63059" w:rsidP="00107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Artículo </w:t>
      </w:r>
      <w:r w:rsidR="00D87B56">
        <w:rPr>
          <w:rFonts w:ascii="Arial" w:hAnsi="Arial" w:cs="Arial"/>
          <w:b/>
          <w:bCs/>
          <w:sz w:val="24"/>
          <w:szCs w:val="24"/>
          <w:lang w:val="es-ES"/>
        </w:rPr>
        <w:t>7</w:t>
      </w:r>
      <w:r>
        <w:rPr>
          <w:rFonts w:ascii="Arial" w:hAnsi="Arial" w:cs="Arial"/>
          <w:b/>
          <w:bCs/>
          <w:sz w:val="24"/>
          <w:szCs w:val="24"/>
          <w:lang w:val="es-ES"/>
        </w:rPr>
        <w:t>.-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El Fondo Financiero </w:t>
      </w:r>
      <w:r>
        <w:rPr>
          <w:rFonts w:ascii="Arial" w:hAnsi="Arial" w:cs="Arial"/>
          <w:sz w:val="24"/>
          <w:szCs w:val="24"/>
          <w:lang w:val="es-ES"/>
        </w:rPr>
        <w:t>de Reserva</w:t>
      </w:r>
      <w:r w:rsidRPr="00EE679C">
        <w:rPr>
          <w:rFonts w:ascii="Arial" w:hAnsi="Arial" w:cs="Arial"/>
          <w:sz w:val="24"/>
          <w:szCs w:val="24"/>
          <w:lang w:val="es-ES"/>
        </w:rPr>
        <w:t xml:space="preserve"> </w:t>
      </w:r>
      <w:r w:rsidR="00A25D3E" w:rsidRPr="00EE679C">
        <w:rPr>
          <w:rFonts w:ascii="Arial" w:hAnsi="Arial" w:cs="Arial"/>
          <w:sz w:val="24"/>
          <w:szCs w:val="24"/>
          <w:lang w:val="es-ES"/>
        </w:rPr>
        <w:t xml:space="preserve">se administrará como cuenta </w:t>
      </w:r>
      <w:r w:rsidR="00C22AD7" w:rsidRPr="00EE679C">
        <w:rPr>
          <w:rFonts w:ascii="Arial" w:hAnsi="Arial" w:cs="Arial"/>
          <w:sz w:val="24"/>
          <w:szCs w:val="24"/>
          <w:lang w:val="es-ES"/>
        </w:rPr>
        <w:t xml:space="preserve">bancaria </w:t>
      </w:r>
      <w:r w:rsidR="00A25D3E" w:rsidRPr="00EE679C">
        <w:rPr>
          <w:rFonts w:ascii="Arial" w:hAnsi="Arial" w:cs="Arial"/>
          <w:sz w:val="24"/>
          <w:szCs w:val="24"/>
          <w:lang w:val="es-ES"/>
        </w:rPr>
        <w:t>separada</w:t>
      </w:r>
      <w:r w:rsidR="00774507" w:rsidRPr="00EE679C">
        <w:rPr>
          <w:rFonts w:ascii="Arial" w:hAnsi="Arial" w:cs="Arial"/>
          <w:sz w:val="24"/>
          <w:szCs w:val="24"/>
          <w:lang w:val="es-ES"/>
        </w:rPr>
        <w:t xml:space="preserve"> por la SGCAN y rendirá cuentas a la Comisión </w:t>
      </w:r>
      <w:r w:rsidR="009F6A99">
        <w:rPr>
          <w:rFonts w:ascii="Arial" w:hAnsi="Arial" w:cs="Arial"/>
          <w:sz w:val="24"/>
          <w:szCs w:val="24"/>
          <w:lang w:val="es-ES"/>
        </w:rPr>
        <w:t xml:space="preserve">de la comunidad Andina </w:t>
      </w:r>
      <w:r w:rsidR="00774507" w:rsidRPr="00EE679C">
        <w:rPr>
          <w:rFonts w:ascii="Arial" w:hAnsi="Arial" w:cs="Arial"/>
          <w:sz w:val="24"/>
          <w:szCs w:val="24"/>
          <w:lang w:val="es-ES"/>
        </w:rPr>
        <w:t xml:space="preserve">o al Grupo de Presupuesto, </w:t>
      </w:r>
      <w:r w:rsidR="003E3EE8" w:rsidRPr="00EE679C">
        <w:rPr>
          <w:rFonts w:ascii="Arial" w:hAnsi="Arial" w:cs="Arial"/>
          <w:sz w:val="24"/>
          <w:szCs w:val="24"/>
          <w:lang w:val="es-ES"/>
        </w:rPr>
        <w:t>en forma</w:t>
      </w:r>
      <w:r w:rsidR="00F95788" w:rsidRPr="00EE679C">
        <w:rPr>
          <w:rFonts w:ascii="Arial" w:hAnsi="Arial" w:cs="Arial"/>
          <w:sz w:val="24"/>
          <w:szCs w:val="24"/>
          <w:lang w:val="es-ES"/>
        </w:rPr>
        <w:t xml:space="preserve"> </w:t>
      </w:r>
      <w:r w:rsidR="00EC289B">
        <w:rPr>
          <w:rFonts w:ascii="Arial" w:hAnsi="Arial" w:cs="Arial"/>
          <w:sz w:val="24"/>
          <w:szCs w:val="24"/>
          <w:lang w:val="es-ES"/>
        </w:rPr>
        <w:t>bimestral</w:t>
      </w:r>
      <w:r w:rsidR="00A25D3E" w:rsidRPr="00EE679C">
        <w:rPr>
          <w:rFonts w:ascii="Arial" w:hAnsi="Arial" w:cs="Arial"/>
          <w:sz w:val="24"/>
          <w:szCs w:val="24"/>
          <w:lang w:val="es-ES"/>
        </w:rPr>
        <w:t>.</w:t>
      </w:r>
    </w:p>
    <w:p w14:paraId="0150C75F" w14:textId="77777777" w:rsidR="001071EE" w:rsidRDefault="001071EE" w:rsidP="00107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93930E5" w14:textId="0BCE3841" w:rsidR="007A785E" w:rsidRDefault="00A63059" w:rsidP="00107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Artículo </w:t>
      </w:r>
      <w:r w:rsidR="00D87B56">
        <w:rPr>
          <w:rFonts w:ascii="Arial" w:hAnsi="Arial" w:cs="Arial"/>
          <w:b/>
          <w:bCs/>
          <w:sz w:val="24"/>
          <w:szCs w:val="24"/>
          <w:lang w:val="es-ES"/>
        </w:rPr>
        <w:t>8</w:t>
      </w:r>
      <w:r>
        <w:rPr>
          <w:rFonts w:ascii="Arial" w:hAnsi="Arial" w:cs="Arial"/>
          <w:b/>
          <w:bCs/>
          <w:sz w:val="24"/>
          <w:szCs w:val="24"/>
          <w:lang w:val="es-ES"/>
        </w:rPr>
        <w:t>.-</w:t>
      </w:r>
      <w:r w:rsidR="00BB3854">
        <w:rPr>
          <w:rFonts w:ascii="Arial" w:hAnsi="Arial" w:cs="Arial"/>
          <w:sz w:val="24"/>
          <w:szCs w:val="24"/>
          <w:lang w:val="es-ES"/>
        </w:rPr>
        <w:t xml:space="preserve"> </w:t>
      </w:r>
      <w:r w:rsidR="00D9559F" w:rsidRPr="00EE679C">
        <w:rPr>
          <w:rFonts w:ascii="Arial" w:hAnsi="Arial" w:cs="Arial"/>
          <w:sz w:val="24"/>
          <w:szCs w:val="24"/>
          <w:lang w:val="es-ES"/>
        </w:rPr>
        <w:t xml:space="preserve">Cuando </w:t>
      </w:r>
      <w:r w:rsidR="00416799" w:rsidRPr="00EE679C">
        <w:rPr>
          <w:rFonts w:ascii="Arial" w:hAnsi="Arial" w:cs="Arial"/>
          <w:sz w:val="24"/>
          <w:szCs w:val="24"/>
          <w:lang w:val="es-ES"/>
        </w:rPr>
        <w:t>la</w:t>
      </w:r>
      <w:r w:rsidR="00D9559F" w:rsidRPr="00EE679C">
        <w:rPr>
          <w:rFonts w:ascii="Arial" w:hAnsi="Arial" w:cs="Arial"/>
          <w:sz w:val="24"/>
          <w:szCs w:val="24"/>
          <w:lang w:val="es-ES"/>
        </w:rPr>
        <w:t>s</w:t>
      </w:r>
      <w:r w:rsidR="00416799" w:rsidRPr="00EE679C">
        <w:rPr>
          <w:rFonts w:ascii="Arial" w:hAnsi="Arial" w:cs="Arial"/>
          <w:sz w:val="24"/>
          <w:szCs w:val="24"/>
          <w:lang w:val="es-ES"/>
        </w:rPr>
        <w:t xml:space="preserve"> transferencia</w:t>
      </w:r>
      <w:r w:rsidR="00D9559F" w:rsidRPr="00EE679C">
        <w:rPr>
          <w:rFonts w:ascii="Arial" w:hAnsi="Arial" w:cs="Arial"/>
          <w:sz w:val="24"/>
          <w:szCs w:val="24"/>
          <w:lang w:val="es-ES"/>
        </w:rPr>
        <w:t xml:space="preserve">s </w:t>
      </w:r>
      <w:r w:rsidR="00103A38" w:rsidRPr="00EE679C">
        <w:rPr>
          <w:rFonts w:ascii="Arial" w:hAnsi="Arial" w:cs="Arial"/>
          <w:sz w:val="24"/>
          <w:szCs w:val="24"/>
          <w:lang w:val="es-ES"/>
        </w:rPr>
        <w:t>f</w:t>
      </w:r>
      <w:r w:rsidR="00D9559F" w:rsidRPr="00EE679C">
        <w:rPr>
          <w:rFonts w:ascii="Arial" w:hAnsi="Arial" w:cs="Arial"/>
          <w:sz w:val="24"/>
          <w:szCs w:val="24"/>
          <w:lang w:val="es-ES"/>
        </w:rPr>
        <w:t xml:space="preserve">inancieras </w:t>
      </w:r>
      <w:r w:rsidR="00103A38" w:rsidRPr="00EE679C">
        <w:rPr>
          <w:rFonts w:ascii="Arial" w:hAnsi="Arial" w:cs="Arial"/>
          <w:sz w:val="24"/>
          <w:szCs w:val="24"/>
          <w:lang w:val="es-ES"/>
        </w:rPr>
        <w:t>reembolsable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103A38" w:rsidRPr="00EE679C">
        <w:rPr>
          <w:rFonts w:ascii="Arial" w:hAnsi="Arial" w:cs="Arial"/>
          <w:sz w:val="24"/>
          <w:szCs w:val="24"/>
          <w:lang w:val="es-ES"/>
        </w:rPr>
        <w:t xml:space="preserve"> del </w:t>
      </w:r>
      <w:r w:rsidR="00416799" w:rsidRPr="00EE679C">
        <w:rPr>
          <w:rFonts w:ascii="Arial" w:hAnsi="Arial" w:cs="Arial"/>
          <w:sz w:val="24"/>
          <w:szCs w:val="24"/>
          <w:lang w:val="es-ES"/>
        </w:rPr>
        <w:t xml:space="preserve">Fondo Financiero </w:t>
      </w:r>
      <w:r w:rsidR="00EC289B">
        <w:rPr>
          <w:rFonts w:ascii="Arial" w:hAnsi="Arial" w:cs="Arial"/>
          <w:sz w:val="24"/>
          <w:szCs w:val="24"/>
          <w:lang w:val="es-ES"/>
        </w:rPr>
        <w:t>de Reserva</w:t>
      </w:r>
      <w:r w:rsidR="00EC289B" w:rsidRPr="00EE679C">
        <w:rPr>
          <w:rFonts w:ascii="Arial" w:hAnsi="Arial" w:cs="Arial"/>
          <w:sz w:val="24"/>
          <w:szCs w:val="24"/>
          <w:lang w:val="es-ES"/>
        </w:rPr>
        <w:t xml:space="preserve"> </w:t>
      </w:r>
      <w:r w:rsidR="00416799" w:rsidRPr="00EE679C">
        <w:rPr>
          <w:rFonts w:ascii="Arial" w:hAnsi="Arial" w:cs="Arial"/>
          <w:sz w:val="24"/>
          <w:szCs w:val="24"/>
          <w:lang w:val="es-ES"/>
        </w:rPr>
        <w:t>a la SGCAN no pudiesen ser re</w:t>
      </w:r>
      <w:r w:rsidR="00BF29FD">
        <w:rPr>
          <w:rFonts w:ascii="Arial" w:hAnsi="Arial" w:cs="Arial"/>
          <w:sz w:val="24"/>
          <w:szCs w:val="24"/>
          <w:lang w:val="es-ES"/>
        </w:rPr>
        <w:t>integradas</w:t>
      </w:r>
      <w:r w:rsidR="00416799" w:rsidRPr="00EE679C">
        <w:rPr>
          <w:rFonts w:ascii="Arial" w:hAnsi="Arial" w:cs="Arial"/>
          <w:sz w:val="24"/>
          <w:szCs w:val="24"/>
          <w:lang w:val="es-ES"/>
        </w:rPr>
        <w:t xml:space="preserve"> durante el mismo ejercicio presupuestario</w:t>
      </w:r>
      <w:r w:rsidR="00103A38" w:rsidRPr="00EE679C">
        <w:rPr>
          <w:rFonts w:ascii="Arial" w:hAnsi="Arial" w:cs="Arial"/>
          <w:sz w:val="24"/>
          <w:szCs w:val="24"/>
          <w:lang w:val="es-ES"/>
        </w:rPr>
        <w:t xml:space="preserve"> estas deberán ser reembolsadas prioritariamente con cargo a las contribuciones atrasadas que se reciban en el ejercicio o ejercicios financieros siguientes.</w:t>
      </w:r>
    </w:p>
    <w:p w14:paraId="4F9D086E" w14:textId="6A3D8D04" w:rsidR="007A785E" w:rsidRDefault="007A785E" w:rsidP="007A78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657B26F" w14:textId="77777777" w:rsidR="00942220" w:rsidRDefault="00942220" w:rsidP="007A78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90E6CF4" w14:textId="77777777" w:rsidR="00F025BD" w:rsidRDefault="00F025BD" w:rsidP="00F025BD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  <w:u w:val="single"/>
          <w:lang w:val="es-ES_tradnl" w:eastAsia="es-ES"/>
        </w:rPr>
      </w:pPr>
    </w:p>
    <w:p w14:paraId="684229D4" w14:textId="77777777" w:rsidR="00F025BD" w:rsidRDefault="00F025BD" w:rsidP="00F025BD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  <w:u w:val="single"/>
          <w:lang w:val="es-ES_tradnl" w:eastAsia="es-ES"/>
        </w:rPr>
      </w:pPr>
    </w:p>
    <w:p w14:paraId="67759900" w14:textId="4976A91A" w:rsidR="00F025BD" w:rsidRPr="00CA6669" w:rsidRDefault="00F025BD" w:rsidP="00F025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CA6669">
        <w:rPr>
          <w:rFonts w:ascii="Arial" w:hAnsi="Arial" w:cs="Arial"/>
          <w:snapToGrid w:val="0"/>
          <w:sz w:val="24"/>
          <w:szCs w:val="24"/>
          <w:u w:val="single"/>
          <w:lang w:val="es-ES_tradnl" w:eastAsia="es-ES"/>
        </w:rPr>
        <w:t>Sección C: De los reportes del Fondo Financiero</w:t>
      </w:r>
    </w:p>
    <w:p w14:paraId="5897AAB4" w14:textId="77777777" w:rsidR="00F025BD" w:rsidRDefault="00F025BD" w:rsidP="00F025BD">
      <w:pPr>
        <w:keepNext/>
        <w:spacing w:after="0" w:line="240" w:lineRule="auto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760936C9" w14:textId="4603775E" w:rsidR="002E47E0" w:rsidRPr="0080020B" w:rsidRDefault="00F025BD" w:rsidP="00F025BD">
      <w:pPr>
        <w:keepNext/>
        <w:spacing w:after="0" w:line="240" w:lineRule="auto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CA6669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 xml:space="preserve">Artículo </w:t>
      </w:r>
      <w:r w:rsidR="00D87B56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9</w:t>
      </w:r>
      <w:r w:rsidRPr="00CA6669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.- Reportes Financieros del Fondo financiero:</w:t>
      </w:r>
      <w:r w:rsidR="00DA5245" w:rsidRPr="00A63059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 xml:space="preserve"> </w:t>
      </w:r>
      <w:r w:rsidR="009A4FE1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se </w:t>
      </w:r>
      <w:r w:rsidR="00CE3E6E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incluirá todos los movimientos</w:t>
      </w:r>
      <w:r w:rsidR="003A0EF2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en reportes </w:t>
      </w:r>
      <w:r w:rsidR="00103A38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bimensuales </w:t>
      </w:r>
      <w:r w:rsidR="009F6A99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bajo</w:t>
      </w:r>
      <w:r w:rsidR="009A4FE1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</w:t>
      </w:r>
      <w:r w:rsidR="00A85972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el siguiente </w:t>
      </w:r>
      <w:r w:rsidR="009A4FE1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formato: </w:t>
      </w:r>
    </w:p>
    <w:p w14:paraId="40617F80" w14:textId="77777777" w:rsidR="00F025BD" w:rsidRDefault="00F025BD" w:rsidP="00A63059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33048E8E" w14:textId="4D7C9B60" w:rsidR="007838E7" w:rsidRPr="0080020B" w:rsidRDefault="003B16E9" w:rsidP="00A63059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 w:rsidRPr="00A63059">
        <w:rPr>
          <w:rFonts w:ascii="Arial" w:eastAsia="Arial" w:hAnsi="Arial" w:cs="Arial"/>
          <w:b/>
          <w:noProof/>
          <w:color w:val="0E1115"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7AB070A6" wp14:editId="7900E77F">
            <wp:simplePos x="0" y="0"/>
            <wp:positionH relativeFrom="column">
              <wp:posOffset>-270510</wp:posOffset>
            </wp:positionH>
            <wp:positionV relativeFrom="paragraph">
              <wp:posOffset>287655</wp:posOffset>
            </wp:positionV>
            <wp:extent cx="6144260" cy="400050"/>
            <wp:effectExtent l="0" t="0" r="889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8E7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Sección 1 (Periodo informado).</w:t>
      </w:r>
    </w:p>
    <w:p w14:paraId="2D360110" w14:textId="2CB74727" w:rsidR="009A4FE1" w:rsidRDefault="007838E7" w:rsidP="00FC3D59">
      <w:pPr>
        <w:pStyle w:val="Prrafodelista"/>
        <w:keepNext/>
        <w:numPr>
          <w:ilvl w:val="0"/>
          <w:numId w:val="2"/>
        </w:numPr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F025BD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Se detalla el periodo sobre el cual se </w:t>
      </w:r>
      <w:r w:rsidR="00D67EC4" w:rsidRPr="00F025BD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está</w:t>
      </w:r>
      <w:r w:rsidRPr="00F025BD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presentando el informe del Fondo Financiero.</w:t>
      </w:r>
    </w:p>
    <w:p w14:paraId="0E3163E9" w14:textId="77777777" w:rsidR="00D91846" w:rsidRPr="00F025BD" w:rsidRDefault="00D91846" w:rsidP="00D91846">
      <w:pPr>
        <w:pStyle w:val="Prrafodelista"/>
        <w:keepNext/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</w:p>
    <w:p w14:paraId="77B8E8C5" w14:textId="67FC68B4" w:rsidR="00876468" w:rsidRDefault="003B16E9" w:rsidP="00FC3D59">
      <w:pPr>
        <w:keepNext/>
        <w:spacing w:after="0" w:line="240" w:lineRule="auto"/>
        <w:ind w:right="57"/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 w:rsidRPr="00FC3D59">
        <w:rPr>
          <w:rFonts w:ascii="Arial" w:eastAsia="Arial" w:hAnsi="Arial" w:cs="Arial"/>
          <w:b/>
          <w:noProof/>
          <w:color w:val="0E1115"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2864864A" wp14:editId="00C1FA98">
            <wp:simplePos x="0" y="0"/>
            <wp:positionH relativeFrom="column">
              <wp:posOffset>-184785</wp:posOffset>
            </wp:positionH>
            <wp:positionV relativeFrom="paragraph">
              <wp:posOffset>350520</wp:posOffset>
            </wp:positionV>
            <wp:extent cx="6058535" cy="12763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8E7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Sección 2 (Ingresos)</w:t>
      </w:r>
    </w:p>
    <w:p w14:paraId="5949B7DA" w14:textId="77777777" w:rsidR="00D91846" w:rsidRPr="0080020B" w:rsidRDefault="00D91846" w:rsidP="00FC3D59">
      <w:pPr>
        <w:keepNext/>
        <w:spacing w:after="0" w:line="240" w:lineRule="auto"/>
        <w:ind w:right="57"/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58A03CA6" w14:textId="4E6180AB" w:rsidR="003B16E9" w:rsidRPr="0080020B" w:rsidRDefault="003B16E9" w:rsidP="00FC3D59">
      <w:pPr>
        <w:keepNext/>
        <w:spacing w:after="0" w:line="240" w:lineRule="auto"/>
        <w:ind w:right="57"/>
        <w:jc w:val="both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0DB128F3" w14:textId="1D6CF55A" w:rsidR="007A785E" w:rsidRPr="00D91846" w:rsidRDefault="007838E7" w:rsidP="00D91846">
      <w:pPr>
        <w:keepNext/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(A) Saldo FONDO FINANCIERO inicial del período al xx/xx/2021:</w:t>
      </w:r>
      <w:r w:rsidR="00D91846" w:rsidRPr="00D9184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e</w:t>
      </w:r>
      <w:r w:rsidRPr="00D9184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s el saldo con el que inicia el Fondo Financiero en el periodo informado.</w:t>
      </w:r>
    </w:p>
    <w:p w14:paraId="041C1518" w14:textId="77777777" w:rsidR="00D91846" w:rsidRDefault="00D91846" w:rsidP="00D91846">
      <w:pPr>
        <w:keepNext/>
        <w:spacing w:after="0" w:line="240" w:lineRule="auto"/>
        <w:ind w:right="57"/>
        <w:jc w:val="both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271E03BD" w14:textId="4461EF84" w:rsidR="007A785E" w:rsidRDefault="007838E7" w:rsidP="00D91846">
      <w:pPr>
        <w:keepNext/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D9184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(B) Ingresos al Fondo Financiero en el periodo informado:</w:t>
      </w:r>
      <w:r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</w:t>
      </w:r>
      <w:r w:rsidR="00826CAB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e</w:t>
      </w:r>
      <w:r w:rsidR="006B101C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s </w:t>
      </w:r>
      <w:r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la suma de los ingresos </w:t>
      </w:r>
      <w:r w:rsidR="006B101C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d</w:t>
      </w:r>
      <w:r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el Fondo Financiero en el periodo informado.</w:t>
      </w:r>
    </w:p>
    <w:p w14:paraId="7C2E84D3" w14:textId="77777777" w:rsidR="00D91846" w:rsidRPr="009452E2" w:rsidRDefault="00D91846" w:rsidP="00D91846">
      <w:pPr>
        <w:keepNext/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</w:p>
    <w:p w14:paraId="21D50107" w14:textId="7C389716" w:rsidR="008F7F8B" w:rsidRPr="009452E2" w:rsidRDefault="008F7F8B" w:rsidP="00FC3D59">
      <w:pPr>
        <w:pStyle w:val="Prrafodelista"/>
        <w:keepNext/>
        <w:numPr>
          <w:ilvl w:val="0"/>
          <w:numId w:val="5"/>
        </w:numPr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D9184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Devolución de transferencias transitorias efectuadas a la SGCAN:</w:t>
      </w:r>
      <w:r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registran las devoluciones de los montos transferidos, del Fondo Financiero a la SGCAN para financiar transitoriamente los gastos operativos de esta Institución.</w:t>
      </w:r>
    </w:p>
    <w:p w14:paraId="2D389F4E" w14:textId="52228076" w:rsidR="007838E7" w:rsidRPr="009452E2" w:rsidRDefault="007838E7" w:rsidP="00FC3D59">
      <w:pPr>
        <w:pStyle w:val="Prrafodelista"/>
        <w:keepNext/>
        <w:numPr>
          <w:ilvl w:val="0"/>
          <w:numId w:val="5"/>
        </w:numPr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D9184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Intereses </w:t>
      </w:r>
      <w:r w:rsidR="00315FED" w:rsidRPr="00D9184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d</w:t>
      </w:r>
      <w:r w:rsidRPr="00D9184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evengados - percibidos en el periodo:</w:t>
      </w:r>
      <w:r w:rsidR="000D3908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se registrará los intereses que ha generado el Fondo Financiero por el manejo en depósitos a plazo fijo.</w:t>
      </w:r>
    </w:p>
    <w:p w14:paraId="7BE8C486" w14:textId="1FAA85BF" w:rsidR="007838E7" w:rsidRDefault="007838E7" w:rsidP="00FC3D59">
      <w:pPr>
        <w:pStyle w:val="Prrafodelista"/>
        <w:keepNext/>
        <w:numPr>
          <w:ilvl w:val="0"/>
          <w:numId w:val="5"/>
        </w:numPr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D9184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Otros ingresos definitivos autorizados por la Comisión (</w:t>
      </w:r>
      <w:r w:rsidR="00315FED" w:rsidRPr="00D9184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s</w:t>
      </w:r>
      <w:r w:rsidRPr="00D9184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aldo no ejecutado año XXXX):</w:t>
      </w:r>
      <w:r w:rsidR="000D3908" w:rsidRPr="00D9184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</w:t>
      </w:r>
      <w:r w:rsidR="000D3908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se registrará el monto que sea determinado por la Comisión </w:t>
      </w:r>
      <w:r w:rsidR="0037055B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del saldo no ejecutado </w:t>
      </w:r>
      <w:r w:rsidR="003A04B6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o recursos disponibles </w:t>
      </w:r>
      <w:r w:rsidR="0037055B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del ejercicio presupuestario </w:t>
      </w:r>
      <w:r w:rsidR="000D3908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que pasará a formar parte del Fondo Fi</w:t>
      </w:r>
      <w:r w:rsidR="0037055B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nanciero.</w:t>
      </w:r>
    </w:p>
    <w:p w14:paraId="6BD9A3DC" w14:textId="77777777" w:rsidR="00D91846" w:rsidRPr="009452E2" w:rsidRDefault="00D91846" w:rsidP="00D91846">
      <w:pPr>
        <w:pStyle w:val="Prrafodelista"/>
        <w:keepNext/>
        <w:spacing w:after="0" w:line="240" w:lineRule="auto"/>
        <w:ind w:left="1080"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</w:p>
    <w:p w14:paraId="1DBA3B93" w14:textId="335802F1" w:rsidR="0037055B" w:rsidRPr="009452E2" w:rsidRDefault="007A0A92" w:rsidP="00FC3D59">
      <w:pPr>
        <w:keepNext/>
        <w:spacing w:after="0" w:line="240" w:lineRule="auto"/>
        <w:ind w:right="57"/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 w:rsidRPr="00FC3D59">
        <w:rPr>
          <w:rFonts w:ascii="Arial" w:eastAsia="Arial" w:hAnsi="Arial" w:cs="Arial"/>
          <w:b/>
          <w:noProof/>
          <w:color w:val="0E1115"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36F20D29" wp14:editId="44685549">
            <wp:simplePos x="0" y="0"/>
            <wp:positionH relativeFrom="column">
              <wp:posOffset>-90170</wp:posOffset>
            </wp:positionH>
            <wp:positionV relativeFrom="paragraph">
              <wp:posOffset>288925</wp:posOffset>
            </wp:positionV>
            <wp:extent cx="5963285" cy="302895"/>
            <wp:effectExtent l="0" t="0" r="0" b="190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55B" w:rsidRPr="009452E2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Sección 3 (Egresos)</w:t>
      </w:r>
    </w:p>
    <w:p w14:paraId="3DDFC0F7" w14:textId="3B9BAD7B" w:rsidR="00182A54" w:rsidRPr="0080020B" w:rsidRDefault="0037055B" w:rsidP="009026A3">
      <w:pPr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(C) Egresos</w:t>
      </w:r>
      <w:r w:rsidR="00F73E63"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:</w:t>
      </w:r>
      <w:r w:rsidR="001A4EEA"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</w:t>
      </w:r>
      <w:r w:rsidR="00F73E63"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transferencia transitoria reembolsable </w:t>
      </w:r>
      <w:r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efectuad</w:t>
      </w:r>
      <w:r w:rsidR="001A4EEA"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a</w:t>
      </w:r>
      <w:r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en período informado:</w:t>
      </w:r>
      <w:r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</w:t>
      </w:r>
      <w:r w:rsidR="009F6A99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s</w:t>
      </w:r>
      <w:r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e registrarán l</w:t>
      </w:r>
      <w:r w:rsidR="00F73E63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a</w:t>
      </w:r>
      <w:r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s </w:t>
      </w:r>
      <w:r w:rsidR="00F73E63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transferencias </w:t>
      </w:r>
      <w:r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que </w:t>
      </w:r>
      <w:r w:rsidR="00F73E63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se realicen del </w:t>
      </w:r>
      <w:r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Fondo Financiero </w:t>
      </w:r>
      <w:r w:rsidR="00F73E63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a la SGCAN </w:t>
      </w:r>
      <w:r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para financiar transitoriamente </w:t>
      </w:r>
      <w:r w:rsidR="00F73E63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sus</w:t>
      </w:r>
      <w:r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gastos </w:t>
      </w:r>
      <w:r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lastRenderedPageBreak/>
        <w:t xml:space="preserve">presupuestarios, en espera del pago de las contribuciones de los </w:t>
      </w:r>
      <w:r w:rsidR="009F6A99"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P</w:t>
      </w:r>
      <w:r w:rsidRPr="009452E2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aíses miembros, </w:t>
      </w:r>
    </w:p>
    <w:p w14:paraId="48887A12" w14:textId="0BA3A433" w:rsidR="006C783F" w:rsidRPr="0080020B" w:rsidRDefault="007A0A92" w:rsidP="009026A3">
      <w:pPr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 w:rsidRPr="00FC3D59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62DB0C46" wp14:editId="32763669">
            <wp:simplePos x="0" y="0"/>
            <wp:positionH relativeFrom="column">
              <wp:posOffset>-60960</wp:posOffset>
            </wp:positionH>
            <wp:positionV relativeFrom="paragraph">
              <wp:posOffset>240665</wp:posOffset>
            </wp:positionV>
            <wp:extent cx="5829300" cy="29527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83F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Sección 4 (Saldos)</w:t>
      </w:r>
    </w:p>
    <w:p w14:paraId="743323FE" w14:textId="1FDEE8C9" w:rsidR="00876468" w:rsidRPr="009026A3" w:rsidRDefault="00876468" w:rsidP="009026A3">
      <w:pPr>
        <w:keepNext/>
        <w:spacing w:after="0" w:line="240" w:lineRule="auto"/>
        <w:ind w:right="57"/>
        <w:jc w:val="both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21D1DBA2" w14:textId="6CB2A261" w:rsidR="0037055B" w:rsidRDefault="006C783F" w:rsidP="009026A3">
      <w:pPr>
        <w:keepNext/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(D) SUB - TOTAL FONDO FINANCIERO al final del periodo informado al XX/XX/20XX (A+B-C): </w:t>
      </w:r>
      <w:r w:rsidR="009F6A99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e</w:t>
      </w:r>
      <w:r w:rsidR="00E227B7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s </w:t>
      </w: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el resultado del saldo inicial</w:t>
      </w:r>
      <w:r w:rsidR="00C64D8B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de los recursos</w:t>
      </w: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</w:t>
      </w:r>
      <w:r w:rsidR="00DC6DC5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más</w:t>
      </w: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los ingresos del periodo menos los egresos del periodo.</w:t>
      </w:r>
    </w:p>
    <w:p w14:paraId="1C0C5A74" w14:textId="77777777" w:rsidR="009026A3" w:rsidRPr="0080020B" w:rsidRDefault="009026A3" w:rsidP="009026A3">
      <w:pPr>
        <w:keepNext/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</w:p>
    <w:p w14:paraId="215842A6" w14:textId="29094B41" w:rsidR="005766EB" w:rsidRPr="0080020B" w:rsidRDefault="00EF3F86" w:rsidP="009026A3">
      <w:pPr>
        <w:keepNext/>
        <w:spacing w:after="0" w:line="240" w:lineRule="auto"/>
        <w:ind w:right="57"/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 w:rsidRPr="00FC3D59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3A15DB79" wp14:editId="040259A2">
            <wp:simplePos x="0" y="0"/>
            <wp:positionH relativeFrom="column">
              <wp:posOffset>-77470</wp:posOffset>
            </wp:positionH>
            <wp:positionV relativeFrom="paragraph">
              <wp:posOffset>283210</wp:posOffset>
            </wp:positionV>
            <wp:extent cx="5793105" cy="53848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6EB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Sección 5 (Cuentas por cobrar)</w:t>
      </w:r>
    </w:p>
    <w:p w14:paraId="3FCD73A7" w14:textId="6498D148" w:rsidR="003B16E9" w:rsidRPr="009026A3" w:rsidRDefault="003B16E9" w:rsidP="009026A3">
      <w:pPr>
        <w:keepNext/>
        <w:spacing w:after="0" w:line="240" w:lineRule="auto"/>
        <w:ind w:right="57"/>
        <w:jc w:val="both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238B5828" w14:textId="591AF58D" w:rsidR="00141C75" w:rsidRPr="0080020B" w:rsidRDefault="00141C75" w:rsidP="009026A3">
      <w:pPr>
        <w:keepNext/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(</w:t>
      </w:r>
      <w:r w:rsidR="00A96644"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E</w:t>
      </w:r>
      <w:r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) Cuentas por cobrar</w:t>
      </w:r>
      <w:r w:rsidR="00A96644"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a la SGCAN</w:t>
      </w:r>
      <w:r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:</w:t>
      </w: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</w:t>
      </w:r>
      <w:r w:rsidR="009F6A99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r</w:t>
      </w: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egistro de valores pendientes de reembolso por parte de la SGCAN por las transferencias transitorias del Fondo Financiero.</w:t>
      </w:r>
    </w:p>
    <w:p w14:paraId="298E7653" w14:textId="77777777" w:rsidR="009026A3" w:rsidRPr="009026A3" w:rsidRDefault="009026A3" w:rsidP="009026A3">
      <w:pPr>
        <w:keepNext/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</w:p>
    <w:p w14:paraId="13FB1CC4" w14:textId="1E3F2602" w:rsidR="00141C75" w:rsidRPr="009026A3" w:rsidRDefault="00141C75" w:rsidP="009026A3">
      <w:pPr>
        <w:keepNext/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(</w:t>
      </w:r>
      <w:r w:rsidR="00A96644"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F</w:t>
      </w:r>
      <w:r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) Fondo Financiero una vez reembolsadas las transferencias transitorias (</w:t>
      </w:r>
      <w:r w:rsidR="00A96644"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D</w:t>
      </w:r>
      <w:r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+</w:t>
      </w:r>
      <w:r w:rsidR="00A96644"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E</w:t>
      </w:r>
      <w:r w:rsidRPr="009026A3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): </w:t>
      </w:r>
      <w:r w:rsidR="009F6A99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e</w:t>
      </w: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s el monto del Fondo Financiero una vez que la SGCAN reembolse los montos transferidos transitoriamente</w:t>
      </w:r>
      <w:r w:rsidR="00A96644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.</w:t>
      </w:r>
    </w:p>
    <w:p w14:paraId="77A1E1FB" w14:textId="77777777" w:rsidR="009026A3" w:rsidRPr="0080020B" w:rsidRDefault="009026A3" w:rsidP="009026A3">
      <w:pPr>
        <w:keepNext/>
        <w:spacing w:after="0" w:line="240" w:lineRule="auto"/>
        <w:ind w:right="57"/>
        <w:jc w:val="both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0B8DCA08" w14:textId="41AA78DF" w:rsidR="00065355" w:rsidRPr="0080020B" w:rsidRDefault="0080020B" w:rsidP="009026A3">
      <w:pPr>
        <w:keepNext/>
        <w:spacing w:after="0" w:line="240" w:lineRule="auto"/>
        <w:ind w:right="57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 w:rsidRPr="00FC3D59"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2B48342B" wp14:editId="0C061131">
            <wp:simplePos x="0" y="0"/>
            <wp:positionH relativeFrom="column">
              <wp:posOffset>-405130</wp:posOffset>
            </wp:positionH>
            <wp:positionV relativeFrom="paragraph">
              <wp:posOffset>271780</wp:posOffset>
            </wp:positionV>
            <wp:extent cx="6414135" cy="2026285"/>
            <wp:effectExtent l="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B56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9</w:t>
      </w:r>
      <w:r w:rsidR="008533BA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.</w:t>
      </w:r>
      <w:r w:rsidR="00DA5245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1</w:t>
      </w:r>
      <w:r w:rsidR="008533BA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 xml:space="preserve"> </w:t>
      </w:r>
      <w:r w:rsidR="0080191A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FORMATO</w:t>
      </w:r>
    </w:p>
    <w:p w14:paraId="12AD5133" w14:textId="77777777" w:rsidR="0080020B" w:rsidRDefault="0080020B" w:rsidP="0080020B">
      <w:pPr>
        <w:keepNext/>
        <w:spacing w:after="0" w:line="240" w:lineRule="auto"/>
        <w:ind w:right="57"/>
        <w:jc w:val="both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03825320" w14:textId="77777777" w:rsidR="0080020B" w:rsidRDefault="0080020B" w:rsidP="0080020B">
      <w:pPr>
        <w:keepNext/>
        <w:spacing w:after="0" w:line="240" w:lineRule="auto"/>
        <w:ind w:right="57"/>
        <w:jc w:val="both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316FEF87" w14:textId="48879FC2" w:rsidR="009F3F9B" w:rsidRPr="0080020B" w:rsidRDefault="00D87B56" w:rsidP="0080020B">
      <w:pPr>
        <w:keepNext/>
        <w:spacing w:after="0" w:line="240" w:lineRule="auto"/>
        <w:ind w:right="57"/>
        <w:jc w:val="both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9</w:t>
      </w:r>
      <w:r w:rsid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.</w:t>
      </w:r>
      <w:r w:rsidR="00942220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2</w:t>
      </w:r>
      <w:r w:rsidR="008533BA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 xml:space="preserve"> </w:t>
      </w:r>
      <w:r w:rsidR="009F3F9B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 xml:space="preserve">Reportes a los países miembros respecto de los movimientos del </w:t>
      </w:r>
      <w:r w:rsidR="008533BA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F</w:t>
      </w:r>
      <w:r w:rsidR="009F3F9B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ondo</w:t>
      </w:r>
      <w:r w:rsidR="008533BA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 xml:space="preserve"> Financiero</w:t>
      </w:r>
      <w:r w:rsidR="009F3F9B" w:rsidRPr="0080020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.</w:t>
      </w:r>
    </w:p>
    <w:p w14:paraId="3026CE07" w14:textId="77777777" w:rsidR="0080020B" w:rsidRDefault="0080020B" w:rsidP="0080020B">
      <w:pPr>
        <w:keepNext/>
        <w:spacing w:after="0" w:line="240" w:lineRule="auto"/>
        <w:ind w:right="57"/>
        <w:jc w:val="both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02B21B9C" w14:textId="3E6624D8" w:rsidR="0007577D" w:rsidRPr="0080020B" w:rsidRDefault="00AC6F5B" w:rsidP="0080020B">
      <w:pPr>
        <w:keepNext/>
        <w:spacing w:after="0" w:line="240" w:lineRule="auto"/>
        <w:ind w:right="57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Dentro de los 30 días siguientes </w:t>
      </w:r>
      <w:r w:rsidR="003A0EF2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al vencimiento de cada </w:t>
      </w:r>
      <w:r w:rsidR="00553CCE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bimestre, </w:t>
      </w: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conjuntamente con el informe</w:t>
      </w:r>
      <w:r w:rsidR="000D2091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</w:t>
      </w:r>
      <w:r w:rsidR="0020562A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de ejecución presupuestal </w:t>
      </w:r>
      <w:r w:rsidR="00C80034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correspondiente</w:t>
      </w: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, la </w:t>
      </w:r>
      <w:r w:rsidR="00553CCE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SGCAN</w:t>
      </w: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</w:t>
      </w:r>
      <w:r w:rsidR="00B02AE3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presentará </w:t>
      </w:r>
      <w:r w:rsidR="003904B6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a la Comisión </w:t>
      </w:r>
      <w:r w:rsidR="00826CAB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de la Comunidad Andina </w:t>
      </w: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un informe </w:t>
      </w:r>
      <w:r w:rsidR="003904B6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detallado </w:t>
      </w: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lastRenderedPageBreak/>
        <w:t xml:space="preserve">donde se reporte los movimientos del </w:t>
      </w:r>
      <w:r w:rsidR="00553CCE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Fondo Financiero </w:t>
      </w:r>
      <w:r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durante el periodo</w:t>
      </w:r>
      <w:r w:rsidR="000D2091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informado</w:t>
      </w:r>
      <w:r w:rsidR="0020562A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, en el formato </w:t>
      </w:r>
      <w:r w:rsidR="003904B6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establecido </w:t>
      </w:r>
      <w:r w:rsidR="0020562A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en numeral </w:t>
      </w:r>
      <w:r w:rsidR="003C387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7</w:t>
      </w:r>
      <w:r w:rsidR="0020562A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.1</w:t>
      </w:r>
      <w:r w:rsidR="000D2091" w:rsidRPr="0080020B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.</w:t>
      </w:r>
    </w:p>
    <w:p w14:paraId="188147B5" w14:textId="6D7C4499" w:rsidR="00A63059" w:rsidRPr="0080020B" w:rsidRDefault="00A63059" w:rsidP="0080020B">
      <w:pPr>
        <w:keepNext/>
        <w:spacing w:after="0" w:line="240" w:lineRule="auto"/>
        <w:ind w:right="57"/>
        <w:jc w:val="both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311909D1" w14:textId="596E2CF5" w:rsidR="00A63059" w:rsidRDefault="00A63059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 w:rsidRPr="00FF1CF1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CAPÍTULO I</w:t>
      </w:r>
      <w:r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I</w:t>
      </w:r>
    </w:p>
    <w:p w14:paraId="72BF91B6" w14:textId="77777777" w:rsidR="00A63059" w:rsidRDefault="00A63059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</w:p>
    <w:p w14:paraId="46E963CE" w14:textId="1E5C002A" w:rsidR="009F3F9B" w:rsidRPr="00BB3854" w:rsidRDefault="005E3F4B" w:rsidP="00BB3854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 w:rsidRPr="005E3F4B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ORIGEN DE LOS RECURSOS DEL FONDO FINANCIERO</w:t>
      </w:r>
      <w:r w:rsidR="003C3876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 xml:space="preserve"> </w:t>
      </w:r>
      <w:r w:rsidR="00BB3854"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DE RESERVA</w:t>
      </w:r>
    </w:p>
    <w:p w14:paraId="158DE774" w14:textId="77777777" w:rsidR="001071EE" w:rsidRDefault="001071EE" w:rsidP="001071EE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6D55EB7" w14:textId="12FD2C01" w:rsidR="000D2091" w:rsidRPr="00EE679C" w:rsidRDefault="00BB3854" w:rsidP="001071E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Artículo </w:t>
      </w:r>
      <w:r w:rsidR="00D87B56">
        <w:rPr>
          <w:rFonts w:ascii="Arial" w:hAnsi="Arial" w:cs="Arial"/>
          <w:b/>
          <w:bCs/>
          <w:sz w:val="24"/>
          <w:szCs w:val="24"/>
          <w:lang w:val="es-ES"/>
        </w:rPr>
        <w:t>10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.- </w:t>
      </w:r>
      <w:r w:rsidR="00EF7474" w:rsidRPr="00EE679C">
        <w:rPr>
          <w:rFonts w:ascii="Arial" w:hAnsi="Arial" w:cs="Arial"/>
          <w:sz w:val="24"/>
          <w:szCs w:val="24"/>
          <w:lang w:val="es-ES"/>
        </w:rPr>
        <w:t xml:space="preserve">El Fondo Financiero </w:t>
      </w:r>
      <w:r>
        <w:rPr>
          <w:rFonts w:ascii="Arial" w:hAnsi="Arial" w:cs="Arial"/>
          <w:sz w:val="24"/>
          <w:szCs w:val="24"/>
          <w:lang w:val="es-ES"/>
        </w:rPr>
        <w:t>de Reserva</w:t>
      </w:r>
      <w:r w:rsidRPr="00EE679C">
        <w:rPr>
          <w:rFonts w:ascii="Arial" w:hAnsi="Arial" w:cs="Arial"/>
          <w:sz w:val="24"/>
          <w:szCs w:val="24"/>
          <w:lang w:val="es-ES"/>
        </w:rPr>
        <w:t xml:space="preserve"> </w:t>
      </w:r>
      <w:r w:rsidR="006708C0" w:rsidRPr="00EE679C">
        <w:rPr>
          <w:rFonts w:ascii="Arial" w:hAnsi="Arial" w:cs="Arial"/>
          <w:sz w:val="24"/>
          <w:szCs w:val="24"/>
          <w:lang w:val="es-ES"/>
        </w:rPr>
        <w:t>lo constituyen</w:t>
      </w:r>
      <w:r w:rsidR="00426904" w:rsidRPr="00EE679C">
        <w:rPr>
          <w:rFonts w:ascii="Arial" w:hAnsi="Arial" w:cs="Arial"/>
          <w:sz w:val="24"/>
          <w:szCs w:val="24"/>
          <w:lang w:val="es-ES"/>
        </w:rPr>
        <w:t xml:space="preserve"> los </w:t>
      </w:r>
      <w:r w:rsidR="007431C6" w:rsidRPr="00EE679C">
        <w:rPr>
          <w:rFonts w:ascii="Arial" w:hAnsi="Arial" w:cs="Arial"/>
          <w:sz w:val="24"/>
          <w:szCs w:val="24"/>
          <w:lang w:val="es-ES"/>
        </w:rPr>
        <w:t>saldos presupuestarios de la SGCAN</w:t>
      </w:r>
      <w:r w:rsidR="00426904" w:rsidRPr="00EE679C">
        <w:rPr>
          <w:rFonts w:ascii="Arial" w:hAnsi="Arial" w:cs="Arial"/>
          <w:sz w:val="24"/>
          <w:szCs w:val="24"/>
          <w:lang w:val="es-ES"/>
        </w:rPr>
        <w:t xml:space="preserve"> de los ejercicios anteriores al 2</w:t>
      </w:r>
      <w:r w:rsidR="00E83D50" w:rsidRPr="00EE679C">
        <w:rPr>
          <w:rFonts w:ascii="Arial" w:hAnsi="Arial" w:cs="Arial"/>
          <w:sz w:val="24"/>
          <w:szCs w:val="24"/>
          <w:lang w:val="es-ES"/>
        </w:rPr>
        <w:t>018, o posteriores que estén disponibles, en el monto que se determine anualmente</w:t>
      </w:r>
      <w:r w:rsidR="006708C0" w:rsidRPr="00EE679C">
        <w:rPr>
          <w:rFonts w:ascii="Arial" w:hAnsi="Arial" w:cs="Arial"/>
          <w:sz w:val="24"/>
          <w:szCs w:val="24"/>
          <w:lang w:val="es-ES"/>
        </w:rPr>
        <w:t xml:space="preserve"> por la Comisión</w:t>
      </w:r>
      <w:r w:rsidR="003904B6" w:rsidRPr="00EE679C">
        <w:rPr>
          <w:rStyle w:val="Refdecomentario"/>
          <w:rFonts w:ascii="Arial" w:hAnsi="Arial" w:cs="Arial"/>
          <w:sz w:val="24"/>
          <w:szCs w:val="24"/>
        </w:rPr>
        <w:t>.</w:t>
      </w:r>
    </w:p>
    <w:p w14:paraId="2BA43EC8" w14:textId="3FB2757E" w:rsidR="00876468" w:rsidRPr="00EE679C" w:rsidRDefault="006543A6" w:rsidP="00F526E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E679C">
        <w:rPr>
          <w:rFonts w:ascii="Arial" w:hAnsi="Arial" w:cs="Arial"/>
          <w:sz w:val="24"/>
          <w:szCs w:val="24"/>
          <w:lang w:val="es-ES"/>
        </w:rPr>
        <w:t>Con corte al 31 de diciembre de 2020</w:t>
      </w:r>
      <w:r w:rsidR="00F84871" w:rsidRPr="00EE679C">
        <w:rPr>
          <w:rFonts w:ascii="Arial" w:hAnsi="Arial" w:cs="Arial"/>
          <w:sz w:val="24"/>
          <w:szCs w:val="24"/>
          <w:lang w:val="es-ES"/>
        </w:rPr>
        <w:t>,</w:t>
      </w:r>
      <w:r w:rsidRPr="00EE679C">
        <w:rPr>
          <w:rFonts w:ascii="Arial" w:hAnsi="Arial" w:cs="Arial"/>
          <w:sz w:val="24"/>
          <w:szCs w:val="24"/>
          <w:lang w:val="es-ES"/>
        </w:rPr>
        <w:t xml:space="preserve"> la </w:t>
      </w:r>
      <w:r w:rsidR="00F84871" w:rsidRPr="00EE679C">
        <w:rPr>
          <w:rFonts w:ascii="Arial" w:hAnsi="Arial" w:cs="Arial"/>
          <w:sz w:val="24"/>
          <w:szCs w:val="24"/>
          <w:lang w:val="es-ES"/>
        </w:rPr>
        <w:t xml:space="preserve">SGCAN </w:t>
      </w:r>
      <w:r w:rsidRPr="00EE679C">
        <w:rPr>
          <w:rFonts w:ascii="Arial" w:hAnsi="Arial" w:cs="Arial"/>
          <w:sz w:val="24"/>
          <w:szCs w:val="24"/>
          <w:lang w:val="es-ES"/>
        </w:rPr>
        <w:t xml:space="preserve">dispone de saldos en efectivo y sus equivalentes por un monto total de </w:t>
      </w:r>
      <w:r w:rsidR="00F84871" w:rsidRPr="00EE679C">
        <w:rPr>
          <w:rFonts w:ascii="Arial" w:hAnsi="Arial" w:cs="Arial"/>
          <w:sz w:val="24"/>
          <w:szCs w:val="24"/>
          <w:lang w:val="es-ES"/>
        </w:rPr>
        <w:t xml:space="preserve">USD </w:t>
      </w:r>
      <w:r w:rsidRPr="00EE679C">
        <w:rPr>
          <w:rFonts w:ascii="Arial" w:hAnsi="Arial" w:cs="Arial"/>
          <w:sz w:val="24"/>
          <w:szCs w:val="24"/>
          <w:lang w:val="es-ES"/>
        </w:rPr>
        <w:t>$ 8</w:t>
      </w:r>
      <w:r w:rsidR="00F84871" w:rsidRPr="00EE679C">
        <w:rPr>
          <w:rFonts w:ascii="Arial" w:hAnsi="Arial" w:cs="Arial"/>
          <w:sz w:val="24"/>
          <w:szCs w:val="24"/>
          <w:lang w:val="es-ES"/>
        </w:rPr>
        <w:t>,</w:t>
      </w:r>
      <w:r w:rsidRPr="00EE679C">
        <w:rPr>
          <w:rFonts w:ascii="Arial" w:hAnsi="Arial" w:cs="Arial"/>
          <w:sz w:val="24"/>
          <w:szCs w:val="24"/>
          <w:lang w:val="es-ES"/>
        </w:rPr>
        <w:t>297</w:t>
      </w:r>
      <w:r w:rsidR="00F84871" w:rsidRPr="00EE679C">
        <w:rPr>
          <w:rFonts w:ascii="Arial" w:hAnsi="Arial" w:cs="Arial"/>
          <w:sz w:val="24"/>
          <w:szCs w:val="24"/>
          <w:lang w:val="es-ES"/>
        </w:rPr>
        <w:t>,</w:t>
      </w:r>
      <w:r w:rsidRPr="00EE679C">
        <w:rPr>
          <w:rFonts w:ascii="Arial" w:hAnsi="Arial" w:cs="Arial"/>
          <w:sz w:val="24"/>
          <w:szCs w:val="24"/>
          <w:lang w:val="es-ES"/>
        </w:rPr>
        <w:t>246</w:t>
      </w:r>
      <w:r w:rsidR="00F84871" w:rsidRPr="00EE679C">
        <w:rPr>
          <w:rFonts w:ascii="Arial" w:hAnsi="Arial" w:cs="Arial"/>
          <w:sz w:val="24"/>
          <w:szCs w:val="24"/>
          <w:lang w:val="es-ES"/>
        </w:rPr>
        <w:t>.</w:t>
      </w:r>
      <w:r w:rsidRPr="00EE679C">
        <w:rPr>
          <w:rFonts w:ascii="Arial" w:hAnsi="Arial" w:cs="Arial"/>
          <w:sz w:val="24"/>
          <w:szCs w:val="24"/>
          <w:lang w:val="es-ES"/>
        </w:rPr>
        <w:t>74 (ocho millones doscientos noventa y siete mil doscientos cuarenta y seis con 74/100 dólares</w:t>
      </w:r>
      <w:r w:rsidR="00F84871" w:rsidRPr="00EE679C">
        <w:rPr>
          <w:rFonts w:ascii="Arial" w:hAnsi="Arial" w:cs="Arial"/>
          <w:sz w:val="24"/>
          <w:szCs w:val="24"/>
          <w:lang w:val="es-ES"/>
        </w:rPr>
        <w:t xml:space="preserve"> americanos</w:t>
      </w:r>
      <w:r w:rsidRPr="00EE679C">
        <w:rPr>
          <w:rFonts w:ascii="Arial" w:hAnsi="Arial" w:cs="Arial"/>
          <w:sz w:val="24"/>
          <w:szCs w:val="24"/>
          <w:lang w:val="es-ES"/>
        </w:rPr>
        <w:t>)</w:t>
      </w:r>
      <w:r w:rsidR="00BA2B00" w:rsidRPr="00EE679C">
        <w:rPr>
          <w:rFonts w:ascii="Arial" w:hAnsi="Arial" w:cs="Arial"/>
          <w:sz w:val="24"/>
          <w:szCs w:val="24"/>
          <w:lang w:val="es-ES"/>
        </w:rPr>
        <w:t xml:space="preserve"> </w:t>
      </w:r>
      <w:r w:rsidR="0019590D">
        <w:rPr>
          <w:rFonts w:ascii="Arial" w:hAnsi="Arial" w:cs="Arial"/>
          <w:sz w:val="24"/>
          <w:szCs w:val="24"/>
          <w:lang w:val="es-ES"/>
        </w:rPr>
        <w:t>tal como se detalla a continuación</w:t>
      </w:r>
      <w:r w:rsidR="00BA2B00" w:rsidRPr="00EE679C">
        <w:rPr>
          <w:rFonts w:ascii="Arial" w:hAnsi="Arial" w:cs="Arial"/>
          <w:sz w:val="24"/>
          <w:szCs w:val="24"/>
          <w:lang w:val="es-ES"/>
        </w:rPr>
        <w:t>:</w:t>
      </w:r>
    </w:p>
    <w:p w14:paraId="67DDE220" w14:textId="2218E59D" w:rsidR="00605113" w:rsidRDefault="00605113" w:rsidP="00605113">
      <w:pPr>
        <w:jc w:val="center"/>
        <w:rPr>
          <w:noProof/>
          <w:lang w:val="en-US"/>
        </w:rPr>
      </w:pPr>
      <w:r w:rsidRPr="00605113">
        <w:rPr>
          <w:noProof/>
          <w:lang w:val="en-US"/>
        </w:rPr>
        <w:drawing>
          <wp:inline distT="0" distB="0" distL="0" distR="0" wp14:anchorId="68819C47" wp14:editId="533E8FA1">
            <wp:extent cx="4552950" cy="2247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737D" w14:textId="269A01E7" w:rsidR="00A13790" w:rsidRPr="00895781" w:rsidRDefault="00BB3854" w:rsidP="001071EE">
      <w:pPr>
        <w:jc w:val="both"/>
        <w:rPr>
          <w:rFonts w:ascii="Arial" w:hAnsi="Arial" w:cs="Arial"/>
          <w:sz w:val="14"/>
          <w:szCs w:val="14"/>
          <w:lang w:val="es-ES"/>
        </w:rPr>
      </w:pPr>
      <w:r w:rsidRPr="008B4A24">
        <w:rPr>
          <w:rFonts w:ascii="Arial" w:hAnsi="Arial" w:cs="Arial"/>
          <w:b/>
          <w:bCs/>
          <w:sz w:val="24"/>
          <w:szCs w:val="24"/>
          <w:lang w:val="es-ES"/>
        </w:rPr>
        <w:t xml:space="preserve">Artículo </w:t>
      </w:r>
      <w:r w:rsidR="00D87B56">
        <w:rPr>
          <w:rFonts w:ascii="Arial" w:hAnsi="Arial" w:cs="Arial"/>
          <w:b/>
          <w:bCs/>
          <w:sz w:val="24"/>
          <w:szCs w:val="24"/>
          <w:lang w:val="es-ES"/>
        </w:rPr>
        <w:t>11</w:t>
      </w:r>
      <w:r w:rsidRPr="008B4A24">
        <w:rPr>
          <w:rFonts w:ascii="Arial" w:hAnsi="Arial" w:cs="Arial"/>
          <w:b/>
          <w:bCs/>
          <w:sz w:val="24"/>
          <w:szCs w:val="24"/>
          <w:lang w:val="es-ES"/>
        </w:rPr>
        <w:t>.-</w:t>
      </w:r>
      <w:r>
        <w:rPr>
          <w:rFonts w:ascii="Arial" w:hAnsi="Arial" w:cs="Arial"/>
          <w:sz w:val="24"/>
          <w:szCs w:val="24"/>
          <w:lang w:val="es-ES"/>
        </w:rPr>
        <w:t xml:space="preserve"> De conformidad</w:t>
      </w:r>
      <w:r w:rsidR="00A13790">
        <w:rPr>
          <w:rFonts w:ascii="Arial" w:hAnsi="Arial" w:cs="Arial"/>
          <w:sz w:val="24"/>
          <w:szCs w:val="24"/>
          <w:lang w:val="es-ES"/>
        </w:rPr>
        <w:t xml:space="preserve"> con lo dispuesto en el artículo 28 del Acuerdo de Cartagena y en aras </w:t>
      </w:r>
      <w:r w:rsidR="00A13790" w:rsidRPr="00EE679C">
        <w:rPr>
          <w:rFonts w:ascii="Arial" w:hAnsi="Arial" w:cs="Arial"/>
          <w:sz w:val="24"/>
          <w:szCs w:val="24"/>
          <w:lang w:val="es-ES"/>
        </w:rPr>
        <w:t xml:space="preserve">de proteger la liquidez de la SGCAN, el monto de apertura del Fondo </w:t>
      </w:r>
      <w:r w:rsidR="00942220">
        <w:rPr>
          <w:rFonts w:ascii="Arial" w:hAnsi="Arial" w:cs="Arial"/>
          <w:sz w:val="24"/>
          <w:szCs w:val="24"/>
          <w:lang w:val="es-ES"/>
        </w:rPr>
        <w:t xml:space="preserve">Financiero </w:t>
      </w:r>
      <w:r w:rsidR="00A13790">
        <w:rPr>
          <w:rFonts w:ascii="Arial" w:hAnsi="Arial" w:cs="Arial"/>
          <w:sz w:val="24"/>
          <w:szCs w:val="24"/>
          <w:lang w:val="es-ES"/>
        </w:rPr>
        <w:t>de Reserva</w:t>
      </w:r>
      <w:r w:rsidR="00A13790" w:rsidRPr="00EE679C">
        <w:rPr>
          <w:rFonts w:ascii="Arial" w:hAnsi="Arial" w:cs="Arial"/>
          <w:sz w:val="24"/>
          <w:szCs w:val="24"/>
          <w:lang w:val="es-ES"/>
        </w:rPr>
        <w:t xml:space="preserve"> será el equivalente al presupuesto de la </w:t>
      </w:r>
      <w:r w:rsidR="00A13790" w:rsidRPr="003A4582">
        <w:rPr>
          <w:rFonts w:ascii="Arial" w:hAnsi="Arial" w:cs="Arial"/>
          <w:sz w:val="24"/>
          <w:szCs w:val="24"/>
          <w:lang w:val="es-ES"/>
        </w:rPr>
        <w:t>SGCAN, para una vigencia anual</w:t>
      </w:r>
      <w:r w:rsidR="00A13790">
        <w:rPr>
          <w:rFonts w:ascii="Arial" w:hAnsi="Arial" w:cs="Arial"/>
          <w:sz w:val="24"/>
          <w:szCs w:val="24"/>
          <w:lang w:val="es-ES"/>
        </w:rPr>
        <w:t xml:space="preserve">.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137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</w:p>
    <w:p w14:paraId="62A08F42" w14:textId="63650FBE" w:rsidR="00EF2BEA" w:rsidRPr="008B4A24" w:rsidRDefault="00962230" w:rsidP="008B4A24">
      <w:pPr>
        <w:ind w:firstLine="360"/>
        <w:jc w:val="both"/>
        <w:rPr>
          <w:rFonts w:ascii="Arial" w:hAnsi="Arial" w:cs="Arial"/>
          <w:sz w:val="24"/>
          <w:szCs w:val="24"/>
          <w:lang w:val="es-ES"/>
        </w:rPr>
      </w:pPr>
      <w:r w:rsidRPr="008B4A24">
        <w:rPr>
          <w:rFonts w:ascii="Arial" w:hAnsi="Arial" w:cs="Arial"/>
          <w:sz w:val="24"/>
          <w:szCs w:val="24"/>
          <w:lang w:val="es-ES"/>
        </w:rPr>
        <w:t>En consecuencia, f</w:t>
      </w:r>
      <w:r w:rsidR="00F15F59" w:rsidRPr="008B4A24">
        <w:rPr>
          <w:rFonts w:ascii="Arial" w:hAnsi="Arial" w:cs="Arial"/>
          <w:sz w:val="24"/>
          <w:szCs w:val="24"/>
          <w:lang w:val="es-ES"/>
        </w:rPr>
        <w:t>íjese</w:t>
      </w:r>
      <w:r w:rsidR="004C11F3" w:rsidRPr="008B4A24">
        <w:rPr>
          <w:rFonts w:ascii="Arial" w:hAnsi="Arial" w:cs="Arial"/>
          <w:sz w:val="24"/>
          <w:szCs w:val="24"/>
          <w:lang w:val="es-ES"/>
        </w:rPr>
        <w:t xml:space="preserve"> como monto de apertura del Fondo Financiero </w:t>
      </w:r>
      <w:r w:rsidR="00C54760">
        <w:rPr>
          <w:rFonts w:ascii="Arial" w:hAnsi="Arial" w:cs="Arial"/>
          <w:sz w:val="24"/>
          <w:szCs w:val="24"/>
          <w:lang w:val="es-ES"/>
        </w:rPr>
        <w:t>de Reserva</w:t>
      </w:r>
      <w:r w:rsidR="00C54760" w:rsidRPr="008B4A24">
        <w:rPr>
          <w:rFonts w:ascii="Arial" w:hAnsi="Arial" w:cs="Arial"/>
          <w:sz w:val="24"/>
          <w:szCs w:val="24"/>
          <w:lang w:val="es-ES"/>
        </w:rPr>
        <w:t xml:space="preserve"> </w:t>
      </w:r>
      <w:r w:rsidR="004C11F3" w:rsidRPr="008B4A24">
        <w:rPr>
          <w:rFonts w:ascii="Arial" w:hAnsi="Arial" w:cs="Arial"/>
          <w:sz w:val="24"/>
          <w:szCs w:val="24"/>
          <w:lang w:val="es-ES"/>
        </w:rPr>
        <w:t xml:space="preserve">la suma de </w:t>
      </w:r>
      <w:r w:rsidR="0008748F" w:rsidRPr="008B4A24">
        <w:rPr>
          <w:rFonts w:ascii="Arial" w:hAnsi="Arial" w:cs="Arial"/>
          <w:sz w:val="24"/>
          <w:szCs w:val="24"/>
          <w:lang w:val="es-ES"/>
        </w:rPr>
        <w:t>USD $ 5.659.200 (</w:t>
      </w:r>
      <w:r w:rsidR="00F15F59" w:rsidRPr="008B4A24">
        <w:rPr>
          <w:rFonts w:ascii="Arial" w:hAnsi="Arial" w:cs="Arial"/>
          <w:sz w:val="24"/>
          <w:szCs w:val="24"/>
          <w:lang w:val="es-ES"/>
        </w:rPr>
        <w:t>cinco millones seis cientos cincuenta y nueve mil doscientos dólares americanos</w:t>
      </w:r>
      <w:r w:rsidR="0008748F" w:rsidRPr="008B4A24">
        <w:rPr>
          <w:rFonts w:ascii="Arial" w:hAnsi="Arial" w:cs="Arial"/>
          <w:sz w:val="24"/>
          <w:szCs w:val="24"/>
          <w:lang w:val="es-ES"/>
        </w:rPr>
        <w:t>)</w:t>
      </w:r>
      <w:r w:rsidR="001B71B5">
        <w:rPr>
          <w:rFonts w:ascii="Arial" w:hAnsi="Arial" w:cs="Arial"/>
          <w:sz w:val="24"/>
          <w:szCs w:val="24"/>
          <w:lang w:val="es-ES"/>
        </w:rPr>
        <w:t>.</w:t>
      </w:r>
      <w:r w:rsidR="00F15F59" w:rsidRPr="008B4A24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545470F" w14:textId="43503AF9" w:rsidR="00C51CC0" w:rsidRDefault="008B4A24" w:rsidP="001071EE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Artículo 1</w:t>
      </w:r>
      <w:r w:rsidR="00D87B56">
        <w:rPr>
          <w:rFonts w:ascii="Arial" w:hAnsi="Arial" w:cs="Arial"/>
          <w:b/>
          <w:bCs/>
          <w:sz w:val="24"/>
          <w:szCs w:val="24"/>
          <w:lang w:val="es-ES"/>
        </w:rPr>
        <w:t>2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.- </w:t>
      </w:r>
      <w:r w:rsidR="00C51CC0" w:rsidRPr="00EE679C">
        <w:rPr>
          <w:rFonts w:ascii="Arial" w:hAnsi="Arial" w:cs="Arial"/>
          <w:bCs/>
          <w:sz w:val="24"/>
          <w:szCs w:val="24"/>
          <w:lang w:val="es-ES"/>
        </w:rPr>
        <w:t>El presente reglamento podrá ser modificado por la Comisión, a iniciativa de</w:t>
      </w:r>
      <w:r w:rsidR="003A4582">
        <w:rPr>
          <w:rFonts w:ascii="Arial" w:hAnsi="Arial" w:cs="Arial"/>
          <w:bCs/>
          <w:sz w:val="24"/>
          <w:szCs w:val="24"/>
          <w:lang w:val="es-ES"/>
        </w:rPr>
        <w:t>l</w:t>
      </w:r>
      <w:r w:rsidR="00C51CC0" w:rsidRPr="00EE679C">
        <w:rPr>
          <w:rFonts w:ascii="Arial" w:hAnsi="Arial" w:cs="Arial"/>
          <w:bCs/>
          <w:sz w:val="24"/>
          <w:szCs w:val="24"/>
          <w:lang w:val="es-ES"/>
        </w:rPr>
        <w:t xml:space="preserve"> Grupo de Presupuesto o de la SGCAN</w:t>
      </w:r>
      <w:r w:rsidR="00881A3A">
        <w:rPr>
          <w:rFonts w:ascii="Arial" w:hAnsi="Arial" w:cs="Arial"/>
          <w:bCs/>
          <w:sz w:val="24"/>
          <w:szCs w:val="24"/>
          <w:lang w:val="es-ES"/>
        </w:rPr>
        <w:t>,</w:t>
      </w:r>
      <w:r w:rsidR="00C51CC0" w:rsidRPr="00EE679C">
        <w:rPr>
          <w:rFonts w:ascii="Arial" w:hAnsi="Arial" w:cs="Arial"/>
          <w:bCs/>
          <w:sz w:val="24"/>
          <w:szCs w:val="24"/>
          <w:lang w:val="es-ES"/>
        </w:rPr>
        <w:t xml:space="preserve"> previa </w:t>
      </w:r>
      <w:r w:rsidR="003A4582">
        <w:rPr>
          <w:rFonts w:ascii="Arial" w:hAnsi="Arial" w:cs="Arial"/>
          <w:bCs/>
          <w:sz w:val="24"/>
          <w:szCs w:val="24"/>
          <w:lang w:val="es-ES"/>
        </w:rPr>
        <w:t xml:space="preserve">recomendación </w:t>
      </w:r>
      <w:r w:rsidR="00C51CC0" w:rsidRPr="00EE679C">
        <w:rPr>
          <w:rFonts w:ascii="Arial" w:hAnsi="Arial" w:cs="Arial"/>
          <w:bCs/>
          <w:sz w:val="24"/>
          <w:szCs w:val="24"/>
          <w:lang w:val="es-ES"/>
        </w:rPr>
        <w:t>del Grupo de Presupuesto.</w:t>
      </w:r>
    </w:p>
    <w:p w14:paraId="2055C345" w14:textId="1530E045" w:rsidR="00942220" w:rsidRDefault="008B4A24" w:rsidP="00942220">
      <w:pPr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DISPOSICIÓN FINAL</w:t>
      </w:r>
    </w:p>
    <w:p w14:paraId="695A8F48" w14:textId="4A8DB393" w:rsidR="004F3FE5" w:rsidRPr="00EB0922" w:rsidRDefault="008B4A24" w:rsidP="001071EE">
      <w:pPr>
        <w:jc w:val="both"/>
        <w:rPr>
          <w:rFonts w:ascii="Arial" w:eastAsia="Arial" w:hAnsi="Arial" w:cs="Arial"/>
          <w:color w:val="0E1115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Artículo 1</w:t>
      </w:r>
      <w:r w:rsidR="00D87B56">
        <w:rPr>
          <w:rFonts w:ascii="Arial" w:hAnsi="Arial" w:cs="Arial"/>
          <w:b/>
          <w:bCs/>
          <w:sz w:val="24"/>
          <w:szCs w:val="24"/>
          <w:lang w:val="es-ES"/>
        </w:rPr>
        <w:t>3</w:t>
      </w:r>
      <w:r>
        <w:rPr>
          <w:rFonts w:ascii="Arial" w:hAnsi="Arial" w:cs="Arial"/>
          <w:b/>
          <w:bCs/>
          <w:sz w:val="24"/>
          <w:szCs w:val="24"/>
          <w:lang w:val="es-ES"/>
        </w:rPr>
        <w:t>.-</w:t>
      </w:r>
      <w:r w:rsidR="004F3FE5" w:rsidRPr="008B4A24">
        <w:rPr>
          <w:rFonts w:ascii="Arial" w:eastAsia="Arial" w:hAnsi="Arial" w:cs="Arial"/>
          <w:color w:val="0E1115"/>
          <w:sz w:val="24"/>
          <w:szCs w:val="24"/>
        </w:rPr>
        <w:t>La presente Decisión entrará en vigencia</w:t>
      </w:r>
      <w:r>
        <w:rPr>
          <w:rFonts w:ascii="Arial" w:eastAsia="Arial" w:hAnsi="Arial" w:cs="Arial"/>
          <w:color w:val="0E1115"/>
          <w:sz w:val="24"/>
          <w:szCs w:val="24"/>
        </w:rPr>
        <w:t xml:space="preserve"> a partir de</w:t>
      </w:r>
      <w:r w:rsidR="004F3FE5" w:rsidRPr="008B4A24">
        <w:rPr>
          <w:rFonts w:ascii="Arial" w:hAnsi="Arial" w:cs="Arial"/>
        </w:rPr>
        <w:t xml:space="preserve"> </w:t>
      </w:r>
      <w:r w:rsidR="004F3FE5" w:rsidRPr="00EB0922">
        <w:rPr>
          <w:rFonts w:ascii="Arial" w:eastAsia="Arial" w:hAnsi="Arial" w:cs="Arial"/>
          <w:color w:val="0E1115"/>
          <w:sz w:val="24"/>
          <w:szCs w:val="24"/>
        </w:rPr>
        <w:t>la fecha de su publicación en la Gaceta Oficial del Acuerdo de Cartagena.</w:t>
      </w:r>
    </w:p>
    <w:p w14:paraId="4D89AE3B" w14:textId="478EBF37" w:rsidR="007A785E" w:rsidRPr="004F3FE5" w:rsidRDefault="004F3FE5" w:rsidP="001071EE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79312F">
        <w:rPr>
          <w:rFonts w:ascii="Arial" w:hAnsi="Arial" w:cs="Arial"/>
          <w:lang w:val="es-ES_tradnl"/>
        </w:rPr>
        <w:t>Dada en la</w:t>
      </w:r>
      <w:r>
        <w:rPr>
          <w:rFonts w:ascii="Arial" w:hAnsi="Arial" w:cs="Arial"/>
          <w:lang w:val="es-ES_tradnl"/>
        </w:rPr>
        <w:t xml:space="preserve"> ciudad de Lima, Perú, a los </w:t>
      </w:r>
      <w:r w:rsidR="001071EE">
        <w:rPr>
          <w:rFonts w:ascii="Arial" w:hAnsi="Arial" w:cs="Arial"/>
          <w:lang w:val="es-ES_tradnl"/>
        </w:rPr>
        <w:t>veintitrés</w:t>
      </w:r>
      <w:r>
        <w:rPr>
          <w:rFonts w:ascii="Arial" w:hAnsi="Arial" w:cs="Arial"/>
          <w:lang w:val="es-ES_tradnl"/>
        </w:rPr>
        <w:t xml:space="preserve"> </w:t>
      </w:r>
      <w:r w:rsidRPr="0079312F">
        <w:rPr>
          <w:rFonts w:ascii="Arial" w:hAnsi="Arial" w:cs="Arial"/>
          <w:lang w:val="es-ES_tradnl"/>
        </w:rPr>
        <w:t>días del mes de</w:t>
      </w:r>
      <w:r>
        <w:rPr>
          <w:rFonts w:ascii="Arial" w:hAnsi="Arial" w:cs="Arial"/>
          <w:lang w:val="es-ES_tradnl"/>
        </w:rPr>
        <w:t xml:space="preserve"> </w:t>
      </w:r>
      <w:r w:rsidR="001071EE">
        <w:rPr>
          <w:rFonts w:ascii="Arial" w:hAnsi="Arial" w:cs="Arial"/>
          <w:lang w:val="es-ES_tradnl"/>
        </w:rPr>
        <w:t>junio</w:t>
      </w:r>
      <w:r>
        <w:rPr>
          <w:rFonts w:ascii="Arial" w:hAnsi="Arial" w:cs="Arial"/>
          <w:lang w:val="es-ES_tradnl"/>
        </w:rPr>
        <w:t xml:space="preserve"> </w:t>
      </w:r>
      <w:r w:rsidRPr="0079312F">
        <w:rPr>
          <w:rFonts w:ascii="Arial" w:hAnsi="Arial" w:cs="Arial"/>
          <w:lang w:val="es-ES_tradnl"/>
        </w:rPr>
        <w:t xml:space="preserve">del año </w:t>
      </w:r>
      <w:r>
        <w:rPr>
          <w:rFonts w:ascii="Arial" w:hAnsi="Arial" w:cs="Arial"/>
          <w:lang w:val="es-ES_tradnl"/>
        </w:rPr>
        <w:t>dos mil veintiuno.</w:t>
      </w:r>
    </w:p>
    <w:sectPr w:rsidR="007A785E" w:rsidRPr="004F3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E80FF" w14:textId="77777777" w:rsidR="00EA5DAC" w:rsidRDefault="00EA5DAC" w:rsidP="00F511DB">
      <w:pPr>
        <w:spacing w:after="0" w:line="240" w:lineRule="auto"/>
      </w:pPr>
      <w:r>
        <w:separator/>
      </w:r>
    </w:p>
  </w:endnote>
  <w:endnote w:type="continuationSeparator" w:id="0">
    <w:p w14:paraId="51A51817" w14:textId="77777777" w:rsidR="00EA5DAC" w:rsidRDefault="00EA5DAC" w:rsidP="00F5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2A99" w14:textId="77777777" w:rsidR="00EA5DAC" w:rsidRDefault="00EA5DAC" w:rsidP="00F511DB">
      <w:pPr>
        <w:spacing w:after="0" w:line="240" w:lineRule="auto"/>
      </w:pPr>
      <w:r>
        <w:separator/>
      </w:r>
    </w:p>
  </w:footnote>
  <w:footnote w:type="continuationSeparator" w:id="0">
    <w:p w14:paraId="776A61E5" w14:textId="77777777" w:rsidR="00EA5DAC" w:rsidRDefault="00EA5DAC" w:rsidP="00F5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C21"/>
    <w:multiLevelType w:val="multilevel"/>
    <w:tmpl w:val="51325856"/>
    <w:lvl w:ilvl="0">
      <w:start w:val="1"/>
      <w:numFmt w:val="decimal"/>
      <w:lvlText w:val="[%1]"/>
      <w:lvlJc w:val="left"/>
      <w:pPr>
        <w:ind w:left="454" w:hanging="454"/>
      </w:pPr>
      <w:rPr>
        <w:b w:val="0"/>
        <w:i w:val="0"/>
        <w:color w:val="000000"/>
        <w:sz w:val="14"/>
        <w:szCs w:val="1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CA3"/>
    <w:multiLevelType w:val="hybridMultilevel"/>
    <w:tmpl w:val="BB02B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EC2"/>
    <w:multiLevelType w:val="hybridMultilevel"/>
    <w:tmpl w:val="9AA2BB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007FF"/>
    <w:multiLevelType w:val="hybridMultilevel"/>
    <w:tmpl w:val="34F898F2"/>
    <w:lvl w:ilvl="0" w:tplc="DB6EBCC4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33828"/>
    <w:multiLevelType w:val="hybridMultilevel"/>
    <w:tmpl w:val="BB3A4432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ED00E1D"/>
    <w:multiLevelType w:val="hybridMultilevel"/>
    <w:tmpl w:val="2D0467A6"/>
    <w:lvl w:ilvl="0" w:tplc="DB6EBCC4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2F1D"/>
    <w:multiLevelType w:val="hybridMultilevel"/>
    <w:tmpl w:val="3256744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095D1A"/>
    <w:multiLevelType w:val="hybridMultilevel"/>
    <w:tmpl w:val="DB90D0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53"/>
    <w:rsid w:val="000041DC"/>
    <w:rsid w:val="00013E46"/>
    <w:rsid w:val="00016FD3"/>
    <w:rsid w:val="00021C5E"/>
    <w:rsid w:val="00034D65"/>
    <w:rsid w:val="00035B09"/>
    <w:rsid w:val="00053283"/>
    <w:rsid w:val="00062AD2"/>
    <w:rsid w:val="00065355"/>
    <w:rsid w:val="0007012A"/>
    <w:rsid w:val="0007577D"/>
    <w:rsid w:val="0008748F"/>
    <w:rsid w:val="0009385B"/>
    <w:rsid w:val="00095A25"/>
    <w:rsid w:val="000A72C5"/>
    <w:rsid w:val="000B09BA"/>
    <w:rsid w:val="000B440B"/>
    <w:rsid w:val="000C137E"/>
    <w:rsid w:val="000D2091"/>
    <w:rsid w:val="000D3908"/>
    <w:rsid w:val="000E08EF"/>
    <w:rsid w:val="000F049A"/>
    <w:rsid w:val="000F292B"/>
    <w:rsid w:val="001007D0"/>
    <w:rsid w:val="00103A38"/>
    <w:rsid w:val="00107043"/>
    <w:rsid w:val="001071EE"/>
    <w:rsid w:val="00130A79"/>
    <w:rsid w:val="001341F1"/>
    <w:rsid w:val="00137481"/>
    <w:rsid w:val="00141C75"/>
    <w:rsid w:val="00155B92"/>
    <w:rsid w:val="001614C3"/>
    <w:rsid w:val="00167F5C"/>
    <w:rsid w:val="00170246"/>
    <w:rsid w:val="00182A54"/>
    <w:rsid w:val="00182B8C"/>
    <w:rsid w:val="00195879"/>
    <w:rsid w:val="0019590D"/>
    <w:rsid w:val="00196BC8"/>
    <w:rsid w:val="001A4EEA"/>
    <w:rsid w:val="001B71B5"/>
    <w:rsid w:val="001B7E2C"/>
    <w:rsid w:val="001D37BC"/>
    <w:rsid w:val="001E7562"/>
    <w:rsid w:val="001F556E"/>
    <w:rsid w:val="002047A7"/>
    <w:rsid w:val="002048C2"/>
    <w:rsid w:val="0020562A"/>
    <w:rsid w:val="002068DD"/>
    <w:rsid w:val="00245CC1"/>
    <w:rsid w:val="00262384"/>
    <w:rsid w:val="002D0EAC"/>
    <w:rsid w:val="002E247C"/>
    <w:rsid w:val="002E47E0"/>
    <w:rsid w:val="002F153B"/>
    <w:rsid w:val="002F70DD"/>
    <w:rsid w:val="00305BB2"/>
    <w:rsid w:val="00315FED"/>
    <w:rsid w:val="003168DF"/>
    <w:rsid w:val="003518A4"/>
    <w:rsid w:val="00363B74"/>
    <w:rsid w:val="0037055B"/>
    <w:rsid w:val="003904B6"/>
    <w:rsid w:val="003A04B6"/>
    <w:rsid w:val="003A0EF2"/>
    <w:rsid w:val="003A27DF"/>
    <w:rsid w:val="003A3D7A"/>
    <w:rsid w:val="003A4582"/>
    <w:rsid w:val="003A5B4E"/>
    <w:rsid w:val="003A74CE"/>
    <w:rsid w:val="003B16E9"/>
    <w:rsid w:val="003C2BF8"/>
    <w:rsid w:val="003C3876"/>
    <w:rsid w:val="003D6185"/>
    <w:rsid w:val="003E3EE8"/>
    <w:rsid w:val="003E74D3"/>
    <w:rsid w:val="00416799"/>
    <w:rsid w:val="00426904"/>
    <w:rsid w:val="00432878"/>
    <w:rsid w:val="00437190"/>
    <w:rsid w:val="004446A9"/>
    <w:rsid w:val="004529D4"/>
    <w:rsid w:val="00465E18"/>
    <w:rsid w:val="004704F9"/>
    <w:rsid w:val="00491102"/>
    <w:rsid w:val="004976EA"/>
    <w:rsid w:val="004C08C9"/>
    <w:rsid w:val="004C11F3"/>
    <w:rsid w:val="004C4A4E"/>
    <w:rsid w:val="004D383B"/>
    <w:rsid w:val="004E0944"/>
    <w:rsid w:val="004F3FE5"/>
    <w:rsid w:val="00505CFC"/>
    <w:rsid w:val="005110B0"/>
    <w:rsid w:val="00526C56"/>
    <w:rsid w:val="00530747"/>
    <w:rsid w:val="00530E7D"/>
    <w:rsid w:val="0054200B"/>
    <w:rsid w:val="00550548"/>
    <w:rsid w:val="00553CCE"/>
    <w:rsid w:val="00556465"/>
    <w:rsid w:val="00567903"/>
    <w:rsid w:val="00575293"/>
    <w:rsid w:val="00575514"/>
    <w:rsid w:val="005766EB"/>
    <w:rsid w:val="0058033D"/>
    <w:rsid w:val="005B6F28"/>
    <w:rsid w:val="005C2427"/>
    <w:rsid w:val="005D0F2B"/>
    <w:rsid w:val="005D1326"/>
    <w:rsid w:val="005E3F4B"/>
    <w:rsid w:val="005E5C60"/>
    <w:rsid w:val="005E5FED"/>
    <w:rsid w:val="005F3F37"/>
    <w:rsid w:val="00605113"/>
    <w:rsid w:val="0061260B"/>
    <w:rsid w:val="00620F95"/>
    <w:rsid w:val="00623250"/>
    <w:rsid w:val="00630E6D"/>
    <w:rsid w:val="00635498"/>
    <w:rsid w:val="0064142B"/>
    <w:rsid w:val="006514B4"/>
    <w:rsid w:val="00653314"/>
    <w:rsid w:val="006543A6"/>
    <w:rsid w:val="006708C0"/>
    <w:rsid w:val="0067576B"/>
    <w:rsid w:val="00684CB4"/>
    <w:rsid w:val="006972E9"/>
    <w:rsid w:val="006B101C"/>
    <w:rsid w:val="006B70F7"/>
    <w:rsid w:val="006C783F"/>
    <w:rsid w:val="006D09F5"/>
    <w:rsid w:val="006D0AB6"/>
    <w:rsid w:val="006E1532"/>
    <w:rsid w:val="006E3AAA"/>
    <w:rsid w:val="00700199"/>
    <w:rsid w:val="00716DC7"/>
    <w:rsid w:val="007201E5"/>
    <w:rsid w:val="00735D7A"/>
    <w:rsid w:val="0074017A"/>
    <w:rsid w:val="007431C6"/>
    <w:rsid w:val="0074408E"/>
    <w:rsid w:val="00745CCA"/>
    <w:rsid w:val="0074758F"/>
    <w:rsid w:val="00747612"/>
    <w:rsid w:val="007501DC"/>
    <w:rsid w:val="00756BCC"/>
    <w:rsid w:val="00763DA6"/>
    <w:rsid w:val="00773FB5"/>
    <w:rsid w:val="00774507"/>
    <w:rsid w:val="0077634F"/>
    <w:rsid w:val="007838E7"/>
    <w:rsid w:val="007841AD"/>
    <w:rsid w:val="00796CCA"/>
    <w:rsid w:val="007A0A92"/>
    <w:rsid w:val="007A785E"/>
    <w:rsid w:val="007B6FF4"/>
    <w:rsid w:val="007C7515"/>
    <w:rsid w:val="007C7A3F"/>
    <w:rsid w:val="007D109F"/>
    <w:rsid w:val="007E6142"/>
    <w:rsid w:val="007F1A9E"/>
    <w:rsid w:val="0080020B"/>
    <w:rsid w:val="00801782"/>
    <w:rsid w:val="0080191A"/>
    <w:rsid w:val="008030C9"/>
    <w:rsid w:val="00810275"/>
    <w:rsid w:val="00822959"/>
    <w:rsid w:val="00826CAB"/>
    <w:rsid w:val="00831D6D"/>
    <w:rsid w:val="00833763"/>
    <w:rsid w:val="00837453"/>
    <w:rsid w:val="008533BA"/>
    <w:rsid w:val="008540E4"/>
    <w:rsid w:val="00862568"/>
    <w:rsid w:val="00876468"/>
    <w:rsid w:val="00881A3A"/>
    <w:rsid w:val="008845D5"/>
    <w:rsid w:val="00895781"/>
    <w:rsid w:val="00895E71"/>
    <w:rsid w:val="008A41B6"/>
    <w:rsid w:val="008B1B82"/>
    <w:rsid w:val="008B4A24"/>
    <w:rsid w:val="008B75D6"/>
    <w:rsid w:val="008D02AB"/>
    <w:rsid w:val="008E1092"/>
    <w:rsid w:val="008E571F"/>
    <w:rsid w:val="008E5E7B"/>
    <w:rsid w:val="008F7F8B"/>
    <w:rsid w:val="009026A3"/>
    <w:rsid w:val="00905746"/>
    <w:rsid w:val="00921880"/>
    <w:rsid w:val="0093593A"/>
    <w:rsid w:val="00940873"/>
    <w:rsid w:val="00942197"/>
    <w:rsid w:val="00942220"/>
    <w:rsid w:val="009452E2"/>
    <w:rsid w:val="00962230"/>
    <w:rsid w:val="00967A3F"/>
    <w:rsid w:val="00985BDB"/>
    <w:rsid w:val="009900E6"/>
    <w:rsid w:val="00991820"/>
    <w:rsid w:val="009A08B6"/>
    <w:rsid w:val="009A4FE1"/>
    <w:rsid w:val="009F3F9B"/>
    <w:rsid w:val="009F592E"/>
    <w:rsid w:val="009F5B17"/>
    <w:rsid w:val="009F6A99"/>
    <w:rsid w:val="00A03F99"/>
    <w:rsid w:val="00A13790"/>
    <w:rsid w:val="00A1478B"/>
    <w:rsid w:val="00A16692"/>
    <w:rsid w:val="00A2011A"/>
    <w:rsid w:val="00A20F53"/>
    <w:rsid w:val="00A25D3E"/>
    <w:rsid w:val="00A63059"/>
    <w:rsid w:val="00A70A7C"/>
    <w:rsid w:val="00A73AE9"/>
    <w:rsid w:val="00A85972"/>
    <w:rsid w:val="00A938B7"/>
    <w:rsid w:val="00A94D16"/>
    <w:rsid w:val="00A95CFF"/>
    <w:rsid w:val="00A96644"/>
    <w:rsid w:val="00AA0617"/>
    <w:rsid w:val="00AA4846"/>
    <w:rsid w:val="00AA5E41"/>
    <w:rsid w:val="00AB4E61"/>
    <w:rsid w:val="00AB7860"/>
    <w:rsid w:val="00AC27B4"/>
    <w:rsid w:val="00AC6F5B"/>
    <w:rsid w:val="00AD0254"/>
    <w:rsid w:val="00B02AE3"/>
    <w:rsid w:val="00B04574"/>
    <w:rsid w:val="00B1524D"/>
    <w:rsid w:val="00B22EB4"/>
    <w:rsid w:val="00B57F5E"/>
    <w:rsid w:val="00B705F0"/>
    <w:rsid w:val="00B80EC5"/>
    <w:rsid w:val="00B86327"/>
    <w:rsid w:val="00B94D36"/>
    <w:rsid w:val="00BA2B00"/>
    <w:rsid w:val="00BB1F3F"/>
    <w:rsid w:val="00BB3854"/>
    <w:rsid w:val="00BB5102"/>
    <w:rsid w:val="00BB5C34"/>
    <w:rsid w:val="00BB6876"/>
    <w:rsid w:val="00BC5B7D"/>
    <w:rsid w:val="00BF0D0D"/>
    <w:rsid w:val="00BF29FD"/>
    <w:rsid w:val="00C12ACD"/>
    <w:rsid w:val="00C133E4"/>
    <w:rsid w:val="00C22AD7"/>
    <w:rsid w:val="00C26A86"/>
    <w:rsid w:val="00C51CC0"/>
    <w:rsid w:val="00C54337"/>
    <w:rsid w:val="00C54760"/>
    <w:rsid w:val="00C64D8B"/>
    <w:rsid w:val="00C80034"/>
    <w:rsid w:val="00CA11AE"/>
    <w:rsid w:val="00CA6B6C"/>
    <w:rsid w:val="00CB06AE"/>
    <w:rsid w:val="00CD2870"/>
    <w:rsid w:val="00CE3E6E"/>
    <w:rsid w:val="00D00BB3"/>
    <w:rsid w:val="00D00E7F"/>
    <w:rsid w:val="00D4615A"/>
    <w:rsid w:val="00D631D8"/>
    <w:rsid w:val="00D67EC4"/>
    <w:rsid w:val="00D74482"/>
    <w:rsid w:val="00D81F58"/>
    <w:rsid w:val="00D835FE"/>
    <w:rsid w:val="00D87B56"/>
    <w:rsid w:val="00D90381"/>
    <w:rsid w:val="00D91846"/>
    <w:rsid w:val="00D9559F"/>
    <w:rsid w:val="00DA01F5"/>
    <w:rsid w:val="00DA5245"/>
    <w:rsid w:val="00DB0A66"/>
    <w:rsid w:val="00DB6034"/>
    <w:rsid w:val="00DC0D3E"/>
    <w:rsid w:val="00DC1BAF"/>
    <w:rsid w:val="00DC6DC5"/>
    <w:rsid w:val="00DE4F7D"/>
    <w:rsid w:val="00DE7758"/>
    <w:rsid w:val="00DF3993"/>
    <w:rsid w:val="00E0257B"/>
    <w:rsid w:val="00E14338"/>
    <w:rsid w:val="00E227B7"/>
    <w:rsid w:val="00E27D11"/>
    <w:rsid w:val="00E44F4B"/>
    <w:rsid w:val="00E45995"/>
    <w:rsid w:val="00E5522B"/>
    <w:rsid w:val="00E62616"/>
    <w:rsid w:val="00E720F8"/>
    <w:rsid w:val="00E74E30"/>
    <w:rsid w:val="00E82401"/>
    <w:rsid w:val="00E83D50"/>
    <w:rsid w:val="00EA5DAC"/>
    <w:rsid w:val="00EB0922"/>
    <w:rsid w:val="00EC1E44"/>
    <w:rsid w:val="00EC289B"/>
    <w:rsid w:val="00ED4C7F"/>
    <w:rsid w:val="00ED6329"/>
    <w:rsid w:val="00EE4582"/>
    <w:rsid w:val="00EE48FB"/>
    <w:rsid w:val="00EE679C"/>
    <w:rsid w:val="00EF2BEA"/>
    <w:rsid w:val="00EF3F86"/>
    <w:rsid w:val="00EF7474"/>
    <w:rsid w:val="00F025BD"/>
    <w:rsid w:val="00F06007"/>
    <w:rsid w:val="00F15F59"/>
    <w:rsid w:val="00F205FB"/>
    <w:rsid w:val="00F37C3E"/>
    <w:rsid w:val="00F511DB"/>
    <w:rsid w:val="00F5158C"/>
    <w:rsid w:val="00F526E0"/>
    <w:rsid w:val="00F64EE2"/>
    <w:rsid w:val="00F71048"/>
    <w:rsid w:val="00F73E63"/>
    <w:rsid w:val="00F84871"/>
    <w:rsid w:val="00F87915"/>
    <w:rsid w:val="00F95788"/>
    <w:rsid w:val="00FA0CAC"/>
    <w:rsid w:val="00FA6F76"/>
    <w:rsid w:val="00FC1488"/>
    <w:rsid w:val="00FC3D59"/>
    <w:rsid w:val="00FC6C81"/>
    <w:rsid w:val="00FE08FE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68C9C"/>
  <w15:chartTrackingRefBased/>
  <w15:docId w15:val="{2E2E6E10-D860-4781-BDF4-202ED824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0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0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5D3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25D3E"/>
    <w:rPr>
      <w:rFonts w:asciiTheme="majorHAnsi" w:eastAsiaTheme="majorEastAsia" w:hAnsiTheme="majorHAnsi" w:cstheme="majorBidi"/>
      <w:b/>
      <w:bCs/>
      <w:color w:val="4472C4" w:themeColor="accent1"/>
      <w:lang w:val="es-AR"/>
    </w:rPr>
  </w:style>
  <w:style w:type="paragraph" w:styleId="Prrafodelista">
    <w:name w:val="List Paragraph"/>
    <w:basedOn w:val="Normal"/>
    <w:uiPriority w:val="34"/>
    <w:qFormat/>
    <w:rsid w:val="009A4F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1DB"/>
  </w:style>
  <w:style w:type="paragraph" w:styleId="Piedepgina">
    <w:name w:val="footer"/>
    <w:basedOn w:val="Normal"/>
    <w:link w:val="PiedepginaCar"/>
    <w:uiPriority w:val="99"/>
    <w:unhideWhenUsed/>
    <w:rsid w:val="00F5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1DB"/>
  </w:style>
  <w:style w:type="character" w:styleId="Refdecomentario">
    <w:name w:val="annotation reference"/>
    <w:basedOn w:val="Fuentedeprrafopredeter"/>
    <w:uiPriority w:val="99"/>
    <w:semiHidden/>
    <w:unhideWhenUsed/>
    <w:rsid w:val="00062A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2A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2A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2A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2AD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B4E61"/>
    <w:pPr>
      <w:spacing w:after="0" w:line="240" w:lineRule="auto"/>
    </w:pPr>
  </w:style>
  <w:style w:type="paragraph" w:styleId="NormalWeb">
    <w:name w:val="Normal (Web)"/>
    <w:basedOn w:val="Normal"/>
    <w:uiPriority w:val="99"/>
    <w:rsid w:val="004F3FE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F3FE5"/>
    <w:pPr>
      <w:spacing w:after="120" w:line="240" w:lineRule="auto"/>
      <w:ind w:left="839" w:right="-357"/>
    </w:pPr>
    <w:rPr>
      <w:rFonts w:ascii="Calibri" w:eastAsia="Times New Roman" w:hAnsi="Calibri" w:cs="Times New Roman"/>
      <w:sz w:val="24"/>
      <w:szCs w:val="24"/>
      <w:lang w:val="es-ES_tradnl"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4F3FE5"/>
    <w:rPr>
      <w:rFonts w:ascii="Calibri" w:eastAsia="Times New Roman" w:hAnsi="Calibri" w:cs="Times New Roman"/>
      <w:sz w:val="24"/>
      <w:szCs w:val="24"/>
      <w:lang w:val="es-ES_tradnl" w:eastAsia="es-PE"/>
    </w:rPr>
  </w:style>
  <w:style w:type="paragraph" w:styleId="Sinespaciado">
    <w:name w:val="No Spacing"/>
    <w:uiPriority w:val="1"/>
    <w:qFormat/>
    <w:rsid w:val="0063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0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05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94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942197"/>
  </w:style>
  <w:style w:type="character" w:customStyle="1" w:styleId="eop">
    <w:name w:val="eop"/>
    <w:basedOn w:val="Fuentedeprrafopredeter"/>
    <w:rsid w:val="0094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15BE-2BB6-4618-9859-DE36B9E7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Roberto Mejia Burbano</dc:creator>
  <cp:keywords/>
  <dc:description/>
  <cp:lastModifiedBy>Miguel Hinostroza Villafuerte</cp:lastModifiedBy>
  <cp:revision>3</cp:revision>
  <dcterms:created xsi:type="dcterms:W3CDTF">2021-06-23T19:53:00Z</dcterms:created>
  <dcterms:modified xsi:type="dcterms:W3CDTF">2021-06-24T03:59:00Z</dcterms:modified>
</cp:coreProperties>
</file>