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699D" w14:textId="5A5FF244" w:rsidR="006C12D9" w:rsidRDefault="006C12D9" w:rsidP="00F62899">
      <w:pPr>
        <w:tabs>
          <w:tab w:val="left" w:pos="3402"/>
        </w:tabs>
        <w:spacing w:after="0" w:line="240" w:lineRule="auto"/>
        <w:ind w:right="5436"/>
        <w:rPr>
          <w:rFonts w:ascii="Arial" w:eastAsia="Calibri" w:hAnsi="Arial" w:cs="Arial"/>
          <w:sz w:val="20"/>
          <w:szCs w:val="20"/>
        </w:rPr>
      </w:pPr>
    </w:p>
    <w:p w14:paraId="2DDDFBF6" w14:textId="77777777" w:rsidR="00F14002" w:rsidRDefault="00F14002" w:rsidP="00F62899">
      <w:pPr>
        <w:tabs>
          <w:tab w:val="left" w:pos="3402"/>
        </w:tabs>
        <w:spacing w:after="0" w:line="240" w:lineRule="auto"/>
        <w:ind w:right="5436"/>
        <w:rPr>
          <w:rFonts w:ascii="Arial" w:eastAsia="Calibri" w:hAnsi="Arial" w:cs="Arial"/>
          <w:sz w:val="20"/>
          <w:szCs w:val="20"/>
        </w:rPr>
      </w:pPr>
    </w:p>
    <w:p w14:paraId="1910242B" w14:textId="2CEF9290" w:rsidR="00AE1604" w:rsidRDefault="00AE1604" w:rsidP="00F62899">
      <w:pPr>
        <w:tabs>
          <w:tab w:val="left" w:pos="3402"/>
        </w:tabs>
        <w:spacing w:after="0" w:line="240" w:lineRule="auto"/>
        <w:ind w:right="5436"/>
        <w:rPr>
          <w:rFonts w:ascii="Arial" w:eastAsia="Calibri" w:hAnsi="Arial" w:cs="Arial"/>
          <w:sz w:val="20"/>
          <w:szCs w:val="20"/>
        </w:rPr>
      </w:pPr>
      <w:r w:rsidRPr="00FB5493">
        <w:rPr>
          <w:rFonts w:ascii="Arial" w:hAnsi="Arial" w:cs="Arial"/>
          <w:noProof/>
          <w:sz w:val="24"/>
          <w:szCs w:val="24"/>
          <w:highlight w:val="yellow"/>
        </w:rPr>
        <w:drawing>
          <wp:anchor distT="0" distB="0" distL="114300" distR="114300" simplePos="0" relativeHeight="251671552" behindDoc="0" locked="0" layoutInCell="1" allowOverlap="1" wp14:anchorId="3EB1AF83" wp14:editId="41A6FBB2">
            <wp:simplePos x="0" y="0"/>
            <wp:positionH relativeFrom="margin">
              <wp:posOffset>0</wp:posOffset>
            </wp:positionH>
            <wp:positionV relativeFrom="paragraph">
              <wp:posOffset>151765</wp:posOffset>
            </wp:positionV>
            <wp:extent cx="2103120" cy="504190"/>
            <wp:effectExtent l="0" t="0" r="0" b="0"/>
            <wp:wrapSquare wrapText="bothSides"/>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7" cstate="print"/>
                    <a:stretch>
                      <a:fillRect/>
                    </a:stretch>
                  </pic:blipFill>
                  <pic:spPr>
                    <a:xfrm>
                      <a:off x="0" y="0"/>
                      <a:ext cx="2103120" cy="504190"/>
                    </a:xfrm>
                    <a:prstGeom prst="rect">
                      <a:avLst/>
                    </a:prstGeom>
                  </pic:spPr>
                </pic:pic>
              </a:graphicData>
            </a:graphic>
          </wp:anchor>
        </w:drawing>
      </w:r>
    </w:p>
    <w:p w14:paraId="7A0D3380" w14:textId="58056965" w:rsidR="00BA6D07" w:rsidRPr="00BA6D07" w:rsidRDefault="00BA6D07" w:rsidP="00BA6D07">
      <w:pPr>
        <w:tabs>
          <w:tab w:val="left" w:pos="3402"/>
        </w:tabs>
        <w:spacing w:after="0" w:line="240" w:lineRule="auto"/>
        <w:ind w:right="4535"/>
        <w:rPr>
          <w:rFonts w:ascii="Arial" w:eastAsia="Calibri" w:hAnsi="Arial" w:cs="Arial"/>
          <w:sz w:val="20"/>
          <w:szCs w:val="20"/>
          <w:lang w:val="es-PE"/>
        </w:rPr>
      </w:pPr>
      <w:r w:rsidRPr="00BA6D07">
        <w:rPr>
          <w:rFonts w:ascii="Arial" w:eastAsia="Calibri" w:hAnsi="Arial" w:cs="Arial"/>
          <w:sz w:val="20"/>
          <w:szCs w:val="20"/>
          <w:lang w:val="es-PE"/>
        </w:rPr>
        <w:t>P</w:t>
      </w:r>
      <w:bookmarkStart w:id="0" w:name="_Hlk62579204"/>
      <w:r w:rsidRPr="00BA6D07">
        <w:rPr>
          <w:rFonts w:ascii="Arial" w:eastAsia="Calibri" w:hAnsi="Arial" w:cs="Arial"/>
          <w:sz w:val="20"/>
          <w:szCs w:val="20"/>
          <w:lang w:val="es-PE"/>
        </w:rPr>
        <w:t xml:space="preserve">ERIODO 153 DE SESIONES EXTRAORDINARIAS </w:t>
      </w:r>
      <w:r>
        <w:rPr>
          <w:rFonts w:ascii="Arial" w:eastAsia="Calibri" w:hAnsi="Arial" w:cs="Arial"/>
          <w:sz w:val="20"/>
          <w:szCs w:val="20"/>
          <w:lang w:val="es-PE"/>
        </w:rPr>
        <w:t>DE LA C</w:t>
      </w:r>
      <w:r w:rsidRPr="00BA6D07">
        <w:rPr>
          <w:rFonts w:ascii="Arial" w:eastAsia="Calibri" w:hAnsi="Arial" w:cs="Arial"/>
          <w:sz w:val="20"/>
          <w:szCs w:val="20"/>
          <w:lang w:val="es-PE"/>
        </w:rPr>
        <w:t>OMISION DE LA COMUNIDAD ANDINA</w:t>
      </w:r>
    </w:p>
    <w:p w14:paraId="677DAD15" w14:textId="77777777" w:rsidR="00BA6D07" w:rsidRPr="00BA6D07" w:rsidRDefault="00BA6D07" w:rsidP="00BA6D07">
      <w:pPr>
        <w:tabs>
          <w:tab w:val="left" w:pos="3402"/>
        </w:tabs>
        <w:spacing w:after="0" w:line="240" w:lineRule="auto"/>
        <w:ind w:right="5436"/>
        <w:rPr>
          <w:rFonts w:ascii="Arial" w:eastAsia="Calibri" w:hAnsi="Arial" w:cs="Arial"/>
          <w:sz w:val="20"/>
          <w:szCs w:val="20"/>
          <w:lang w:val="es-PE"/>
        </w:rPr>
      </w:pPr>
      <w:r w:rsidRPr="006C12D9">
        <w:rPr>
          <w:rFonts w:ascii="Arial" w:eastAsia="Calibri" w:hAnsi="Arial" w:cs="Arial"/>
          <w:sz w:val="20"/>
          <w:szCs w:val="20"/>
          <w:lang w:val="es-PE"/>
        </w:rPr>
        <w:t xml:space="preserve">24 </w:t>
      </w:r>
      <w:r w:rsidRPr="00BA6D07">
        <w:rPr>
          <w:rFonts w:ascii="Arial" w:eastAsia="Calibri" w:hAnsi="Arial" w:cs="Arial"/>
          <w:sz w:val="20"/>
          <w:szCs w:val="20"/>
          <w:lang w:val="es-PE"/>
        </w:rPr>
        <w:t>de febrero de 2021</w:t>
      </w:r>
    </w:p>
    <w:bookmarkEnd w:id="0"/>
    <w:p w14:paraId="5B65FAEF" w14:textId="77777777" w:rsidR="00BA6D07" w:rsidRPr="00BA6D07" w:rsidRDefault="00BA6D07" w:rsidP="00BA6D07">
      <w:pPr>
        <w:tabs>
          <w:tab w:val="left" w:pos="3402"/>
        </w:tabs>
        <w:spacing w:after="0" w:line="240" w:lineRule="auto"/>
        <w:ind w:right="5436"/>
        <w:rPr>
          <w:rFonts w:ascii="Arial" w:eastAsia="Calibri" w:hAnsi="Arial" w:cs="Arial"/>
          <w:sz w:val="20"/>
          <w:szCs w:val="20"/>
          <w:lang w:val="es-PE"/>
        </w:rPr>
      </w:pPr>
      <w:r w:rsidRPr="00BA6D07">
        <w:rPr>
          <w:rFonts w:ascii="Arial" w:eastAsia="Calibri" w:hAnsi="Arial" w:cs="Arial"/>
          <w:sz w:val="20"/>
          <w:szCs w:val="20"/>
          <w:lang w:val="es-PE"/>
        </w:rPr>
        <w:t>Modalidad videoconferencia</w:t>
      </w:r>
    </w:p>
    <w:p w14:paraId="29297DB5" w14:textId="77777777" w:rsidR="00F62899" w:rsidRDefault="00F62899" w:rsidP="00F62899">
      <w:pPr>
        <w:spacing w:before="78" w:after="0" w:line="240" w:lineRule="auto"/>
        <w:ind w:left="2694" w:right="3133"/>
        <w:jc w:val="both"/>
        <w:rPr>
          <w:rFonts w:ascii="Arial" w:eastAsia="Arial" w:hAnsi="Arial" w:cs="Arial"/>
          <w:b/>
          <w:bCs/>
          <w:sz w:val="24"/>
          <w:szCs w:val="24"/>
          <w:lang w:val="es-PE"/>
        </w:rPr>
      </w:pPr>
    </w:p>
    <w:p w14:paraId="19426385" w14:textId="77777777" w:rsidR="00F62899" w:rsidRDefault="00F62899" w:rsidP="003232EB">
      <w:pPr>
        <w:spacing w:before="78" w:after="0" w:line="240" w:lineRule="auto"/>
        <w:ind w:left="2694" w:right="3133"/>
        <w:jc w:val="center"/>
        <w:rPr>
          <w:rFonts w:ascii="Arial" w:eastAsia="Arial" w:hAnsi="Arial" w:cs="Arial"/>
          <w:b/>
          <w:bCs/>
          <w:sz w:val="24"/>
          <w:szCs w:val="24"/>
          <w:lang w:val="es-PE"/>
        </w:rPr>
      </w:pPr>
    </w:p>
    <w:p w14:paraId="05501C55" w14:textId="77777777" w:rsidR="00F62899" w:rsidRDefault="00F62899" w:rsidP="003232EB">
      <w:pPr>
        <w:spacing w:before="78" w:after="0" w:line="240" w:lineRule="auto"/>
        <w:ind w:left="2694" w:right="3133"/>
        <w:jc w:val="center"/>
        <w:rPr>
          <w:rFonts w:ascii="Arial" w:eastAsia="Arial" w:hAnsi="Arial" w:cs="Arial"/>
          <w:b/>
          <w:bCs/>
          <w:sz w:val="24"/>
          <w:szCs w:val="24"/>
          <w:lang w:val="es-PE"/>
        </w:rPr>
      </w:pPr>
    </w:p>
    <w:p w14:paraId="7E843D32" w14:textId="2AACDA77" w:rsidR="00C7595F" w:rsidRPr="00AF6975" w:rsidRDefault="00C7595F" w:rsidP="003232EB">
      <w:pPr>
        <w:spacing w:before="78" w:after="0" w:line="240" w:lineRule="auto"/>
        <w:ind w:left="2694" w:right="3133"/>
        <w:jc w:val="center"/>
        <w:rPr>
          <w:rFonts w:ascii="Arial" w:eastAsia="Arial" w:hAnsi="Arial" w:cs="Arial"/>
          <w:b/>
          <w:bCs/>
          <w:spacing w:val="-12"/>
          <w:sz w:val="24"/>
          <w:szCs w:val="24"/>
          <w:lang w:val="es-PE"/>
        </w:rPr>
      </w:pPr>
      <w:r w:rsidRPr="00AF6975">
        <w:rPr>
          <w:rFonts w:ascii="Arial" w:eastAsia="Arial" w:hAnsi="Arial" w:cs="Arial"/>
          <w:b/>
          <w:bCs/>
          <w:sz w:val="24"/>
          <w:szCs w:val="24"/>
          <w:lang w:val="es-PE"/>
        </w:rPr>
        <w:t>DECISIÓN</w:t>
      </w:r>
      <w:r w:rsidR="006038F3">
        <w:rPr>
          <w:rFonts w:ascii="Arial" w:eastAsia="Arial" w:hAnsi="Arial" w:cs="Arial"/>
          <w:b/>
          <w:bCs/>
          <w:sz w:val="24"/>
          <w:szCs w:val="24"/>
          <w:lang w:val="es-PE"/>
        </w:rPr>
        <w:t xml:space="preserve"> </w:t>
      </w:r>
      <w:r w:rsidR="00BA6D07">
        <w:rPr>
          <w:rFonts w:ascii="Arial" w:eastAsia="Arial" w:hAnsi="Arial" w:cs="Arial"/>
          <w:b/>
          <w:bCs/>
          <w:spacing w:val="-12"/>
          <w:sz w:val="24"/>
          <w:szCs w:val="24"/>
          <w:lang w:val="es-PE"/>
        </w:rPr>
        <w:t>874</w:t>
      </w:r>
    </w:p>
    <w:p w14:paraId="08857CD8" w14:textId="1FE7AA64" w:rsidR="00804B28" w:rsidRPr="00AF6975" w:rsidRDefault="00804B28" w:rsidP="00804B28">
      <w:pPr>
        <w:spacing w:before="29"/>
        <w:ind w:left="5245" w:right="141"/>
        <w:jc w:val="both"/>
        <w:rPr>
          <w:rFonts w:ascii="Arial" w:eastAsia="Arial" w:hAnsi="Arial" w:cs="Arial"/>
          <w:sz w:val="24"/>
          <w:szCs w:val="24"/>
          <w:lang w:val="es-PE"/>
        </w:rPr>
      </w:pPr>
      <w:r w:rsidRPr="00AF6975">
        <w:rPr>
          <w:rFonts w:ascii="Arial" w:eastAsia="Arial" w:hAnsi="Arial" w:cs="Arial"/>
          <w:sz w:val="24"/>
          <w:szCs w:val="24"/>
          <w:lang w:val="es-PE"/>
        </w:rPr>
        <w:t>Presupuesto de la Secretaría General para el año 2021</w:t>
      </w:r>
    </w:p>
    <w:p w14:paraId="179D1B94" w14:textId="6BC48D6A" w:rsidR="00804B28" w:rsidRPr="00AF6975" w:rsidRDefault="00804B28" w:rsidP="00804B28">
      <w:pPr>
        <w:spacing w:line="234" w:lineRule="auto"/>
        <w:ind w:right="169"/>
        <w:jc w:val="both"/>
        <w:rPr>
          <w:rFonts w:ascii="Arial" w:hAnsi="Arial" w:cs="Arial"/>
          <w:sz w:val="24"/>
          <w:szCs w:val="24"/>
          <w:lang w:val="es-PE"/>
        </w:rPr>
      </w:pPr>
      <w:r w:rsidRPr="00AF6975">
        <w:rPr>
          <w:rFonts w:ascii="Arial" w:eastAsia="Arial" w:hAnsi="Arial" w:cs="Arial"/>
          <w:b/>
          <w:color w:val="0E1115"/>
          <w:position w:val="-3"/>
          <w:sz w:val="24"/>
          <w:szCs w:val="24"/>
          <w:lang w:val="es-PE"/>
        </w:rPr>
        <w:t>LA</w:t>
      </w:r>
      <w:r w:rsidRPr="00AF6975">
        <w:rPr>
          <w:rFonts w:ascii="Arial" w:eastAsia="Arial" w:hAnsi="Arial" w:cs="Arial"/>
          <w:b/>
          <w:color w:val="0E1115"/>
          <w:spacing w:val="4"/>
          <w:position w:val="-3"/>
          <w:sz w:val="24"/>
          <w:szCs w:val="24"/>
          <w:lang w:val="es-PE"/>
        </w:rPr>
        <w:t xml:space="preserve"> </w:t>
      </w:r>
      <w:r w:rsidRPr="00AF6975">
        <w:rPr>
          <w:rFonts w:ascii="Arial" w:eastAsia="Arial" w:hAnsi="Arial" w:cs="Arial"/>
          <w:b/>
          <w:color w:val="0E1115"/>
          <w:position w:val="-3"/>
          <w:sz w:val="24"/>
          <w:szCs w:val="24"/>
          <w:lang w:val="es-PE"/>
        </w:rPr>
        <w:t>COMISIÓN</w:t>
      </w:r>
      <w:r w:rsidRPr="00AF6975">
        <w:rPr>
          <w:rFonts w:ascii="Arial" w:eastAsia="Arial" w:hAnsi="Arial" w:cs="Arial"/>
          <w:b/>
          <w:color w:val="0E1115"/>
          <w:spacing w:val="-6"/>
          <w:position w:val="-3"/>
          <w:sz w:val="24"/>
          <w:szCs w:val="24"/>
          <w:lang w:val="es-PE"/>
        </w:rPr>
        <w:t xml:space="preserve"> </w:t>
      </w:r>
      <w:r w:rsidRPr="00AF6975">
        <w:rPr>
          <w:rFonts w:ascii="Arial" w:eastAsia="Arial" w:hAnsi="Arial" w:cs="Arial"/>
          <w:b/>
          <w:color w:val="0E1115"/>
          <w:position w:val="-3"/>
          <w:sz w:val="24"/>
          <w:szCs w:val="24"/>
          <w:lang w:val="es-PE"/>
        </w:rPr>
        <w:t>DE</w:t>
      </w:r>
      <w:r w:rsidRPr="00AF6975">
        <w:rPr>
          <w:rFonts w:ascii="Arial" w:eastAsia="Arial" w:hAnsi="Arial" w:cs="Arial"/>
          <w:b/>
          <w:color w:val="0E1115"/>
          <w:spacing w:val="1"/>
          <w:position w:val="-3"/>
          <w:sz w:val="24"/>
          <w:szCs w:val="24"/>
          <w:lang w:val="es-PE"/>
        </w:rPr>
        <w:t xml:space="preserve"> </w:t>
      </w:r>
      <w:r w:rsidRPr="00AF6975">
        <w:rPr>
          <w:rFonts w:ascii="Arial" w:eastAsia="Arial" w:hAnsi="Arial" w:cs="Arial"/>
          <w:b/>
          <w:color w:val="0E1115"/>
          <w:position w:val="-3"/>
          <w:sz w:val="24"/>
          <w:szCs w:val="24"/>
          <w:lang w:val="es-PE"/>
        </w:rPr>
        <w:t>LA</w:t>
      </w:r>
      <w:r w:rsidRPr="00AF6975">
        <w:rPr>
          <w:rFonts w:ascii="Arial" w:eastAsia="Arial" w:hAnsi="Arial" w:cs="Arial"/>
          <w:b/>
          <w:color w:val="0E1115"/>
          <w:spacing w:val="-4"/>
          <w:position w:val="-3"/>
          <w:sz w:val="24"/>
          <w:szCs w:val="24"/>
          <w:lang w:val="es-PE"/>
        </w:rPr>
        <w:t xml:space="preserve"> </w:t>
      </w:r>
      <w:r w:rsidRPr="00AF6975">
        <w:rPr>
          <w:rFonts w:ascii="Arial" w:eastAsia="Arial" w:hAnsi="Arial" w:cs="Arial"/>
          <w:b/>
          <w:color w:val="0E1115"/>
          <w:position w:val="-3"/>
          <w:sz w:val="24"/>
          <w:szCs w:val="24"/>
          <w:lang w:val="es-PE"/>
        </w:rPr>
        <w:t>COMUNIDAD</w:t>
      </w:r>
      <w:r w:rsidRPr="00AF6975">
        <w:rPr>
          <w:rFonts w:ascii="Arial" w:eastAsia="Arial" w:hAnsi="Arial" w:cs="Arial"/>
          <w:b/>
          <w:color w:val="0E1115"/>
          <w:spacing w:val="-14"/>
          <w:position w:val="-3"/>
          <w:sz w:val="24"/>
          <w:szCs w:val="24"/>
          <w:lang w:val="es-PE"/>
        </w:rPr>
        <w:t xml:space="preserve"> </w:t>
      </w:r>
      <w:r w:rsidRPr="00AF6975">
        <w:rPr>
          <w:rFonts w:ascii="Arial" w:eastAsia="Arial" w:hAnsi="Arial" w:cs="Arial"/>
          <w:b/>
          <w:color w:val="0E1115"/>
          <w:position w:val="-3"/>
          <w:sz w:val="24"/>
          <w:szCs w:val="24"/>
          <w:lang w:val="es-PE"/>
        </w:rPr>
        <w:t>ANDINA,</w:t>
      </w:r>
    </w:p>
    <w:p w14:paraId="0137CAC5" w14:textId="77777777" w:rsidR="00804B28" w:rsidRPr="00AF6975" w:rsidRDefault="00804B28" w:rsidP="00804B28">
      <w:pPr>
        <w:ind w:firstLine="708"/>
        <w:jc w:val="both"/>
        <w:rPr>
          <w:rFonts w:ascii="Arial" w:hAnsi="Arial" w:cs="Arial"/>
          <w:sz w:val="24"/>
          <w:szCs w:val="24"/>
          <w:lang w:val="es-PE"/>
        </w:rPr>
      </w:pPr>
      <w:r w:rsidRPr="00AF6975">
        <w:rPr>
          <w:rFonts w:ascii="Arial" w:hAnsi="Arial" w:cs="Arial"/>
          <w:b/>
          <w:sz w:val="24"/>
          <w:szCs w:val="24"/>
          <w:lang w:val="es-PE"/>
        </w:rPr>
        <w:t>VISTOS:</w:t>
      </w:r>
      <w:r w:rsidRPr="00AF6975">
        <w:rPr>
          <w:rFonts w:ascii="Arial" w:hAnsi="Arial" w:cs="Arial"/>
          <w:sz w:val="24"/>
          <w:szCs w:val="24"/>
          <w:lang w:val="es-PE"/>
        </w:rPr>
        <w:t xml:space="preserve"> Los artículos 22 literal i), 27 y 34 literal e) del Acuerdo de Cartagena, el artículo 11 literal p) y el Capítulo IV de la Decisión 409 que contiene el Reglamento de la Secretaría General, el literal i) del Artículo 11 del Reglamento de la Comisión la Decisión 471, la Resolución 1733 de la Secretaría General, y, </w:t>
      </w:r>
    </w:p>
    <w:p w14:paraId="194C20DA" w14:textId="77777777" w:rsidR="00804B28" w:rsidRPr="00AF6975" w:rsidRDefault="00804B28" w:rsidP="00804B28">
      <w:pPr>
        <w:ind w:right="169" w:firstLine="567"/>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CONSIDERANDO:</w:t>
      </w:r>
      <w:r w:rsidRPr="00AF6975">
        <w:rPr>
          <w:rFonts w:ascii="Arial" w:eastAsia="Arial" w:hAnsi="Arial" w:cs="Arial"/>
          <w:color w:val="0E1115"/>
          <w:sz w:val="24"/>
          <w:szCs w:val="24"/>
          <w:lang w:val="es-PE"/>
        </w:rPr>
        <w:t xml:space="preserve"> Que, el artículo 33 de la Decisión 409 establece que el presupuesto de la Secretaría General deberá elaborarse en función de su Programa Anual de Labores;</w:t>
      </w:r>
    </w:p>
    <w:p w14:paraId="70F9748D" w14:textId="77777777" w:rsidR="00804B28" w:rsidRPr="00AF6975" w:rsidRDefault="00804B28" w:rsidP="00804B28">
      <w:pPr>
        <w:ind w:firstLine="567"/>
        <w:jc w:val="both"/>
        <w:rPr>
          <w:rFonts w:ascii="Arial" w:eastAsia="Arial" w:hAnsi="Arial" w:cs="Arial"/>
          <w:color w:val="0E1115"/>
          <w:sz w:val="24"/>
          <w:szCs w:val="24"/>
          <w:lang w:val="es-PE"/>
        </w:rPr>
      </w:pPr>
      <w:r w:rsidRPr="00AF6975">
        <w:rPr>
          <w:rFonts w:ascii="Arial" w:eastAsia="Arial" w:hAnsi="Arial" w:cs="Arial"/>
          <w:color w:val="0E1115"/>
          <w:sz w:val="24"/>
          <w:szCs w:val="24"/>
          <w:lang w:val="es-PE"/>
        </w:rPr>
        <w:t>Que, dicho Programa Anual de Labores para el año 2021 fue remitido a los representantes de la Comisión el 16 de diciembre de 2020;</w:t>
      </w:r>
    </w:p>
    <w:p w14:paraId="71B29AB9" w14:textId="77777777" w:rsidR="00804B28" w:rsidRPr="00AF6975" w:rsidRDefault="00804B28" w:rsidP="00804B28">
      <w:pPr>
        <w:ind w:firstLine="567"/>
        <w:jc w:val="both"/>
        <w:rPr>
          <w:rFonts w:ascii="Arial" w:eastAsia="Arial" w:hAnsi="Arial" w:cs="Arial"/>
          <w:color w:val="0E1115"/>
          <w:sz w:val="24"/>
          <w:szCs w:val="24"/>
          <w:lang w:val="es-PE"/>
        </w:rPr>
      </w:pPr>
      <w:r w:rsidRPr="00AF6975">
        <w:rPr>
          <w:rFonts w:ascii="Arial" w:eastAsia="Arial" w:hAnsi="Arial" w:cs="Arial"/>
          <w:color w:val="0E1115"/>
          <w:sz w:val="24"/>
          <w:szCs w:val="24"/>
          <w:lang w:val="es-PE"/>
        </w:rPr>
        <w:t xml:space="preserve">Que, en el marco de la Reingeniería del Sistema Andino de Integración, la Decisión 792 estableció la priorización de los ámbitos de acción de la Comunidad Andina y en el artículo 7 de dicha Decisión, encomendó a la Secretaría General el uso eficaz de sus recursos evitando la dispersión para sacar adelante una Comunidad Andina más transparente, más racionalizada, más proactiva, más organizada y más eficiente; </w:t>
      </w:r>
    </w:p>
    <w:p w14:paraId="156314B7" w14:textId="6C577E05" w:rsidR="0062025F" w:rsidRDefault="00804B28" w:rsidP="0062025F">
      <w:pPr>
        <w:ind w:firstLine="567"/>
        <w:jc w:val="both"/>
        <w:rPr>
          <w:rFonts w:ascii="Arial" w:eastAsia="Arial" w:hAnsi="Arial" w:cs="Arial"/>
          <w:color w:val="0E1115"/>
          <w:sz w:val="24"/>
          <w:szCs w:val="24"/>
          <w:lang w:val="es-PE"/>
        </w:rPr>
      </w:pPr>
      <w:r w:rsidRPr="00AF6975">
        <w:rPr>
          <w:rFonts w:ascii="Arial" w:eastAsia="Arial" w:hAnsi="Arial" w:cs="Arial"/>
          <w:color w:val="0E1115"/>
          <w:sz w:val="24"/>
          <w:szCs w:val="24"/>
          <w:lang w:val="es-PE"/>
        </w:rPr>
        <w:t xml:space="preserve">Que, conforme a lo previsto en el artículo 22, literal i) del Acuerdo de Cartagena, y 11 literal i) del Reglamento de la Comisión, corresponde a este órgano aprobar el presupuesto anual y evaluar la ejecución presupuestal de la Secretaría General de la Comunidad Andina, así como fijar la contribución de cada uno de los Países Miembros; </w:t>
      </w:r>
    </w:p>
    <w:p w14:paraId="22AEF1E0" w14:textId="77777777" w:rsidR="0062025F" w:rsidRDefault="0062025F" w:rsidP="0062025F">
      <w:pPr>
        <w:ind w:firstLine="567"/>
        <w:jc w:val="both"/>
        <w:rPr>
          <w:rFonts w:ascii="Arial" w:eastAsia="Arial" w:hAnsi="Arial" w:cs="Arial"/>
          <w:color w:val="0E1115"/>
          <w:sz w:val="24"/>
          <w:szCs w:val="24"/>
          <w:lang w:val="es-PE"/>
        </w:rPr>
      </w:pPr>
      <w:r w:rsidRPr="0062025F">
        <w:rPr>
          <w:rFonts w:ascii="Arial" w:eastAsia="Arial" w:hAnsi="Arial" w:cs="Arial"/>
          <w:color w:val="0E1115"/>
          <w:sz w:val="24"/>
          <w:szCs w:val="24"/>
          <w:lang w:val="es-PE"/>
        </w:rPr>
        <w:t>Que, la Organización Mundial de la Salud ha calificado, con fecha 11 de marzo de 2020, el brote del COVID-19 como una pandemia al haberse extendido en más de cien países del mundo de manera simultánea;</w:t>
      </w:r>
    </w:p>
    <w:p w14:paraId="39C0270C" w14:textId="0BA50A41" w:rsidR="0062025F" w:rsidRDefault="00356B39" w:rsidP="0062025F">
      <w:pPr>
        <w:ind w:firstLine="567"/>
        <w:jc w:val="both"/>
        <w:rPr>
          <w:rFonts w:ascii="Arial" w:eastAsia="Arial" w:hAnsi="Arial" w:cs="Arial"/>
          <w:color w:val="0E1115"/>
          <w:sz w:val="24"/>
          <w:szCs w:val="24"/>
          <w:lang w:val="es-PE"/>
        </w:rPr>
      </w:pPr>
      <w:r w:rsidRPr="00356B39">
        <w:rPr>
          <w:rFonts w:ascii="Arial" w:eastAsia="Arial" w:hAnsi="Arial" w:cs="Arial"/>
          <w:color w:val="0E1115"/>
          <w:sz w:val="24"/>
          <w:szCs w:val="24"/>
          <w:lang w:val="es-PE"/>
        </w:rPr>
        <w:lastRenderedPageBreak/>
        <w:t>Que, a principios de marzo del año 2020, los Países Miembros, con el objetivo de mitigar el efecto económico debido a la propagación del COVID-19, han adoptado medidas de austeridad, y en este marco, la Secretaría General hace suyo el compromiso de usar los recursos asignados con prudencia y moderación</w:t>
      </w:r>
      <w:r w:rsidR="00652D0A">
        <w:rPr>
          <w:rFonts w:ascii="Arial" w:eastAsia="Arial" w:hAnsi="Arial" w:cs="Arial"/>
          <w:color w:val="0E1115"/>
          <w:sz w:val="24"/>
          <w:szCs w:val="24"/>
          <w:lang w:val="es-PE"/>
        </w:rPr>
        <w:t>,</w:t>
      </w:r>
      <w:r w:rsidR="00266E94" w:rsidRPr="00652D0A">
        <w:rPr>
          <w:rFonts w:ascii="Arial" w:eastAsia="Arial" w:hAnsi="Arial" w:cs="Arial"/>
          <w:color w:val="0E1115"/>
          <w:sz w:val="24"/>
          <w:szCs w:val="24"/>
          <w:lang w:val="es-PE"/>
        </w:rPr>
        <w:t xml:space="preserve"> </w:t>
      </w:r>
      <w:r w:rsidR="00266E94" w:rsidRPr="002D4145">
        <w:rPr>
          <w:rFonts w:ascii="Arial" w:eastAsia="Arial" w:hAnsi="Arial" w:cs="Arial"/>
          <w:color w:val="0E1115"/>
          <w:sz w:val="24"/>
          <w:szCs w:val="24"/>
          <w:lang w:val="es-PE"/>
        </w:rPr>
        <w:t>siguiendo las recomendaciones establecidas por el Grupo Presupuesto</w:t>
      </w:r>
      <w:r w:rsidRPr="00652D0A">
        <w:rPr>
          <w:rFonts w:ascii="Arial" w:eastAsia="Arial" w:hAnsi="Arial" w:cs="Arial"/>
          <w:color w:val="0E1115"/>
          <w:sz w:val="24"/>
          <w:szCs w:val="24"/>
          <w:lang w:val="es-PE"/>
        </w:rPr>
        <w:t>;</w:t>
      </w:r>
    </w:p>
    <w:p w14:paraId="0B75CB08" w14:textId="4A163BE0" w:rsidR="00804B28" w:rsidRPr="00AF6975" w:rsidRDefault="0062025F" w:rsidP="0062025F">
      <w:pPr>
        <w:ind w:firstLine="567"/>
        <w:jc w:val="both"/>
        <w:rPr>
          <w:rFonts w:ascii="Arial" w:eastAsia="Arial" w:hAnsi="Arial" w:cs="Arial"/>
          <w:color w:val="0E1115"/>
          <w:sz w:val="24"/>
          <w:szCs w:val="24"/>
          <w:lang w:val="es-PE"/>
        </w:rPr>
      </w:pPr>
      <w:r w:rsidRPr="0062025F">
        <w:rPr>
          <w:rFonts w:ascii="Arial" w:eastAsia="Arial" w:hAnsi="Arial" w:cs="Arial"/>
          <w:color w:val="0E1115"/>
          <w:sz w:val="24"/>
          <w:szCs w:val="24"/>
          <w:lang w:val="es-PE"/>
        </w:rPr>
        <w:t>Que, los Países Miembros requieren adoptar medidas necesarias y extraordinarias para garantizar la continuidad del funcionamiento de los O</w:t>
      </w:r>
      <w:r>
        <w:rPr>
          <w:rFonts w:ascii="Arial" w:eastAsia="Arial" w:hAnsi="Arial" w:cs="Arial"/>
          <w:color w:val="0E1115"/>
          <w:sz w:val="24"/>
          <w:szCs w:val="24"/>
          <w:lang w:val="es-PE"/>
        </w:rPr>
        <w:t>r</w:t>
      </w:r>
      <w:r w:rsidRPr="0062025F">
        <w:rPr>
          <w:rFonts w:ascii="Arial" w:eastAsia="Arial" w:hAnsi="Arial" w:cs="Arial"/>
          <w:color w:val="0E1115"/>
          <w:sz w:val="24"/>
          <w:szCs w:val="24"/>
          <w:lang w:val="es-PE"/>
        </w:rPr>
        <w:t>ganismos del SAI durante y después de la emergencia sanitaria provocada por el COVID-19, facilitando y garantizando la integración</w:t>
      </w:r>
      <w:r>
        <w:rPr>
          <w:rFonts w:ascii="Arial" w:eastAsia="Arial" w:hAnsi="Arial" w:cs="Arial"/>
          <w:color w:val="0E1115"/>
          <w:sz w:val="24"/>
          <w:szCs w:val="24"/>
          <w:lang w:val="es-PE"/>
        </w:rPr>
        <w:t xml:space="preserve">; </w:t>
      </w:r>
      <w:r w:rsidR="00804B28" w:rsidRPr="00AF6975">
        <w:rPr>
          <w:rFonts w:ascii="Arial" w:eastAsia="Arial" w:hAnsi="Arial" w:cs="Arial"/>
          <w:color w:val="0E1115"/>
          <w:sz w:val="24"/>
          <w:szCs w:val="24"/>
          <w:lang w:val="es-PE"/>
        </w:rPr>
        <w:t>y,</w:t>
      </w:r>
    </w:p>
    <w:p w14:paraId="0CBC8916" w14:textId="21124861" w:rsidR="00804B28" w:rsidRPr="00AF6975" w:rsidRDefault="00804B28" w:rsidP="00804B28">
      <w:pPr>
        <w:ind w:left="-284" w:right="169" w:firstLine="710"/>
        <w:jc w:val="center"/>
        <w:rPr>
          <w:rFonts w:ascii="Arial" w:eastAsia="Arial" w:hAnsi="Arial" w:cs="Arial"/>
          <w:b/>
          <w:color w:val="0E1115"/>
          <w:sz w:val="24"/>
          <w:szCs w:val="24"/>
          <w:lang w:val="es-PE"/>
        </w:rPr>
      </w:pPr>
      <w:r w:rsidRPr="00AF6975">
        <w:rPr>
          <w:rFonts w:ascii="Arial" w:eastAsia="Arial" w:hAnsi="Arial" w:cs="Arial"/>
          <w:b/>
          <w:color w:val="0E1115"/>
          <w:sz w:val="24"/>
          <w:szCs w:val="24"/>
          <w:lang w:val="es-PE"/>
        </w:rPr>
        <w:t>DECIDE:</w:t>
      </w:r>
    </w:p>
    <w:p w14:paraId="3673D299" w14:textId="77777777" w:rsidR="00804B28" w:rsidRPr="00AF6975" w:rsidRDefault="00804B28" w:rsidP="00804B28">
      <w:pPr>
        <w:ind w:right="-1"/>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 xml:space="preserve">Artículo 1.- </w:t>
      </w:r>
      <w:r w:rsidRPr="00AF6975">
        <w:rPr>
          <w:rFonts w:ascii="Arial" w:eastAsia="Arial" w:hAnsi="Arial" w:cs="Arial"/>
          <w:color w:val="0E1115"/>
          <w:sz w:val="24"/>
          <w:szCs w:val="24"/>
          <w:lang w:val="es-PE"/>
        </w:rPr>
        <w:t>Aprobar el Presupuesto de la Secretaría General correspondiente al año 2021 que figura en el Anexo de la presente Decisión y cuya suma total asciende a US$ 5.659.200,00 (cinco millones seiscientos cincuenta y nueve mil doscientos dólares americanos).</w:t>
      </w:r>
    </w:p>
    <w:p w14:paraId="3413D6C6" w14:textId="7F9C5354" w:rsidR="00804B28" w:rsidRDefault="00804B28" w:rsidP="00804B28">
      <w:pPr>
        <w:tabs>
          <w:tab w:val="left" w:pos="8364"/>
        </w:tabs>
        <w:spacing w:before="60"/>
        <w:ind w:right="-1"/>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Artículo 2.-</w:t>
      </w:r>
      <w:r w:rsidRPr="00AF6975">
        <w:rPr>
          <w:rFonts w:ascii="Arial" w:eastAsia="Arial" w:hAnsi="Arial" w:cs="Arial"/>
          <w:color w:val="0E1115"/>
          <w:sz w:val="24"/>
          <w:szCs w:val="24"/>
          <w:lang w:val="es-PE"/>
        </w:rPr>
        <w:t xml:space="preserve"> Fijar para el año 2021 la contribución de los Países Miembros a dicho Presupuesto en los siguientes montos:</w:t>
      </w:r>
    </w:p>
    <w:p w14:paraId="2B35AE49" w14:textId="77777777" w:rsidR="00F14002" w:rsidRPr="00AF6975" w:rsidRDefault="00F14002" w:rsidP="00F14002">
      <w:pPr>
        <w:tabs>
          <w:tab w:val="left" w:pos="8364"/>
        </w:tabs>
        <w:spacing w:before="60" w:after="0"/>
        <w:ind w:right="-1"/>
        <w:jc w:val="both"/>
        <w:rPr>
          <w:rFonts w:ascii="Arial" w:eastAsia="Arial" w:hAnsi="Arial" w:cs="Arial"/>
          <w:color w:val="0E1115"/>
          <w:sz w:val="24"/>
          <w:szCs w:val="24"/>
          <w:lang w:val="es-PE"/>
        </w:rPr>
      </w:pPr>
    </w:p>
    <w:tbl>
      <w:tblPr>
        <w:tblW w:w="4513" w:type="dxa"/>
        <w:jc w:val="center"/>
        <w:tblCellMar>
          <w:left w:w="70" w:type="dxa"/>
          <w:right w:w="70" w:type="dxa"/>
        </w:tblCellMar>
        <w:tblLook w:val="04A0" w:firstRow="1" w:lastRow="0" w:firstColumn="1" w:lastColumn="0" w:noHBand="0" w:noVBand="1"/>
      </w:tblPr>
      <w:tblGrid>
        <w:gridCol w:w="2180"/>
        <w:gridCol w:w="2333"/>
      </w:tblGrid>
      <w:tr w:rsidR="00804B28" w:rsidRPr="00AF6975" w14:paraId="231A2FDE" w14:textId="77777777" w:rsidTr="003753F7">
        <w:trPr>
          <w:trHeight w:val="495"/>
          <w:jc w:val="center"/>
        </w:trPr>
        <w:tc>
          <w:tcPr>
            <w:tcW w:w="21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BC0AE31" w14:textId="77777777" w:rsidR="00804B28" w:rsidRPr="00AF6975" w:rsidRDefault="00804B28" w:rsidP="00804B28">
            <w:pPr>
              <w:widowControl/>
              <w:spacing w:after="0" w:line="240" w:lineRule="auto"/>
              <w:jc w:val="center"/>
              <w:rPr>
                <w:rFonts w:ascii="Arial" w:eastAsia="Times New Roman" w:hAnsi="Arial" w:cs="Arial"/>
                <w:b/>
                <w:bCs/>
                <w:color w:val="000000"/>
                <w:sz w:val="24"/>
                <w:szCs w:val="24"/>
                <w:lang w:val="es-PE" w:eastAsia="es-PE"/>
              </w:rPr>
            </w:pPr>
            <w:r w:rsidRPr="00AF6975">
              <w:rPr>
                <w:rFonts w:ascii="Arial" w:eastAsia="Times New Roman" w:hAnsi="Arial" w:cs="Arial"/>
                <w:b/>
                <w:bCs/>
                <w:color w:val="000000"/>
                <w:sz w:val="24"/>
                <w:szCs w:val="24"/>
                <w:lang w:val="es-PE" w:eastAsia="es-PE"/>
              </w:rPr>
              <w:t>PAÍS</w:t>
            </w:r>
          </w:p>
        </w:tc>
        <w:tc>
          <w:tcPr>
            <w:tcW w:w="2333" w:type="dxa"/>
            <w:tcBorders>
              <w:top w:val="single" w:sz="8" w:space="0" w:color="auto"/>
              <w:left w:val="nil"/>
              <w:bottom w:val="single" w:sz="4" w:space="0" w:color="auto"/>
              <w:right w:val="single" w:sz="8" w:space="0" w:color="auto"/>
            </w:tcBorders>
            <w:shd w:val="clear" w:color="auto" w:fill="auto"/>
            <w:vAlign w:val="center"/>
            <w:hideMark/>
          </w:tcPr>
          <w:p w14:paraId="59E78D07" w14:textId="77777777" w:rsidR="00804B28" w:rsidRPr="00AF6975" w:rsidRDefault="00804B28" w:rsidP="00804B28">
            <w:pPr>
              <w:widowControl/>
              <w:spacing w:after="0" w:line="240" w:lineRule="auto"/>
              <w:jc w:val="center"/>
              <w:rPr>
                <w:rFonts w:ascii="Arial" w:eastAsia="Times New Roman" w:hAnsi="Arial" w:cs="Arial"/>
                <w:b/>
                <w:bCs/>
                <w:color w:val="000000"/>
                <w:sz w:val="24"/>
                <w:szCs w:val="24"/>
                <w:lang w:val="es-PE" w:eastAsia="es-PE"/>
              </w:rPr>
            </w:pPr>
            <w:r w:rsidRPr="00AF6975">
              <w:rPr>
                <w:rFonts w:ascii="Arial" w:eastAsia="Times New Roman" w:hAnsi="Arial" w:cs="Arial"/>
                <w:b/>
                <w:bCs/>
                <w:color w:val="000000"/>
                <w:sz w:val="24"/>
                <w:szCs w:val="24"/>
                <w:lang w:val="es-PE" w:eastAsia="es-PE"/>
              </w:rPr>
              <w:t xml:space="preserve"> CUOTA ANUAL </w:t>
            </w:r>
          </w:p>
        </w:tc>
      </w:tr>
      <w:tr w:rsidR="00804B28" w:rsidRPr="00AF6975" w14:paraId="398F5520" w14:textId="77777777" w:rsidTr="003753F7">
        <w:trPr>
          <w:trHeight w:val="375"/>
          <w:jc w:val="center"/>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14:paraId="3EAB27D2" w14:textId="77777777" w:rsidR="00804B28" w:rsidRPr="00AF6975" w:rsidRDefault="00804B28" w:rsidP="00804B28">
            <w:pPr>
              <w:widowControl/>
              <w:spacing w:after="0" w:line="240" w:lineRule="auto"/>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BOLIVIA</w:t>
            </w:r>
          </w:p>
        </w:tc>
        <w:tc>
          <w:tcPr>
            <w:tcW w:w="2333" w:type="dxa"/>
            <w:tcBorders>
              <w:top w:val="nil"/>
              <w:left w:val="nil"/>
              <w:bottom w:val="single" w:sz="4" w:space="0" w:color="auto"/>
              <w:right w:val="single" w:sz="8" w:space="0" w:color="auto"/>
            </w:tcBorders>
            <w:shd w:val="clear" w:color="auto" w:fill="auto"/>
            <w:noWrap/>
            <w:vAlign w:val="center"/>
            <w:hideMark/>
          </w:tcPr>
          <w:p w14:paraId="47238AC4" w14:textId="77777777" w:rsidR="00804B28" w:rsidRPr="00AF6975" w:rsidRDefault="00804B28" w:rsidP="00804B28">
            <w:pPr>
              <w:widowControl/>
              <w:spacing w:after="0" w:line="240" w:lineRule="auto"/>
              <w:jc w:val="center"/>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USD 628,800.00</w:t>
            </w:r>
          </w:p>
        </w:tc>
      </w:tr>
      <w:tr w:rsidR="00804B28" w:rsidRPr="00AF6975" w14:paraId="7E9EDACB" w14:textId="77777777" w:rsidTr="003753F7">
        <w:trPr>
          <w:trHeight w:val="375"/>
          <w:jc w:val="center"/>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14:paraId="4AC170E2" w14:textId="77777777" w:rsidR="00804B28" w:rsidRPr="00AF6975" w:rsidRDefault="00804B28" w:rsidP="00804B28">
            <w:pPr>
              <w:widowControl/>
              <w:spacing w:after="0" w:line="240" w:lineRule="auto"/>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COLOMBIA</w:t>
            </w:r>
          </w:p>
        </w:tc>
        <w:tc>
          <w:tcPr>
            <w:tcW w:w="2333" w:type="dxa"/>
            <w:tcBorders>
              <w:top w:val="nil"/>
              <w:left w:val="nil"/>
              <w:bottom w:val="single" w:sz="4" w:space="0" w:color="auto"/>
              <w:right w:val="single" w:sz="8" w:space="0" w:color="auto"/>
            </w:tcBorders>
            <w:shd w:val="clear" w:color="auto" w:fill="auto"/>
            <w:noWrap/>
            <w:vAlign w:val="center"/>
            <w:hideMark/>
          </w:tcPr>
          <w:p w14:paraId="7A147A25" w14:textId="77777777" w:rsidR="00804B28" w:rsidRPr="00AF6975" w:rsidRDefault="00804B28" w:rsidP="00804B28">
            <w:pPr>
              <w:widowControl/>
              <w:spacing w:after="0" w:line="240" w:lineRule="auto"/>
              <w:jc w:val="center"/>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USD 2,200,800.00</w:t>
            </w:r>
          </w:p>
        </w:tc>
      </w:tr>
      <w:tr w:rsidR="00804B28" w:rsidRPr="00AF6975" w14:paraId="4864D9E1" w14:textId="77777777" w:rsidTr="003753F7">
        <w:trPr>
          <w:trHeight w:val="375"/>
          <w:jc w:val="center"/>
        </w:trPr>
        <w:tc>
          <w:tcPr>
            <w:tcW w:w="2180" w:type="dxa"/>
            <w:tcBorders>
              <w:top w:val="nil"/>
              <w:left w:val="single" w:sz="8" w:space="0" w:color="auto"/>
              <w:bottom w:val="single" w:sz="4" w:space="0" w:color="auto"/>
              <w:right w:val="single" w:sz="4" w:space="0" w:color="auto"/>
            </w:tcBorders>
            <w:shd w:val="clear" w:color="auto" w:fill="auto"/>
            <w:noWrap/>
            <w:vAlign w:val="center"/>
            <w:hideMark/>
          </w:tcPr>
          <w:p w14:paraId="2F3C999B" w14:textId="77777777" w:rsidR="00804B28" w:rsidRPr="00AF6975" w:rsidRDefault="00804B28" w:rsidP="00804B28">
            <w:pPr>
              <w:widowControl/>
              <w:spacing w:after="0" w:line="240" w:lineRule="auto"/>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ECUADOR</w:t>
            </w:r>
          </w:p>
        </w:tc>
        <w:tc>
          <w:tcPr>
            <w:tcW w:w="2333" w:type="dxa"/>
            <w:tcBorders>
              <w:top w:val="nil"/>
              <w:left w:val="nil"/>
              <w:bottom w:val="single" w:sz="4" w:space="0" w:color="auto"/>
              <w:right w:val="single" w:sz="8" w:space="0" w:color="auto"/>
            </w:tcBorders>
            <w:shd w:val="clear" w:color="auto" w:fill="auto"/>
            <w:noWrap/>
            <w:vAlign w:val="center"/>
            <w:hideMark/>
          </w:tcPr>
          <w:p w14:paraId="42DD8C86" w14:textId="77777777" w:rsidR="00804B28" w:rsidRPr="00AF6975" w:rsidRDefault="00804B28" w:rsidP="00804B28">
            <w:pPr>
              <w:widowControl/>
              <w:spacing w:after="0" w:line="240" w:lineRule="auto"/>
              <w:jc w:val="center"/>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USD 628,800.00</w:t>
            </w:r>
          </w:p>
        </w:tc>
      </w:tr>
      <w:tr w:rsidR="00804B28" w:rsidRPr="00AF6975" w14:paraId="4A1851C4" w14:textId="77777777" w:rsidTr="003753F7">
        <w:trPr>
          <w:trHeight w:val="375"/>
          <w:jc w:val="center"/>
        </w:trPr>
        <w:tc>
          <w:tcPr>
            <w:tcW w:w="2180" w:type="dxa"/>
            <w:tcBorders>
              <w:top w:val="nil"/>
              <w:left w:val="single" w:sz="8" w:space="0" w:color="auto"/>
              <w:bottom w:val="single" w:sz="8" w:space="0" w:color="auto"/>
              <w:right w:val="single" w:sz="4" w:space="0" w:color="auto"/>
            </w:tcBorders>
            <w:shd w:val="clear" w:color="auto" w:fill="auto"/>
            <w:noWrap/>
            <w:vAlign w:val="center"/>
            <w:hideMark/>
          </w:tcPr>
          <w:p w14:paraId="6007677A" w14:textId="77777777" w:rsidR="00804B28" w:rsidRPr="00AF6975" w:rsidRDefault="00804B28" w:rsidP="00804B28">
            <w:pPr>
              <w:widowControl/>
              <w:spacing w:after="0" w:line="240" w:lineRule="auto"/>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PERÚ</w:t>
            </w:r>
          </w:p>
        </w:tc>
        <w:tc>
          <w:tcPr>
            <w:tcW w:w="2333" w:type="dxa"/>
            <w:tcBorders>
              <w:top w:val="nil"/>
              <w:left w:val="nil"/>
              <w:bottom w:val="single" w:sz="8" w:space="0" w:color="auto"/>
              <w:right w:val="single" w:sz="8" w:space="0" w:color="auto"/>
            </w:tcBorders>
            <w:shd w:val="clear" w:color="auto" w:fill="auto"/>
            <w:noWrap/>
            <w:vAlign w:val="center"/>
            <w:hideMark/>
          </w:tcPr>
          <w:p w14:paraId="17198BE3" w14:textId="77777777" w:rsidR="00804B28" w:rsidRPr="00AF6975" w:rsidRDefault="00804B28" w:rsidP="00804B28">
            <w:pPr>
              <w:widowControl/>
              <w:spacing w:after="0" w:line="240" w:lineRule="auto"/>
              <w:jc w:val="center"/>
              <w:rPr>
                <w:rFonts w:ascii="Arial" w:eastAsia="Times New Roman" w:hAnsi="Arial" w:cs="Arial"/>
                <w:color w:val="000000"/>
                <w:sz w:val="24"/>
                <w:szCs w:val="24"/>
                <w:lang w:val="es-PE" w:eastAsia="es-PE"/>
              </w:rPr>
            </w:pPr>
            <w:r w:rsidRPr="00AF6975">
              <w:rPr>
                <w:rFonts w:ascii="Arial" w:eastAsia="Times New Roman" w:hAnsi="Arial" w:cs="Arial"/>
                <w:color w:val="000000"/>
                <w:sz w:val="24"/>
                <w:szCs w:val="24"/>
                <w:lang w:val="es-PE" w:eastAsia="es-PE"/>
              </w:rPr>
              <w:t>USD 2,200,800.00</w:t>
            </w:r>
          </w:p>
        </w:tc>
      </w:tr>
    </w:tbl>
    <w:p w14:paraId="4BECD097" w14:textId="77777777" w:rsidR="0062025F" w:rsidRDefault="0062025F" w:rsidP="00F14002">
      <w:pPr>
        <w:spacing w:before="42" w:after="0" w:line="226" w:lineRule="auto"/>
        <w:ind w:right="57"/>
        <w:jc w:val="both"/>
        <w:rPr>
          <w:rFonts w:ascii="Arial" w:eastAsia="Arial" w:hAnsi="Arial" w:cs="Arial"/>
          <w:b/>
          <w:color w:val="0E1115"/>
          <w:sz w:val="24"/>
          <w:szCs w:val="24"/>
          <w:lang w:val="es-PE"/>
        </w:rPr>
      </w:pPr>
    </w:p>
    <w:p w14:paraId="1816B7C1" w14:textId="18673F1C" w:rsidR="00804B28" w:rsidRPr="00AF6975" w:rsidRDefault="00804B28" w:rsidP="00804B28">
      <w:pPr>
        <w:spacing w:before="42" w:line="226" w:lineRule="auto"/>
        <w:ind w:right="57"/>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 xml:space="preserve">Artículo 3.- </w:t>
      </w:r>
      <w:r w:rsidRPr="00AF6975">
        <w:rPr>
          <w:rFonts w:ascii="Arial" w:eastAsia="Arial" w:hAnsi="Arial" w:cs="Arial"/>
          <w:color w:val="0E1115"/>
          <w:sz w:val="24"/>
          <w:szCs w:val="24"/>
          <w:lang w:val="es-PE"/>
        </w:rPr>
        <w:t>Los Países Miembros cancelarán las contribuciones por trimestre, a que se refiere el artículo 2 durante el año 2021, de acuerdo con lo establecido en el artículo 28 del Acuerdo de Cartagena</w:t>
      </w:r>
      <w:r w:rsidR="002E21C0" w:rsidRPr="00AF6975">
        <w:rPr>
          <w:rFonts w:ascii="Arial" w:eastAsia="Arial" w:hAnsi="Arial" w:cs="Arial"/>
          <w:color w:val="0E1115"/>
          <w:sz w:val="24"/>
          <w:szCs w:val="24"/>
          <w:lang w:val="es-PE"/>
        </w:rPr>
        <w:t xml:space="preserve"> y en la presente Decisión</w:t>
      </w:r>
      <w:r w:rsidRPr="00AF6975">
        <w:rPr>
          <w:rFonts w:ascii="Arial" w:eastAsia="Arial" w:hAnsi="Arial" w:cs="Arial"/>
          <w:color w:val="0E1115"/>
          <w:sz w:val="24"/>
          <w:szCs w:val="24"/>
          <w:lang w:val="es-PE"/>
        </w:rPr>
        <w:t>.</w:t>
      </w:r>
    </w:p>
    <w:p w14:paraId="62143EC3" w14:textId="77777777" w:rsidR="00804B28" w:rsidRPr="00AF6975" w:rsidRDefault="00804B28" w:rsidP="00804B28">
      <w:pPr>
        <w:spacing w:line="236" w:lineRule="auto"/>
        <w:ind w:right="57"/>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Artículo 4.-</w:t>
      </w:r>
      <w:r w:rsidRPr="00AF6975">
        <w:rPr>
          <w:rFonts w:ascii="Arial" w:eastAsia="Arial" w:hAnsi="Arial" w:cs="Arial"/>
          <w:color w:val="0E1115"/>
          <w:sz w:val="24"/>
          <w:szCs w:val="24"/>
          <w:lang w:val="es-PE"/>
        </w:rPr>
        <w:t xml:space="preserve"> La Secretaría General podrá ampliar su programa de trabajo y consecuentemente su Presupuesto de Gastos, de acuerdo con los demás recursos que pudieran estar dispuestos, sin que se alteren las contribuciones de los Países Miembros, previa aprobación de la Comisión.</w:t>
      </w:r>
    </w:p>
    <w:p w14:paraId="715833C1" w14:textId="38260395" w:rsidR="00804B28" w:rsidRPr="00AF6975" w:rsidRDefault="00804B28" w:rsidP="00804B28">
      <w:pPr>
        <w:spacing w:line="274" w:lineRule="exact"/>
        <w:ind w:right="57"/>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 xml:space="preserve">Articulo 5.- </w:t>
      </w:r>
      <w:r w:rsidRPr="00AF6975">
        <w:rPr>
          <w:rFonts w:ascii="Arial" w:eastAsia="Arial" w:hAnsi="Arial" w:cs="Arial"/>
          <w:bCs/>
          <w:color w:val="0E1115"/>
          <w:sz w:val="24"/>
          <w:szCs w:val="24"/>
          <w:lang w:val="es-PE"/>
        </w:rPr>
        <w:t>Se autoriza a</w:t>
      </w:r>
      <w:r w:rsidRPr="00AF6975">
        <w:rPr>
          <w:rFonts w:ascii="Arial" w:eastAsia="Arial" w:hAnsi="Arial" w:cs="Arial"/>
          <w:color w:val="0E1115"/>
          <w:sz w:val="24"/>
          <w:szCs w:val="24"/>
          <w:lang w:val="es-PE"/>
        </w:rPr>
        <w:t xml:space="preserve"> la Secretaría General para efectuar transferencias entre las Partidas en un monto que no supere el 10% (diez por ciento) del total del Presupuesto aprobado anexo a la presente Decisión. Si fuere necesario exceder dicho porcentaje, la Secretaría General deberá solicitar la autorización de la Comisión.</w:t>
      </w:r>
    </w:p>
    <w:p w14:paraId="5A45C78D" w14:textId="3FC95264" w:rsidR="00804B28" w:rsidRDefault="00804B28" w:rsidP="00804B28">
      <w:pPr>
        <w:spacing w:line="224" w:lineRule="auto"/>
        <w:ind w:right="57"/>
        <w:jc w:val="both"/>
        <w:rPr>
          <w:rFonts w:ascii="Arial" w:eastAsia="Arial" w:hAnsi="Arial" w:cs="Arial"/>
          <w:sz w:val="24"/>
          <w:szCs w:val="24"/>
          <w:lang w:val="es-PE"/>
        </w:rPr>
      </w:pPr>
      <w:r w:rsidRPr="00AF6975">
        <w:rPr>
          <w:rFonts w:ascii="Arial" w:eastAsia="Arial" w:hAnsi="Arial" w:cs="Arial"/>
          <w:b/>
          <w:color w:val="0E1115"/>
          <w:sz w:val="24"/>
          <w:szCs w:val="24"/>
          <w:lang w:val="es-PE"/>
        </w:rPr>
        <w:t>Artículo 6.-</w:t>
      </w:r>
      <w:r w:rsidRPr="00AF6975">
        <w:rPr>
          <w:rFonts w:ascii="Arial" w:eastAsia="Arial" w:hAnsi="Arial" w:cs="Arial"/>
          <w:color w:val="0E1115"/>
          <w:sz w:val="24"/>
          <w:szCs w:val="24"/>
          <w:lang w:val="es-PE"/>
        </w:rPr>
        <w:t xml:space="preserve"> En la ejecución del presupuesto, la Secretaría General deberá aplicar estrictos criterios de austeridad y </w:t>
      </w:r>
      <w:proofErr w:type="spellStart"/>
      <w:r w:rsidRPr="00AF6975">
        <w:rPr>
          <w:rFonts w:ascii="Arial" w:eastAsia="Arial" w:hAnsi="Arial" w:cs="Arial"/>
          <w:color w:val="0E1115"/>
          <w:sz w:val="24"/>
          <w:szCs w:val="24"/>
          <w:lang w:val="es-PE"/>
        </w:rPr>
        <w:t>ecoeficiencia</w:t>
      </w:r>
      <w:proofErr w:type="spellEnd"/>
      <w:r w:rsidRPr="00AF6975">
        <w:rPr>
          <w:rFonts w:ascii="Arial" w:eastAsia="Arial" w:hAnsi="Arial" w:cs="Arial"/>
          <w:color w:val="0E1115"/>
          <w:sz w:val="24"/>
          <w:szCs w:val="24"/>
          <w:lang w:val="es-PE"/>
        </w:rPr>
        <w:t xml:space="preserve"> en el marco de los temas priorizados y del cumplimiento del espíritu del proceso de reingeniería y temas priorizados del Sistema Andino de Integración</w:t>
      </w:r>
      <w:r w:rsidRPr="00AF6975">
        <w:rPr>
          <w:rFonts w:ascii="Arial" w:eastAsia="Arial" w:hAnsi="Arial" w:cs="Arial"/>
          <w:sz w:val="24"/>
          <w:szCs w:val="24"/>
          <w:lang w:val="es-PE"/>
        </w:rPr>
        <w:t>, previsto en la Decisión 792 y de la Resolución 1733</w:t>
      </w:r>
      <w:r w:rsidR="00652D0A" w:rsidRPr="00652D0A">
        <w:rPr>
          <w:rFonts w:ascii="Arial" w:eastAsia="Arial" w:hAnsi="Arial" w:cs="Arial"/>
          <w:sz w:val="24"/>
          <w:szCs w:val="24"/>
          <w:lang w:val="es-PE"/>
        </w:rPr>
        <w:t>,</w:t>
      </w:r>
      <w:r w:rsidR="00266E94" w:rsidRPr="00197E11">
        <w:rPr>
          <w:rFonts w:ascii="Arial" w:eastAsia="Arial" w:hAnsi="Arial" w:cs="Arial"/>
          <w:sz w:val="24"/>
          <w:szCs w:val="24"/>
          <w:lang w:val="es-PE"/>
        </w:rPr>
        <w:t xml:space="preserve"> </w:t>
      </w:r>
      <w:r w:rsidR="00266E94" w:rsidRPr="002D4145">
        <w:rPr>
          <w:rFonts w:ascii="Arial" w:eastAsia="Arial" w:hAnsi="Arial" w:cs="Arial"/>
          <w:sz w:val="24"/>
          <w:szCs w:val="24"/>
          <w:lang w:val="es-PE"/>
        </w:rPr>
        <w:t>y considerando las recomendaciones establecidas por el Grupo de Presupuesto</w:t>
      </w:r>
      <w:r w:rsidRPr="00652D0A">
        <w:rPr>
          <w:rFonts w:ascii="Arial" w:eastAsia="Arial" w:hAnsi="Arial" w:cs="Arial"/>
          <w:sz w:val="24"/>
          <w:szCs w:val="24"/>
          <w:lang w:val="es-PE"/>
        </w:rPr>
        <w:t>.</w:t>
      </w:r>
    </w:p>
    <w:p w14:paraId="296A8CEA" w14:textId="77777777" w:rsidR="006C12D9" w:rsidRPr="00AF6975" w:rsidRDefault="006C12D9" w:rsidP="00804B28">
      <w:pPr>
        <w:spacing w:line="224" w:lineRule="auto"/>
        <w:ind w:right="57"/>
        <w:jc w:val="both"/>
        <w:rPr>
          <w:rFonts w:ascii="Arial" w:eastAsia="Arial" w:hAnsi="Arial" w:cs="Arial"/>
          <w:sz w:val="24"/>
          <w:szCs w:val="24"/>
          <w:lang w:val="es-PE"/>
        </w:rPr>
      </w:pPr>
    </w:p>
    <w:p w14:paraId="205AB9FB" w14:textId="6DE3BC1D" w:rsidR="00F30379" w:rsidRDefault="00804B28" w:rsidP="006859A2">
      <w:pPr>
        <w:spacing w:line="274" w:lineRule="exact"/>
        <w:ind w:right="57"/>
        <w:jc w:val="both"/>
        <w:rPr>
          <w:rFonts w:ascii="Arial" w:hAnsi="Arial" w:cs="Arial"/>
          <w:sz w:val="24"/>
          <w:szCs w:val="24"/>
          <w:lang w:val="es-PE"/>
        </w:rPr>
      </w:pPr>
      <w:r w:rsidRPr="00F30379">
        <w:rPr>
          <w:rFonts w:ascii="Arial" w:eastAsia="Arial" w:hAnsi="Arial" w:cs="Arial"/>
          <w:b/>
          <w:bCs/>
          <w:sz w:val="24"/>
          <w:szCs w:val="24"/>
          <w:lang w:val="es-PE"/>
        </w:rPr>
        <w:t>Artículo 7.-</w:t>
      </w:r>
      <w:r w:rsidRPr="00F77033">
        <w:rPr>
          <w:rFonts w:ascii="Arial" w:hAnsi="Arial" w:cs="Arial"/>
          <w:sz w:val="24"/>
          <w:szCs w:val="24"/>
          <w:shd w:val="clear" w:color="auto" w:fill="FFFFFF"/>
          <w:lang w:val="es-PE"/>
        </w:rPr>
        <w:t xml:space="preserve"> </w:t>
      </w:r>
      <w:r w:rsidR="00CD7DFC" w:rsidRPr="00CD7DFC">
        <w:rPr>
          <w:rFonts w:ascii="Arial" w:hAnsi="Arial" w:cs="Arial"/>
          <w:sz w:val="24"/>
          <w:szCs w:val="24"/>
          <w:lang w:val="es-EC"/>
        </w:rPr>
        <w:t xml:space="preserve">Los </w:t>
      </w:r>
      <w:r w:rsidR="001C64EB">
        <w:rPr>
          <w:rFonts w:ascii="Arial" w:hAnsi="Arial" w:cs="Arial"/>
          <w:sz w:val="24"/>
          <w:szCs w:val="24"/>
          <w:lang w:val="es-EC"/>
        </w:rPr>
        <w:t xml:space="preserve">saldos no ejecutados </w:t>
      </w:r>
      <w:r w:rsidR="00604238">
        <w:rPr>
          <w:rFonts w:ascii="Arial" w:hAnsi="Arial" w:cs="Arial"/>
          <w:sz w:val="24"/>
          <w:szCs w:val="24"/>
          <w:lang w:val="es-EC"/>
        </w:rPr>
        <w:t xml:space="preserve">por </w:t>
      </w:r>
      <w:r w:rsidR="001C64EB">
        <w:rPr>
          <w:rFonts w:ascii="Arial" w:hAnsi="Arial" w:cs="Arial"/>
          <w:sz w:val="24"/>
          <w:szCs w:val="24"/>
          <w:lang w:val="es-EC"/>
        </w:rPr>
        <w:t>la Secretaría General</w:t>
      </w:r>
      <w:r w:rsidR="00CD7DFC" w:rsidRPr="00CD7DFC">
        <w:rPr>
          <w:rFonts w:ascii="Arial" w:hAnsi="Arial" w:cs="Arial"/>
          <w:sz w:val="24"/>
          <w:szCs w:val="24"/>
          <w:lang w:val="es-EC"/>
        </w:rPr>
        <w:t xml:space="preserve"> de los años 2018 por valor de $ 331.106,21; 2019 por valor de $ 97.078,65; y 2020 por valor de $ 700.430,92 para un monto total de $ 1.128.615,78; serán destinados para el pago del aporte de los países miembros</w:t>
      </w:r>
      <w:r w:rsidR="00EA6B00">
        <w:rPr>
          <w:rFonts w:ascii="Arial" w:hAnsi="Arial" w:cs="Arial"/>
          <w:sz w:val="24"/>
          <w:szCs w:val="24"/>
          <w:lang w:val="es-EC"/>
        </w:rPr>
        <w:t>;</w:t>
      </w:r>
      <w:r w:rsidR="00990B0C" w:rsidRPr="0087573A">
        <w:rPr>
          <w:rFonts w:ascii="Arial" w:hAnsi="Arial" w:cs="Arial"/>
          <w:sz w:val="24"/>
          <w:szCs w:val="24"/>
          <w:lang w:val="es-ES_tradnl"/>
        </w:rPr>
        <w:t xml:space="preserve"> el monto to</w:t>
      </w:r>
      <w:r w:rsidR="00990B0C">
        <w:rPr>
          <w:rFonts w:ascii="Arial" w:hAnsi="Arial" w:cs="Arial"/>
          <w:sz w:val="24"/>
          <w:szCs w:val="24"/>
          <w:lang w:val="es-ES_tradnl"/>
        </w:rPr>
        <w:t>t</w:t>
      </w:r>
      <w:r w:rsidR="00990B0C" w:rsidRPr="0087573A">
        <w:rPr>
          <w:rFonts w:ascii="Arial" w:hAnsi="Arial" w:cs="Arial"/>
          <w:sz w:val="24"/>
          <w:szCs w:val="24"/>
          <w:lang w:val="es-ES_tradnl"/>
        </w:rPr>
        <w:t>al se</w:t>
      </w:r>
      <w:r w:rsidR="001F22A3">
        <w:rPr>
          <w:rFonts w:ascii="Arial" w:hAnsi="Arial" w:cs="Arial"/>
          <w:sz w:val="24"/>
          <w:szCs w:val="24"/>
          <w:lang w:val="es-ES_tradnl"/>
        </w:rPr>
        <w:t xml:space="preserve"> distribuirá</w:t>
      </w:r>
      <w:r w:rsidR="00990B0C" w:rsidRPr="0087573A">
        <w:rPr>
          <w:rFonts w:ascii="Arial" w:hAnsi="Arial" w:cs="Arial"/>
          <w:sz w:val="24"/>
          <w:szCs w:val="24"/>
          <w:lang w:val="es-ES_tradnl"/>
        </w:rPr>
        <w:t xml:space="preserve"> </w:t>
      </w:r>
      <w:r w:rsidR="00167A04" w:rsidRPr="00167A04">
        <w:rPr>
          <w:rFonts w:ascii="Arial" w:hAnsi="Arial" w:cs="Arial"/>
          <w:sz w:val="24"/>
          <w:szCs w:val="24"/>
          <w:lang w:val="es-EC"/>
        </w:rPr>
        <w:t>en la misma proporción de su contribución</w:t>
      </w:r>
      <w:r w:rsidR="00EA6B00">
        <w:rPr>
          <w:rFonts w:ascii="Arial" w:hAnsi="Arial" w:cs="Arial"/>
          <w:sz w:val="24"/>
          <w:szCs w:val="24"/>
          <w:lang w:val="es-EC"/>
        </w:rPr>
        <w:t>,</w:t>
      </w:r>
      <w:r w:rsidR="006859A2">
        <w:rPr>
          <w:rFonts w:ascii="Arial" w:hAnsi="Arial" w:cs="Arial"/>
          <w:sz w:val="24"/>
          <w:szCs w:val="24"/>
          <w:lang w:val="es-EC"/>
        </w:rPr>
        <w:t xml:space="preserve"> de acuerdo con el siguiente detalle:</w:t>
      </w:r>
      <w:r w:rsidR="00E906A4">
        <w:rPr>
          <w:rFonts w:ascii="Arial" w:hAnsi="Arial" w:cs="Arial"/>
          <w:sz w:val="24"/>
          <w:szCs w:val="24"/>
          <w:lang w:val="es-EC"/>
        </w:rPr>
        <w:t xml:space="preserve"> </w:t>
      </w:r>
      <w:bookmarkStart w:id="1" w:name="_GoBack"/>
      <w:bookmarkEnd w:id="1"/>
    </w:p>
    <w:p w14:paraId="206DC6A6" w14:textId="54B49D3E" w:rsidR="00CD7DFC" w:rsidRPr="00CD7DFC" w:rsidRDefault="00F14002" w:rsidP="00463E0F">
      <w:pPr>
        <w:spacing w:line="274" w:lineRule="exact"/>
        <w:ind w:right="57"/>
        <w:jc w:val="both"/>
        <w:rPr>
          <w:rFonts w:ascii="Arial" w:hAnsi="Arial" w:cs="Arial"/>
          <w:sz w:val="24"/>
          <w:szCs w:val="24"/>
          <w:lang w:val="es-EC"/>
        </w:rPr>
      </w:pPr>
      <w:r w:rsidRPr="00197E11">
        <w:rPr>
          <w:noProof/>
        </w:rPr>
        <w:drawing>
          <wp:anchor distT="0" distB="0" distL="114300" distR="114300" simplePos="0" relativeHeight="251673600" behindDoc="1" locked="0" layoutInCell="1" allowOverlap="1" wp14:anchorId="32B94CB5" wp14:editId="2DB8758A">
            <wp:simplePos x="0" y="0"/>
            <wp:positionH relativeFrom="margin">
              <wp:align>center</wp:align>
            </wp:positionH>
            <wp:positionV relativeFrom="paragraph">
              <wp:posOffset>11240</wp:posOffset>
            </wp:positionV>
            <wp:extent cx="4305300" cy="18001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1800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3AF63" w14:textId="1E2246B9" w:rsidR="00F54778" w:rsidRPr="00F77033" w:rsidRDefault="00F54778" w:rsidP="00463E0F">
      <w:pPr>
        <w:spacing w:line="274" w:lineRule="exact"/>
        <w:ind w:right="57"/>
        <w:jc w:val="both"/>
        <w:rPr>
          <w:rFonts w:ascii="Arial" w:hAnsi="Arial" w:cs="Arial"/>
          <w:sz w:val="24"/>
          <w:szCs w:val="24"/>
          <w:lang w:val="es-PE"/>
        </w:rPr>
      </w:pPr>
    </w:p>
    <w:p w14:paraId="26B744F3" w14:textId="17249B9F" w:rsidR="00F54778" w:rsidRPr="00F77033" w:rsidRDefault="00F14002" w:rsidP="00F14002">
      <w:pPr>
        <w:tabs>
          <w:tab w:val="left" w:pos="2343"/>
        </w:tabs>
        <w:spacing w:line="274" w:lineRule="exact"/>
        <w:ind w:right="57"/>
        <w:jc w:val="both"/>
        <w:rPr>
          <w:rFonts w:ascii="Arial" w:hAnsi="Arial" w:cs="Arial"/>
          <w:sz w:val="24"/>
          <w:szCs w:val="24"/>
          <w:lang w:val="es-PE"/>
        </w:rPr>
      </w:pPr>
      <w:r>
        <w:rPr>
          <w:rFonts w:ascii="Arial" w:hAnsi="Arial" w:cs="Arial"/>
          <w:sz w:val="24"/>
          <w:szCs w:val="24"/>
          <w:lang w:val="es-PE"/>
        </w:rPr>
        <w:tab/>
      </w:r>
    </w:p>
    <w:p w14:paraId="3786F258" w14:textId="64E0D69F" w:rsidR="00F54778" w:rsidRPr="00F77033" w:rsidRDefault="00F54778" w:rsidP="00F14002">
      <w:pPr>
        <w:spacing w:line="274" w:lineRule="exact"/>
        <w:ind w:right="57"/>
        <w:jc w:val="center"/>
        <w:rPr>
          <w:rFonts w:ascii="Arial" w:hAnsi="Arial" w:cs="Arial"/>
          <w:sz w:val="24"/>
          <w:szCs w:val="24"/>
          <w:lang w:val="es-PE"/>
        </w:rPr>
      </w:pPr>
    </w:p>
    <w:p w14:paraId="16C652B2" w14:textId="7CB090C1" w:rsidR="00F54778" w:rsidRPr="00F77033" w:rsidRDefault="00F54778" w:rsidP="00463E0F">
      <w:pPr>
        <w:spacing w:line="274" w:lineRule="exact"/>
        <w:ind w:right="57"/>
        <w:jc w:val="both"/>
        <w:rPr>
          <w:rFonts w:ascii="Arial" w:hAnsi="Arial" w:cs="Arial"/>
          <w:sz w:val="24"/>
          <w:szCs w:val="24"/>
          <w:lang w:val="es-PE"/>
        </w:rPr>
      </w:pPr>
    </w:p>
    <w:p w14:paraId="4C8145FF" w14:textId="1EBDED85" w:rsidR="00F54778" w:rsidRPr="00F77033" w:rsidRDefault="00F54778" w:rsidP="00463E0F">
      <w:pPr>
        <w:spacing w:line="274" w:lineRule="exact"/>
        <w:ind w:right="57"/>
        <w:jc w:val="both"/>
        <w:rPr>
          <w:rFonts w:ascii="Arial" w:hAnsi="Arial" w:cs="Arial"/>
          <w:sz w:val="24"/>
          <w:szCs w:val="24"/>
          <w:lang w:val="es-PE"/>
        </w:rPr>
      </w:pPr>
    </w:p>
    <w:p w14:paraId="34916CBA" w14:textId="00740CF4" w:rsidR="00BA24EC" w:rsidRPr="006C12D9" w:rsidRDefault="00BA24EC" w:rsidP="00463E0F">
      <w:pPr>
        <w:spacing w:line="274" w:lineRule="exact"/>
        <w:ind w:right="57"/>
        <w:jc w:val="both"/>
        <w:rPr>
          <w:rFonts w:ascii="Arial" w:hAnsi="Arial" w:cs="Arial"/>
          <w:sz w:val="10"/>
          <w:szCs w:val="10"/>
          <w:lang w:val="es-PE"/>
        </w:rPr>
      </w:pPr>
    </w:p>
    <w:p w14:paraId="7D3B110E" w14:textId="298149B6" w:rsidR="006859A2" w:rsidRDefault="006859A2" w:rsidP="006859A2">
      <w:pPr>
        <w:spacing w:line="274" w:lineRule="exact"/>
        <w:ind w:right="57"/>
        <w:jc w:val="both"/>
        <w:rPr>
          <w:rFonts w:ascii="Arial" w:hAnsi="Arial" w:cs="Arial"/>
          <w:sz w:val="24"/>
          <w:szCs w:val="24"/>
          <w:lang w:val="es-PE"/>
        </w:rPr>
      </w:pPr>
      <w:r>
        <w:rPr>
          <w:rFonts w:ascii="Arial" w:hAnsi="Arial" w:cs="Arial"/>
          <w:sz w:val="24"/>
          <w:szCs w:val="24"/>
          <w:lang w:val="es-EC"/>
        </w:rPr>
        <w:t>C</w:t>
      </w:r>
      <w:r w:rsidRPr="00CD7DFC">
        <w:rPr>
          <w:rFonts w:ascii="Arial" w:hAnsi="Arial" w:cs="Arial"/>
          <w:sz w:val="24"/>
          <w:szCs w:val="24"/>
          <w:lang w:val="es-EC"/>
        </w:rPr>
        <w:t xml:space="preserve">ada </w:t>
      </w:r>
      <w:r w:rsidR="00C15136">
        <w:rPr>
          <w:rFonts w:ascii="Arial" w:hAnsi="Arial" w:cs="Arial"/>
          <w:sz w:val="24"/>
          <w:szCs w:val="24"/>
          <w:lang w:val="es-EC"/>
        </w:rPr>
        <w:t>P</w:t>
      </w:r>
      <w:r>
        <w:rPr>
          <w:rFonts w:ascii="Arial" w:hAnsi="Arial" w:cs="Arial"/>
          <w:sz w:val="24"/>
          <w:szCs w:val="24"/>
          <w:lang w:val="es-EC"/>
        </w:rPr>
        <w:t xml:space="preserve">aís </w:t>
      </w:r>
      <w:r w:rsidR="00C15136">
        <w:rPr>
          <w:rFonts w:ascii="Arial" w:hAnsi="Arial" w:cs="Arial"/>
          <w:sz w:val="24"/>
          <w:szCs w:val="24"/>
          <w:lang w:val="es-EC"/>
        </w:rPr>
        <w:t>M</w:t>
      </w:r>
      <w:r>
        <w:rPr>
          <w:rFonts w:ascii="Arial" w:hAnsi="Arial" w:cs="Arial"/>
          <w:sz w:val="24"/>
          <w:szCs w:val="24"/>
          <w:lang w:val="es-EC"/>
        </w:rPr>
        <w:t>iembro informará</w:t>
      </w:r>
      <w:r w:rsidRPr="00CD7DFC">
        <w:rPr>
          <w:rFonts w:ascii="Arial" w:hAnsi="Arial" w:cs="Arial"/>
          <w:sz w:val="24"/>
          <w:szCs w:val="24"/>
          <w:lang w:val="es-EC"/>
        </w:rPr>
        <w:t xml:space="preserve"> </w:t>
      </w:r>
      <w:r>
        <w:rPr>
          <w:rFonts w:ascii="Arial" w:hAnsi="Arial" w:cs="Arial"/>
          <w:sz w:val="24"/>
          <w:szCs w:val="24"/>
          <w:lang w:val="es-EC"/>
        </w:rPr>
        <w:t xml:space="preserve">a la Secretaría General </w:t>
      </w:r>
      <w:r w:rsidRPr="00CD7DFC">
        <w:rPr>
          <w:rFonts w:ascii="Arial" w:hAnsi="Arial" w:cs="Arial"/>
          <w:sz w:val="24"/>
          <w:szCs w:val="24"/>
          <w:lang w:val="es-EC"/>
        </w:rPr>
        <w:t xml:space="preserve">contra qué periodo de pago de cuota aplicará el excedente </w:t>
      </w:r>
      <w:r w:rsidR="0042584D">
        <w:rPr>
          <w:rFonts w:ascii="Arial" w:hAnsi="Arial" w:cs="Arial"/>
          <w:sz w:val="24"/>
          <w:szCs w:val="24"/>
          <w:lang w:val="es-EC"/>
        </w:rPr>
        <w:t>respectivo</w:t>
      </w:r>
      <w:r w:rsidR="00C15136">
        <w:rPr>
          <w:rFonts w:ascii="Arial" w:hAnsi="Arial" w:cs="Arial"/>
          <w:sz w:val="24"/>
          <w:szCs w:val="24"/>
          <w:lang w:val="es-EC"/>
        </w:rPr>
        <w:t>.</w:t>
      </w:r>
      <w:r>
        <w:rPr>
          <w:rFonts w:ascii="Arial" w:hAnsi="Arial" w:cs="Arial"/>
          <w:sz w:val="24"/>
          <w:szCs w:val="24"/>
          <w:lang w:val="es-EC"/>
        </w:rPr>
        <w:t xml:space="preserve"> </w:t>
      </w:r>
      <w:r w:rsidR="00C15136">
        <w:rPr>
          <w:rFonts w:ascii="Arial" w:hAnsi="Arial" w:cs="Arial"/>
          <w:sz w:val="24"/>
          <w:szCs w:val="24"/>
          <w:lang w:val="es-PE"/>
        </w:rPr>
        <w:t>E</w:t>
      </w:r>
      <w:r w:rsidRPr="008E56D3">
        <w:rPr>
          <w:rFonts w:ascii="Arial" w:hAnsi="Arial" w:cs="Arial"/>
          <w:sz w:val="24"/>
          <w:szCs w:val="24"/>
          <w:lang w:val="es-PE"/>
        </w:rPr>
        <w:t xml:space="preserve">n caso de que los países no utilicen </w:t>
      </w:r>
      <w:r>
        <w:rPr>
          <w:rFonts w:ascii="Arial" w:hAnsi="Arial" w:cs="Arial"/>
          <w:sz w:val="24"/>
          <w:szCs w:val="24"/>
          <w:lang w:val="es-PE"/>
        </w:rPr>
        <w:t xml:space="preserve">los </w:t>
      </w:r>
      <w:r w:rsidRPr="008E56D3">
        <w:rPr>
          <w:rFonts w:ascii="Arial" w:hAnsi="Arial" w:cs="Arial"/>
          <w:sz w:val="24"/>
          <w:szCs w:val="24"/>
          <w:lang w:val="es-PE"/>
        </w:rPr>
        <w:t xml:space="preserve">excedentes </w:t>
      </w:r>
      <w:r>
        <w:rPr>
          <w:rFonts w:ascii="Arial" w:hAnsi="Arial" w:cs="Arial"/>
          <w:sz w:val="24"/>
          <w:szCs w:val="24"/>
          <w:lang w:val="es-PE"/>
        </w:rPr>
        <w:t>durante el periodo 2021</w:t>
      </w:r>
      <w:r w:rsidR="009F2020">
        <w:rPr>
          <w:rFonts w:ascii="Arial" w:hAnsi="Arial" w:cs="Arial"/>
          <w:sz w:val="24"/>
          <w:szCs w:val="24"/>
          <w:lang w:val="es-PE"/>
        </w:rPr>
        <w:t>,</w:t>
      </w:r>
      <w:r>
        <w:rPr>
          <w:rFonts w:ascii="Arial" w:hAnsi="Arial" w:cs="Arial"/>
          <w:sz w:val="24"/>
          <w:szCs w:val="24"/>
          <w:lang w:val="es-PE"/>
        </w:rPr>
        <w:t xml:space="preserve"> estos podrán ser aplicados </w:t>
      </w:r>
      <w:r w:rsidRPr="008E56D3">
        <w:rPr>
          <w:rFonts w:ascii="Arial" w:hAnsi="Arial" w:cs="Arial"/>
          <w:sz w:val="24"/>
          <w:szCs w:val="24"/>
          <w:lang w:val="es-PE"/>
        </w:rPr>
        <w:t>a</w:t>
      </w:r>
      <w:r>
        <w:rPr>
          <w:rFonts w:ascii="Arial" w:hAnsi="Arial" w:cs="Arial"/>
          <w:sz w:val="24"/>
          <w:szCs w:val="24"/>
          <w:lang w:val="es-PE"/>
        </w:rPr>
        <w:t xml:space="preserve">l pago de su contribución correspondiente al presupuesto del año </w:t>
      </w:r>
      <w:r w:rsidRPr="008E56D3">
        <w:rPr>
          <w:rFonts w:ascii="Arial" w:hAnsi="Arial" w:cs="Arial"/>
          <w:sz w:val="24"/>
          <w:szCs w:val="24"/>
          <w:lang w:val="es-PE"/>
        </w:rPr>
        <w:t>202</w:t>
      </w:r>
      <w:r>
        <w:rPr>
          <w:rFonts w:ascii="Arial" w:hAnsi="Arial" w:cs="Arial"/>
          <w:sz w:val="24"/>
          <w:szCs w:val="24"/>
          <w:lang w:val="es-PE"/>
        </w:rPr>
        <w:t>2</w:t>
      </w:r>
      <w:r w:rsidR="00197E11">
        <w:rPr>
          <w:rFonts w:ascii="Arial" w:hAnsi="Arial" w:cs="Arial"/>
          <w:sz w:val="24"/>
          <w:szCs w:val="24"/>
          <w:lang w:val="es-PE"/>
        </w:rPr>
        <w:t>, o de saldos de años anteriores</w:t>
      </w:r>
      <w:r w:rsidRPr="008E56D3">
        <w:rPr>
          <w:rFonts w:ascii="Arial" w:hAnsi="Arial" w:cs="Arial"/>
          <w:sz w:val="24"/>
          <w:szCs w:val="24"/>
          <w:lang w:val="es-PE"/>
        </w:rPr>
        <w:t>.</w:t>
      </w:r>
    </w:p>
    <w:p w14:paraId="3D8E9FFC" w14:textId="3F33009C" w:rsidR="00032705" w:rsidRPr="00302279" w:rsidRDefault="00804B28" w:rsidP="00547D2C">
      <w:pPr>
        <w:jc w:val="both"/>
        <w:rPr>
          <w:rFonts w:ascii="Arial" w:eastAsia="Arial" w:hAnsi="Arial" w:cs="Arial"/>
          <w:bCs/>
          <w:color w:val="0E1115"/>
          <w:sz w:val="24"/>
          <w:szCs w:val="24"/>
          <w:lang w:val="es-ES_tradnl"/>
        </w:rPr>
      </w:pPr>
      <w:r w:rsidRPr="00AF6975">
        <w:rPr>
          <w:rFonts w:ascii="Arial" w:eastAsia="Arial" w:hAnsi="Arial" w:cs="Arial"/>
          <w:b/>
          <w:color w:val="0E1115"/>
          <w:sz w:val="24"/>
          <w:szCs w:val="24"/>
          <w:lang w:val="es-ES"/>
        </w:rPr>
        <w:t>Artículo 8.-</w:t>
      </w:r>
      <w:r w:rsidR="00032705" w:rsidRPr="00032705">
        <w:rPr>
          <w:rFonts w:ascii="Arial" w:eastAsia="Arial" w:hAnsi="Arial" w:cs="Arial"/>
          <w:bCs/>
          <w:color w:val="0E1115"/>
          <w:sz w:val="24"/>
          <w:szCs w:val="24"/>
          <w:lang w:val="es-ES_tradnl"/>
        </w:rPr>
        <w:t>Se instruye a la Secretaría General a crear un Fondo Financiero de Reserva y un Fondo de Iniciativas Comunitarias que se constituirá con los saldos no ejecutados de años anteriores</w:t>
      </w:r>
      <w:r w:rsidR="00801D53">
        <w:rPr>
          <w:rFonts w:ascii="Arial" w:eastAsia="Arial" w:hAnsi="Arial" w:cs="Arial"/>
          <w:bCs/>
          <w:color w:val="0E1115"/>
          <w:sz w:val="24"/>
          <w:szCs w:val="24"/>
          <w:lang w:val="es-ES_tradnl"/>
        </w:rPr>
        <w:t xml:space="preserve"> al 2018</w:t>
      </w:r>
      <w:r w:rsidR="00AB4F29">
        <w:rPr>
          <w:rFonts w:ascii="Arial" w:eastAsia="Arial" w:hAnsi="Arial" w:cs="Arial"/>
          <w:bCs/>
          <w:color w:val="0E1115"/>
          <w:sz w:val="24"/>
          <w:szCs w:val="24"/>
          <w:lang w:val="es-ES_tradnl"/>
        </w:rPr>
        <w:t xml:space="preserve"> y recursos disponibles a la fecha</w:t>
      </w:r>
      <w:r w:rsidR="00032705" w:rsidRPr="00032705">
        <w:rPr>
          <w:rFonts w:ascii="Arial" w:eastAsia="Arial" w:hAnsi="Arial" w:cs="Arial"/>
          <w:bCs/>
          <w:color w:val="0E1115"/>
          <w:sz w:val="24"/>
          <w:szCs w:val="24"/>
          <w:lang w:val="es-ES_tradnl"/>
        </w:rPr>
        <w:t>. Estos se destinarán a atender la liquidez de la SGCAN y a proyectos especiales de interés comunitario y de beneficio para los cuatro Países Miembros respectivamente, previa aprobación de la Comisión de la Comunidad Andina.</w:t>
      </w:r>
    </w:p>
    <w:p w14:paraId="464A71DD" w14:textId="10C4DE9E" w:rsidR="00547D2C" w:rsidRDefault="00547D2C" w:rsidP="00547D2C">
      <w:pPr>
        <w:jc w:val="both"/>
        <w:rPr>
          <w:rFonts w:ascii="Arial" w:eastAsia="Arial" w:hAnsi="Arial" w:cs="Arial"/>
          <w:bCs/>
          <w:color w:val="0E1115"/>
          <w:sz w:val="24"/>
          <w:szCs w:val="24"/>
          <w:lang w:val="es-ES_tradnl"/>
        </w:rPr>
      </w:pPr>
      <w:r w:rsidRPr="00302279">
        <w:rPr>
          <w:rFonts w:ascii="Arial" w:eastAsia="Arial" w:hAnsi="Arial" w:cs="Arial"/>
          <w:bCs/>
          <w:color w:val="0E1115"/>
          <w:sz w:val="24"/>
          <w:szCs w:val="24"/>
          <w:lang w:val="es-ES_tradnl"/>
        </w:rPr>
        <w:t xml:space="preserve">La SGCAN </w:t>
      </w:r>
      <w:r w:rsidR="00EC2B2F" w:rsidRPr="00302279">
        <w:rPr>
          <w:rFonts w:ascii="Arial" w:eastAsia="Arial" w:hAnsi="Arial" w:cs="Arial"/>
          <w:bCs/>
          <w:color w:val="0E1115"/>
          <w:sz w:val="24"/>
          <w:szCs w:val="24"/>
          <w:lang w:val="es-ES_tradnl"/>
        </w:rPr>
        <w:t xml:space="preserve">en coordinación con el Grupo de Presupuesto </w:t>
      </w:r>
      <w:r w:rsidR="00604238" w:rsidRPr="00302279">
        <w:rPr>
          <w:rFonts w:ascii="Arial" w:eastAsia="Arial" w:hAnsi="Arial" w:cs="Arial"/>
          <w:bCs/>
          <w:color w:val="0E1115"/>
          <w:sz w:val="24"/>
          <w:szCs w:val="24"/>
          <w:lang w:val="es-ES_tradnl"/>
        </w:rPr>
        <w:t>deberá</w:t>
      </w:r>
      <w:r w:rsidRPr="00302279">
        <w:rPr>
          <w:rFonts w:ascii="Arial" w:eastAsia="Arial" w:hAnsi="Arial" w:cs="Arial"/>
          <w:bCs/>
          <w:color w:val="0E1115"/>
          <w:sz w:val="24"/>
          <w:szCs w:val="24"/>
          <w:lang w:val="es-ES_tradnl"/>
        </w:rPr>
        <w:t xml:space="preserve"> presentar dentro de los cuatro meses siguientes a la aprobación de la presente </w:t>
      </w:r>
      <w:r w:rsidR="00F77033">
        <w:rPr>
          <w:rFonts w:ascii="Arial" w:eastAsia="Arial" w:hAnsi="Arial" w:cs="Arial"/>
          <w:bCs/>
          <w:color w:val="0E1115"/>
          <w:sz w:val="24"/>
          <w:szCs w:val="24"/>
          <w:lang w:val="es-ES_tradnl"/>
        </w:rPr>
        <w:t>D</w:t>
      </w:r>
      <w:r w:rsidR="00F77033" w:rsidRPr="00302279">
        <w:rPr>
          <w:rFonts w:ascii="Arial" w:eastAsia="Arial" w:hAnsi="Arial" w:cs="Arial"/>
          <w:bCs/>
          <w:color w:val="0E1115"/>
          <w:sz w:val="24"/>
          <w:szCs w:val="24"/>
          <w:lang w:val="es-ES_tradnl"/>
        </w:rPr>
        <w:t xml:space="preserve">ecisión </w:t>
      </w:r>
      <w:r w:rsidRPr="00302279">
        <w:rPr>
          <w:rFonts w:ascii="Arial" w:eastAsia="Arial" w:hAnsi="Arial" w:cs="Arial"/>
          <w:bCs/>
          <w:color w:val="0E1115"/>
          <w:sz w:val="24"/>
          <w:szCs w:val="24"/>
          <w:lang w:val="es-ES_tradnl"/>
        </w:rPr>
        <w:t>el proyecto de Reglamento</w:t>
      </w:r>
      <w:r w:rsidR="00831857">
        <w:rPr>
          <w:rFonts w:ascii="Arial" w:eastAsia="Arial" w:hAnsi="Arial" w:cs="Arial"/>
          <w:bCs/>
          <w:color w:val="0E1115"/>
          <w:sz w:val="24"/>
          <w:szCs w:val="24"/>
          <w:lang w:val="es-ES_tradnl"/>
        </w:rPr>
        <w:t xml:space="preserve"> </w:t>
      </w:r>
      <w:r w:rsidRPr="00302279">
        <w:rPr>
          <w:rFonts w:ascii="Arial" w:eastAsia="Arial" w:hAnsi="Arial" w:cs="Arial"/>
          <w:bCs/>
          <w:color w:val="0E1115"/>
          <w:sz w:val="24"/>
          <w:szCs w:val="24"/>
          <w:lang w:val="es-ES_tradnl"/>
        </w:rPr>
        <w:t>respectivo para su aprobación por la Comisión.</w:t>
      </w:r>
    </w:p>
    <w:p w14:paraId="49E2AFDE" w14:textId="746E0BED" w:rsidR="00547D2C" w:rsidRDefault="0034557E" w:rsidP="00463E0F">
      <w:pPr>
        <w:spacing w:line="274" w:lineRule="exact"/>
        <w:ind w:right="57"/>
        <w:jc w:val="both"/>
        <w:rPr>
          <w:rFonts w:ascii="Arial" w:eastAsia="Arial" w:hAnsi="Arial" w:cs="Arial"/>
          <w:color w:val="0E1115"/>
          <w:sz w:val="24"/>
          <w:szCs w:val="24"/>
          <w:lang w:val="es-PE"/>
        </w:rPr>
      </w:pPr>
      <w:r w:rsidRPr="002C0A6F">
        <w:rPr>
          <w:rFonts w:ascii="Arial" w:eastAsia="Arial" w:hAnsi="Arial" w:cs="Arial"/>
          <w:b/>
          <w:color w:val="0E1115"/>
          <w:sz w:val="24"/>
          <w:szCs w:val="24"/>
          <w:lang w:val="es-ES_tradnl"/>
        </w:rPr>
        <w:t>Artículo</w:t>
      </w:r>
      <w:r>
        <w:rPr>
          <w:rFonts w:ascii="Arial" w:eastAsia="Arial" w:hAnsi="Arial" w:cs="Arial"/>
          <w:b/>
          <w:color w:val="0E1115"/>
          <w:sz w:val="24"/>
          <w:szCs w:val="24"/>
          <w:lang w:val="es-ES_tradnl"/>
        </w:rPr>
        <w:t xml:space="preserve"> </w:t>
      </w:r>
      <w:r w:rsidR="00B66642">
        <w:rPr>
          <w:rFonts w:ascii="Arial" w:eastAsia="Arial" w:hAnsi="Arial" w:cs="Arial"/>
          <w:b/>
          <w:color w:val="0E1115"/>
          <w:sz w:val="24"/>
          <w:szCs w:val="24"/>
          <w:lang w:val="es-ES_tradnl"/>
        </w:rPr>
        <w:t>9</w:t>
      </w:r>
      <w:r w:rsidRPr="002C0A6F">
        <w:rPr>
          <w:rFonts w:ascii="Arial" w:eastAsia="Arial" w:hAnsi="Arial" w:cs="Arial"/>
          <w:b/>
          <w:color w:val="0E1115"/>
          <w:sz w:val="24"/>
          <w:szCs w:val="24"/>
          <w:lang w:val="es-ES_tradnl"/>
        </w:rPr>
        <w:t>.-</w:t>
      </w:r>
      <w:r>
        <w:rPr>
          <w:rFonts w:ascii="Arial" w:eastAsia="Arial" w:hAnsi="Arial" w:cs="Arial"/>
          <w:b/>
          <w:color w:val="0E1115"/>
          <w:sz w:val="24"/>
          <w:szCs w:val="24"/>
          <w:lang w:val="es-ES_tradnl"/>
        </w:rPr>
        <w:t xml:space="preserve"> </w:t>
      </w:r>
      <w:r w:rsidR="00804B28" w:rsidRPr="00AF6975">
        <w:rPr>
          <w:rFonts w:ascii="Arial" w:eastAsia="Arial" w:hAnsi="Arial" w:cs="Arial"/>
          <w:color w:val="0E1115"/>
          <w:sz w:val="24"/>
          <w:szCs w:val="24"/>
          <w:lang w:val="es-PE"/>
        </w:rPr>
        <w:t xml:space="preserve">Dentro de los 30 días siguientes al término de cada bimestre del año 2021, la Secretaría General presentará a la Comisión un informe </w:t>
      </w:r>
      <w:r w:rsidR="00547D2C">
        <w:rPr>
          <w:rFonts w:ascii="Arial" w:eastAsia="Arial" w:hAnsi="Arial" w:cs="Arial"/>
          <w:color w:val="0E1115"/>
          <w:sz w:val="24"/>
          <w:szCs w:val="24"/>
          <w:lang w:val="es-PE"/>
        </w:rPr>
        <w:t xml:space="preserve">detallado </w:t>
      </w:r>
      <w:r w:rsidR="00804B28" w:rsidRPr="00AF6975">
        <w:rPr>
          <w:rFonts w:ascii="Arial" w:eastAsia="Arial" w:hAnsi="Arial" w:cs="Arial"/>
          <w:color w:val="0E1115"/>
          <w:sz w:val="24"/>
          <w:szCs w:val="24"/>
          <w:lang w:val="es-PE"/>
        </w:rPr>
        <w:t>sobre el estado de la ejecución presupuestal, el mismo que debe incluir los ingresos y egresos propios de la Secretaría General</w:t>
      </w:r>
      <w:r w:rsidR="00547D2C">
        <w:rPr>
          <w:rFonts w:ascii="Arial" w:eastAsia="Arial" w:hAnsi="Arial" w:cs="Arial"/>
          <w:color w:val="0E1115"/>
          <w:sz w:val="24"/>
          <w:szCs w:val="24"/>
          <w:lang w:val="es-PE"/>
        </w:rPr>
        <w:t>.</w:t>
      </w:r>
    </w:p>
    <w:p w14:paraId="6EE2FB33" w14:textId="01099D77" w:rsidR="00547D2C" w:rsidRPr="00AF6975" w:rsidRDefault="00547D2C" w:rsidP="00463E0F">
      <w:pPr>
        <w:spacing w:line="274" w:lineRule="exact"/>
        <w:ind w:right="57"/>
        <w:jc w:val="both"/>
        <w:rPr>
          <w:rFonts w:ascii="Arial" w:eastAsia="Arial" w:hAnsi="Arial" w:cs="Arial"/>
          <w:color w:val="0E1115"/>
          <w:sz w:val="24"/>
          <w:szCs w:val="24"/>
          <w:lang w:val="es-PE"/>
        </w:rPr>
      </w:pPr>
      <w:r>
        <w:rPr>
          <w:rFonts w:ascii="Arial" w:eastAsia="Arial" w:hAnsi="Arial" w:cs="Arial"/>
          <w:color w:val="0E1115"/>
          <w:sz w:val="24"/>
          <w:szCs w:val="24"/>
          <w:lang w:val="es-PE"/>
        </w:rPr>
        <w:t>L</w:t>
      </w:r>
      <w:r w:rsidRPr="00547D2C">
        <w:rPr>
          <w:rFonts w:ascii="Arial" w:eastAsia="Arial" w:hAnsi="Arial" w:cs="Arial"/>
          <w:color w:val="0E1115"/>
          <w:sz w:val="24"/>
          <w:szCs w:val="24"/>
          <w:lang w:val="es-PE"/>
        </w:rPr>
        <w:t>os informes presentados</w:t>
      </w:r>
      <w:r w:rsidR="00604238">
        <w:rPr>
          <w:rFonts w:ascii="Arial" w:eastAsia="Arial" w:hAnsi="Arial" w:cs="Arial"/>
          <w:color w:val="0E1115"/>
          <w:sz w:val="24"/>
          <w:szCs w:val="24"/>
          <w:lang w:val="es-PE"/>
        </w:rPr>
        <w:t xml:space="preserve"> bajo los alcances de</w:t>
      </w:r>
      <w:r w:rsidRPr="00547D2C">
        <w:rPr>
          <w:rFonts w:ascii="Arial" w:eastAsia="Arial" w:hAnsi="Arial" w:cs="Arial"/>
          <w:color w:val="0E1115"/>
          <w:sz w:val="24"/>
          <w:szCs w:val="24"/>
          <w:lang w:val="es-PE"/>
        </w:rPr>
        <w:t xml:space="preserve"> e</w:t>
      </w:r>
      <w:r>
        <w:rPr>
          <w:rFonts w:ascii="Arial" w:eastAsia="Arial" w:hAnsi="Arial" w:cs="Arial"/>
          <w:color w:val="0E1115"/>
          <w:sz w:val="24"/>
          <w:szCs w:val="24"/>
          <w:lang w:val="es-PE"/>
        </w:rPr>
        <w:t xml:space="preserve">ste </w:t>
      </w:r>
      <w:r w:rsidRPr="00547D2C">
        <w:rPr>
          <w:rFonts w:ascii="Arial" w:eastAsia="Arial" w:hAnsi="Arial" w:cs="Arial"/>
          <w:color w:val="0E1115"/>
          <w:sz w:val="24"/>
          <w:szCs w:val="24"/>
          <w:lang w:val="es-PE"/>
        </w:rPr>
        <w:t xml:space="preserve">artículo deberán ser revisados de forma semestral, por el Grupo de presupuesto, a fin de conocer </w:t>
      </w:r>
      <w:r w:rsidR="00B21F63">
        <w:rPr>
          <w:rFonts w:ascii="Arial" w:eastAsia="Arial" w:hAnsi="Arial" w:cs="Arial"/>
          <w:color w:val="0E1115"/>
          <w:sz w:val="24"/>
          <w:szCs w:val="24"/>
          <w:lang w:val="es-PE"/>
        </w:rPr>
        <w:t xml:space="preserve">la </w:t>
      </w:r>
      <w:r w:rsidRPr="00547D2C">
        <w:rPr>
          <w:rFonts w:ascii="Arial" w:eastAsia="Arial" w:hAnsi="Arial" w:cs="Arial"/>
          <w:color w:val="0E1115"/>
          <w:sz w:val="24"/>
          <w:szCs w:val="24"/>
          <w:lang w:val="es-PE"/>
        </w:rPr>
        <w:t>ejecución del presupuesto</w:t>
      </w:r>
      <w:r w:rsidR="00644267">
        <w:rPr>
          <w:rFonts w:ascii="Arial" w:eastAsia="Arial" w:hAnsi="Arial" w:cs="Arial"/>
          <w:color w:val="0E1115"/>
          <w:sz w:val="24"/>
          <w:szCs w:val="24"/>
          <w:lang w:val="es-PE"/>
        </w:rPr>
        <w:t>,</w:t>
      </w:r>
      <w:r w:rsidRPr="00547D2C">
        <w:rPr>
          <w:rFonts w:ascii="Arial" w:eastAsia="Arial" w:hAnsi="Arial" w:cs="Arial"/>
          <w:color w:val="0E1115"/>
          <w:sz w:val="24"/>
          <w:szCs w:val="24"/>
          <w:lang w:val="es-PE"/>
        </w:rPr>
        <w:t xml:space="preserve"> observaciones y necesidades de</w:t>
      </w:r>
      <w:r w:rsidR="00604238">
        <w:rPr>
          <w:rFonts w:ascii="Arial" w:eastAsia="Arial" w:hAnsi="Arial" w:cs="Arial"/>
          <w:color w:val="0E1115"/>
          <w:sz w:val="24"/>
          <w:szCs w:val="24"/>
          <w:lang w:val="es-PE"/>
        </w:rPr>
        <w:t xml:space="preserve"> </w:t>
      </w:r>
      <w:r w:rsidRPr="00547D2C">
        <w:rPr>
          <w:rFonts w:ascii="Arial" w:eastAsia="Arial" w:hAnsi="Arial" w:cs="Arial"/>
          <w:color w:val="0E1115"/>
          <w:sz w:val="24"/>
          <w:szCs w:val="24"/>
          <w:lang w:val="es-PE"/>
        </w:rPr>
        <w:t>l</w:t>
      </w:r>
      <w:r w:rsidR="00604238">
        <w:rPr>
          <w:rFonts w:ascii="Arial" w:eastAsia="Arial" w:hAnsi="Arial" w:cs="Arial"/>
          <w:color w:val="0E1115"/>
          <w:sz w:val="24"/>
          <w:szCs w:val="24"/>
          <w:lang w:val="es-PE"/>
        </w:rPr>
        <w:t>a</w:t>
      </w:r>
      <w:r w:rsidRPr="00547D2C">
        <w:rPr>
          <w:rFonts w:ascii="Arial" w:eastAsia="Arial" w:hAnsi="Arial" w:cs="Arial"/>
          <w:color w:val="0E1115"/>
          <w:sz w:val="24"/>
          <w:szCs w:val="24"/>
          <w:lang w:val="es-PE"/>
        </w:rPr>
        <w:t xml:space="preserve"> </w:t>
      </w:r>
      <w:r w:rsidR="00604238">
        <w:rPr>
          <w:rFonts w:ascii="Arial" w:eastAsia="Arial" w:hAnsi="Arial" w:cs="Arial"/>
          <w:color w:val="0E1115"/>
          <w:sz w:val="24"/>
          <w:szCs w:val="24"/>
          <w:lang w:val="es-PE"/>
        </w:rPr>
        <w:t>Secretaría General</w:t>
      </w:r>
      <w:r w:rsidR="00604238" w:rsidRPr="00547D2C">
        <w:rPr>
          <w:rFonts w:ascii="Arial" w:eastAsia="Arial" w:hAnsi="Arial" w:cs="Arial"/>
          <w:color w:val="0E1115"/>
          <w:sz w:val="24"/>
          <w:szCs w:val="24"/>
          <w:lang w:val="es-PE"/>
        </w:rPr>
        <w:t xml:space="preserve"> </w:t>
      </w:r>
      <w:r w:rsidRPr="00547D2C">
        <w:rPr>
          <w:rFonts w:ascii="Arial" w:eastAsia="Arial" w:hAnsi="Arial" w:cs="Arial"/>
          <w:color w:val="0E1115"/>
          <w:sz w:val="24"/>
          <w:szCs w:val="24"/>
          <w:lang w:val="es-PE"/>
        </w:rPr>
        <w:t>o de los Países Miembros.</w:t>
      </w:r>
    </w:p>
    <w:p w14:paraId="41FEF0F9" w14:textId="720BBBF1" w:rsidR="00804B28" w:rsidRPr="00AF6975" w:rsidRDefault="00804B28" w:rsidP="00804B28">
      <w:pPr>
        <w:spacing w:line="244" w:lineRule="auto"/>
        <w:ind w:right="57"/>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 xml:space="preserve">Artículo </w:t>
      </w:r>
      <w:r w:rsidR="00463E0F" w:rsidRPr="00AF6975">
        <w:rPr>
          <w:rFonts w:ascii="Arial" w:eastAsia="Arial" w:hAnsi="Arial" w:cs="Arial"/>
          <w:b/>
          <w:color w:val="0E1115"/>
          <w:sz w:val="24"/>
          <w:szCs w:val="24"/>
          <w:lang w:val="es-PE"/>
        </w:rPr>
        <w:t>1</w:t>
      </w:r>
      <w:r w:rsidR="00644267">
        <w:rPr>
          <w:rFonts w:ascii="Arial" w:eastAsia="Arial" w:hAnsi="Arial" w:cs="Arial"/>
          <w:b/>
          <w:color w:val="0E1115"/>
          <w:sz w:val="24"/>
          <w:szCs w:val="24"/>
          <w:lang w:val="es-PE"/>
        </w:rPr>
        <w:t>0</w:t>
      </w:r>
      <w:r w:rsidRPr="00AF6975">
        <w:rPr>
          <w:rFonts w:ascii="Arial" w:eastAsia="Arial" w:hAnsi="Arial" w:cs="Arial"/>
          <w:b/>
          <w:color w:val="0E1115"/>
          <w:sz w:val="24"/>
          <w:szCs w:val="24"/>
          <w:lang w:val="es-PE"/>
        </w:rPr>
        <w:t>.-</w:t>
      </w:r>
      <w:r w:rsidRPr="00AF6975">
        <w:rPr>
          <w:rFonts w:ascii="Arial" w:eastAsia="Arial" w:hAnsi="Arial" w:cs="Arial"/>
          <w:color w:val="0E1115"/>
          <w:sz w:val="24"/>
          <w:szCs w:val="24"/>
          <w:lang w:val="es-PE"/>
        </w:rPr>
        <w:t xml:space="preserve"> La Secretaría General contratará la auditoría externa del ejercicio presupuestario a que se refiere esta Decisión, a través de un concurso entre firmas auditoras reconocidas, sobre la base de los términos de referencia que serán elaborados para tal fin.</w:t>
      </w:r>
    </w:p>
    <w:p w14:paraId="05865731" w14:textId="77777777" w:rsidR="00804B28" w:rsidRPr="00AF6975" w:rsidRDefault="00804B28" w:rsidP="00804B28">
      <w:pPr>
        <w:spacing w:line="244" w:lineRule="auto"/>
        <w:ind w:right="57"/>
        <w:jc w:val="both"/>
        <w:rPr>
          <w:rFonts w:ascii="Arial" w:eastAsia="Arial" w:hAnsi="Arial" w:cs="Arial"/>
          <w:color w:val="0E1115"/>
          <w:sz w:val="24"/>
          <w:szCs w:val="24"/>
          <w:lang w:val="es-PE"/>
        </w:rPr>
      </w:pPr>
      <w:r w:rsidRPr="00AF6975">
        <w:rPr>
          <w:rFonts w:ascii="Arial" w:eastAsia="Arial" w:hAnsi="Arial" w:cs="Arial"/>
          <w:color w:val="0E1115"/>
          <w:sz w:val="24"/>
          <w:szCs w:val="24"/>
          <w:lang w:val="es-PE"/>
        </w:rPr>
        <w:lastRenderedPageBreak/>
        <w:t>La presente Decisión entrará en vigencia a partir de la fecha de su publicación en Gaceta Oficial del Acuerdo de Cartagena.</w:t>
      </w:r>
    </w:p>
    <w:p w14:paraId="43108A40" w14:textId="064D4F9E" w:rsidR="00804B28" w:rsidRPr="00AF6975" w:rsidRDefault="00804B28" w:rsidP="00804B28">
      <w:pPr>
        <w:spacing w:line="244" w:lineRule="auto"/>
        <w:ind w:right="57"/>
        <w:jc w:val="both"/>
        <w:rPr>
          <w:rFonts w:ascii="Arial" w:eastAsia="Arial" w:hAnsi="Arial" w:cs="Arial"/>
          <w:color w:val="0E1115"/>
          <w:sz w:val="24"/>
          <w:szCs w:val="24"/>
          <w:lang w:val="es-PE"/>
        </w:rPr>
      </w:pPr>
      <w:r w:rsidRPr="00AF6975">
        <w:rPr>
          <w:rFonts w:ascii="Arial" w:eastAsia="Arial" w:hAnsi="Arial" w:cs="Arial"/>
          <w:color w:val="0E1115"/>
          <w:sz w:val="24"/>
          <w:szCs w:val="24"/>
          <w:lang w:val="es-PE"/>
        </w:rPr>
        <w:t xml:space="preserve">Dada en la ciudad de Lima, Perú, a los </w:t>
      </w:r>
      <w:r w:rsidR="00AE1604">
        <w:rPr>
          <w:rFonts w:ascii="Arial" w:eastAsia="Arial" w:hAnsi="Arial" w:cs="Arial"/>
          <w:color w:val="0E1115"/>
          <w:sz w:val="24"/>
          <w:szCs w:val="24"/>
          <w:lang w:val="es-PE"/>
        </w:rPr>
        <w:t>24</w:t>
      </w:r>
      <w:r w:rsidRPr="00AF6975">
        <w:rPr>
          <w:rFonts w:ascii="Arial" w:eastAsia="Arial" w:hAnsi="Arial" w:cs="Arial"/>
          <w:color w:val="0E1115"/>
          <w:sz w:val="24"/>
          <w:szCs w:val="24"/>
          <w:lang w:val="es-PE"/>
        </w:rPr>
        <w:t xml:space="preserve"> días del mes </w:t>
      </w:r>
      <w:r w:rsidR="00AE1604">
        <w:rPr>
          <w:rFonts w:ascii="Arial" w:eastAsia="Arial" w:hAnsi="Arial" w:cs="Arial"/>
          <w:color w:val="0E1115"/>
          <w:sz w:val="24"/>
          <w:szCs w:val="24"/>
          <w:lang w:val="es-PE"/>
        </w:rPr>
        <w:t xml:space="preserve">de febrero </w:t>
      </w:r>
      <w:r w:rsidRPr="00AF6975">
        <w:rPr>
          <w:rFonts w:ascii="Arial" w:eastAsia="Arial" w:hAnsi="Arial" w:cs="Arial"/>
          <w:color w:val="0E1115"/>
          <w:sz w:val="24"/>
          <w:szCs w:val="24"/>
          <w:lang w:val="es-PE"/>
        </w:rPr>
        <w:t>del año dos mil veinte y uno</w:t>
      </w:r>
      <w:r w:rsidR="00AE1604">
        <w:rPr>
          <w:rFonts w:ascii="Arial" w:eastAsia="Arial" w:hAnsi="Arial" w:cs="Arial"/>
          <w:color w:val="0E1115"/>
          <w:sz w:val="24"/>
          <w:szCs w:val="24"/>
          <w:lang w:val="es-PE"/>
        </w:rPr>
        <w:t xml:space="preserve"> (2021)</w:t>
      </w:r>
      <w:r w:rsidRPr="00AF6975">
        <w:rPr>
          <w:rFonts w:ascii="Arial" w:eastAsia="Arial" w:hAnsi="Arial" w:cs="Arial"/>
          <w:color w:val="0E1115"/>
          <w:sz w:val="24"/>
          <w:szCs w:val="24"/>
          <w:lang w:val="es-PE"/>
        </w:rPr>
        <w:t>.</w:t>
      </w:r>
    </w:p>
    <w:tbl>
      <w:tblPr>
        <w:tblpPr w:leftFromText="141" w:rightFromText="141" w:vertAnchor="page" w:horzAnchor="margin" w:tblpY="1111"/>
        <w:tblW w:w="8710" w:type="dxa"/>
        <w:tblCellMar>
          <w:left w:w="70" w:type="dxa"/>
          <w:right w:w="70" w:type="dxa"/>
        </w:tblCellMar>
        <w:tblLook w:val="04A0" w:firstRow="1" w:lastRow="0" w:firstColumn="1" w:lastColumn="0" w:noHBand="0" w:noVBand="1"/>
      </w:tblPr>
      <w:tblGrid>
        <w:gridCol w:w="4414"/>
        <w:gridCol w:w="2173"/>
        <w:gridCol w:w="2123"/>
      </w:tblGrid>
      <w:tr w:rsidR="00804B28" w:rsidRPr="00E44F5B" w14:paraId="13E6FF89" w14:textId="77777777" w:rsidTr="00425577">
        <w:trPr>
          <w:trHeight w:val="258"/>
        </w:trPr>
        <w:tc>
          <w:tcPr>
            <w:tcW w:w="8710" w:type="dxa"/>
            <w:gridSpan w:val="3"/>
            <w:tcBorders>
              <w:top w:val="nil"/>
              <w:left w:val="nil"/>
              <w:bottom w:val="nil"/>
              <w:right w:val="nil"/>
            </w:tcBorders>
            <w:shd w:val="clear" w:color="auto" w:fill="auto"/>
            <w:noWrap/>
            <w:vAlign w:val="bottom"/>
            <w:hideMark/>
          </w:tcPr>
          <w:p w14:paraId="5FC7ED49" w14:textId="77777777" w:rsidR="00804B28" w:rsidRPr="00A40600" w:rsidRDefault="00804B28" w:rsidP="00A40600">
            <w:pPr>
              <w:pStyle w:val="Sinespaciado"/>
              <w:jc w:val="center"/>
              <w:rPr>
                <w:b/>
                <w:bCs/>
                <w:sz w:val="28"/>
                <w:szCs w:val="28"/>
                <w:lang w:val="es-EC"/>
              </w:rPr>
            </w:pPr>
            <w:r w:rsidRPr="00A40600">
              <w:rPr>
                <w:b/>
                <w:bCs/>
                <w:sz w:val="28"/>
                <w:szCs w:val="28"/>
                <w:lang w:val="es-EC"/>
              </w:rPr>
              <w:lastRenderedPageBreak/>
              <w:t>ANEXO</w:t>
            </w:r>
          </w:p>
        </w:tc>
      </w:tr>
      <w:tr w:rsidR="00804B28" w:rsidRPr="006C12D9" w14:paraId="510782FF" w14:textId="77777777" w:rsidTr="00425577">
        <w:trPr>
          <w:trHeight w:val="246"/>
        </w:trPr>
        <w:tc>
          <w:tcPr>
            <w:tcW w:w="8710" w:type="dxa"/>
            <w:gridSpan w:val="3"/>
            <w:tcBorders>
              <w:top w:val="nil"/>
              <w:left w:val="nil"/>
              <w:bottom w:val="nil"/>
              <w:right w:val="nil"/>
            </w:tcBorders>
            <w:shd w:val="clear" w:color="auto" w:fill="auto"/>
            <w:noWrap/>
            <w:vAlign w:val="bottom"/>
            <w:hideMark/>
          </w:tcPr>
          <w:p w14:paraId="1FE5E178" w14:textId="77777777" w:rsidR="00804B28" w:rsidRPr="00A40600" w:rsidRDefault="00804B28" w:rsidP="00A40600">
            <w:pPr>
              <w:pStyle w:val="Sinespaciado"/>
              <w:jc w:val="center"/>
              <w:rPr>
                <w:b/>
                <w:bCs/>
                <w:sz w:val="28"/>
                <w:szCs w:val="28"/>
                <w:lang w:val="es-EC"/>
              </w:rPr>
            </w:pPr>
            <w:r w:rsidRPr="00A40600">
              <w:rPr>
                <w:b/>
                <w:bCs/>
                <w:sz w:val="28"/>
                <w:szCs w:val="28"/>
                <w:lang w:val="es-EC"/>
              </w:rPr>
              <w:t>PRESUPUESTO POR PARTIDAS Y SUBPARTIDAS 2021</w:t>
            </w:r>
          </w:p>
        </w:tc>
      </w:tr>
      <w:tr w:rsidR="00804B28" w:rsidRPr="00E44F5B" w14:paraId="3B0A438D" w14:textId="77777777" w:rsidTr="00425577">
        <w:trPr>
          <w:trHeight w:val="246"/>
        </w:trPr>
        <w:tc>
          <w:tcPr>
            <w:tcW w:w="8710" w:type="dxa"/>
            <w:gridSpan w:val="3"/>
            <w:tcBorders>
              <w:top w:val="nil"/>
              <w:left w:val="nil"/>
              <w:bottom w:val="nil"/>
              <w:right w:val="nil"/>
            </w:tcBorders>
            <w:shd w:val="clear" w:color="auto" w:fill="auto"/>
            <w:noWrap/>
            <w:vAlign w:val="bottom"/>
            <w:hideMark/>
          </w:tcPr>
          <w:p w14:paraId="283958A4" w14:textId="77777777" w:rsidR="00804B28" w:rsidRPr="00A40600" w:rsidRDefault="00804B28" w:rsidP="00A40600">
            <w:pPr>
              <w:pStyle w:val="Sinespaciado"/>
              <w:jc w:val="center"/>
              <w:rPr>
                <w:b/>
                <w:bCs/>
                <w:sz w:val="28"/>
                <w:szCs w:val="28"/>
                <w:lang w:val="es-EC"/>
              </w:rPr>
            </w:pPr>
            <w:r w:rsidRPr="00A40600">
              <w:rPr>
                <w:b/>
                <w:bCs/>
                <w:sz w:val="28"/>
                <w:szCs w:val="28"/>
                <w:lang w:val="es-EC"/>
              </w:rPr>
              <w:t>(En USD)</w:t>
            </w:r>
          </w:p>
        </w:tc>
      </w:tr>
      <w:tr w:rsidR="00804B28" w:rsidRPr="00E44F5B" w14:paraId="3982E545" w14:textId="77777777" w:rsidTr="001710C6">
        <w:trPr>
          <w:trHeight w:val="246"/>
        </w:trPr>
        <w:tc>
          <w:tcPr>
            <w:tcW w:w="4414" w:type="dxa"/>
            <w:tcBorders>
              <w:top w:val="nil"/>
              <w:left w:val="nil"/>
              <w:bottom w:val="nil"/>
              <w:right w:val="nil"/>
            </w:tcBorders>
            <w:shd w:val="clear" w:color="auto" w:fill="auto"/>
            <w:noWrap/>
            <w:vAlign w:val="bottom"/>
            <w:hideMark/>
          </w:tcPr>
          <w:p w14:paraId="13CE4600" w14:textId="77777777" w:rsidR="00804B28" w:rsidRPr="00E44F5B" w:rsidRDefault="00804B28" w:rsidP="00A40600">
            <w:pPr>
              <w:pStyle w:val="Sinespaciado"/>
              <w:rPr>
                <w:lang w:val="es-EC"/>
              </w:rPr>
            </w:pPr>
          </w:p>
        </w:tc>
        <w:tc>
          <w:tcPr>
            <w:tcW w:w="2173" w:type="dxa"/>
            <w:tcBorders>
              <w:top w:val="nil"/>
              <w:left w:val="nil"/>
              <w:bottom w:val="nil"/>
              <w:right w:val="nil"/>
            </w:tcBorders>
            <w:shd w:val="clear" w:color="auto" w:fill="auto"/>
            <w:noWrap/>
            <w:vAlign w:val="bottom"/>
            <w:hideMark/>
          </w:tcPr>
          <w:p w14:paraId="6B60364E" w14:textId="77777777" w:rsidR="00804B28" w:rsidRPr="00E44F5B" w:rsidRDefault="00804B28" w:rsidP="00A40600">
            <w:pPr>
              <w:pStyle w:val="Sinespaciado"/>
              <w:rPr>
                <w:lang w:val="es-EC"/>
              </w:rPr>
            </w:pPr>
          </w:p>
        </w:tc>
        <w:tc>
          <w:tcPr>
            <w:tcW w:w="2123" w:type="dxa"/>
            <w:tcBorders>
              <w:top w:val="nil"/>
              <w:left w:val="nil"/>
              <w:bottom w:val="nil"/>
              <w:right w:val="nil"/>
            </w:tcBorders>
            <w:shd w:val="clear" w:color="auto" w:fill="auto"/>
            <w:noWrap/>
            <w:vAlign w:val="bottom"/>
            <w:hideMark/>
          </w:tcPr>
          <w:p w14:paraId="6510330A" w14:textId="77777777" w:rsidR="00804B28" w:rsidRPr="00E44F5B" w:rsidRDefault="00804B28" w:rsidP="00A40600">
            <w:pPr>
              <w:pStyle w:val="Sinespaciado"/>
              <w:rPr>
                <w:lang w:val="es-EC"/>
              </w:rPr>
            </w:pPr>
          </w:p>
        </w:tc>
      </w:tr>
      <w:tr w:rsidR="00804B28" w:rsidRPr="00E44F5B" w14:paraId="0856F7F9" w14:textId="77777777" w:rsidTr="001710C6">
        <w:trPr>
          <w:trHeight w:val="450"/>
        </w:trPr>
        <w:tc>
          <w:tcPr>
            <w:tcW w:w="4414" w:type="dxa"/>
            <w:vMerge w:val="restart"/>
            <w:tcBorders>
              <w:top w:val="single" w:sz="4" w:space="0" w:color="auto"/>
              <w:left w:val="nil"/>
              <w:bottom w:val="single" w:sz="4" w:space="0" w:color="000000"/>
              <w:right w:val="nil"/>
            </w:tcBorders>
            <w:shd w:val="clear" w:color="auto" w:fill="auto"/>
            <w:noWrap/>
            <w:vAlign w:val="center"/>
            <w:hideMark/>
          </w:tcPr>
          <w:p w14:paraId="6DA24B59" w14:textId="77777777" w:rsidR="00804B28" w:rsidRPr="00E44F5B" w:rsidRDefault="00804B28" w:rsidP="00A40600">
            <w:pPr>
              <w:pStyle w:val="Sinespaciado"/>
              <w:rPr>
                <w:lang w:val="es-EC"/>
              </w:rPr>
            </w:pPr>
            <w:r w:rsidRPr="00E44F5B">
              <w:rPr>
                <w:lang w:val="es-EC"/>
              </w:rPr>
              <w:t>PARTIDA / SUBPARTIDA</w:t>
            </w:r>
          </w:p>
        </w:tc>
        <w:tc>
          <w:tcPr>
            <w:tcW w:w="2173" w:type="dxa"/>
            <w:vMerge w:val="restart"/>
            <w:tcBorders>
              <w:top w:val="single" w:sz="4" w:space="0" w:color="auto"/>
              <w:left w:val="nil"/>
              <w:bottom w:val="single" w:sz="4" w:space="0" w:color="000000"/>
              <w:right w:val="nil"/>
            </w:tcBorders>
            <w:shd w:val="clear" w:color="auto" w:fill="auto"/>
            <w:vAlign w:val="center"/>
            <w:hideMark/>
          </w:tcPr>
          <w:p w14:paraId="063199E2" w14:textId="77777777" w:rsidR="00804B28" w:rsidRPr="00E44F5B" w:rsidRDefault="00804B28" w:rsidP="00A40600">
            <w:pPr>
              <w:pStyle w:val="Sinespaciado"/>
              <w:rPr>
                <w:lang w:val="es-EC"/>
              </w:rPr>
            </w:pPr>
            <w:r w:rsidRPr="00E44F5B">
              <w:rPr>
                <w:lang w:val="es-EC"/>
              </w:rPr>
              <w:t>IMPORTE</w:t>
            </w:r>
            <w:r w:rsidRPr="00E44F5B">
              <w:rPr>
                <w:lang w:val="es-EC"/>
              </w:rPr>
              <w:br/>
              <w:t>SUBPARTIDAS</w:t>
            </w:r>
          </w:p>
        </w:tc>
        <w:tc>
          <w:tcPr>
            <w:tcW w:w="2123" w:type="dxa"/>
            <w:vMerge w:val="restart"/>
            <w:tcBorders>
              <w:top w:val="single" w:sz="4" w:space="0" w:color="auto"/>
              <w:left w:val="nil"/>
              <w:bottom w:val="single" w:sz="4" w:space="0" w:color="000000"/>
              <w:right w:val="nil"/>
            </w:tcBorders>
            <w:shd w:val="clear" w:color="auto" w:fill="auto"/>
            <w:vAlign w:val="center"/>
            <w:hideMark/>
          </w:tcPr>
          <w:p w14:paraId="37E93304" w14:textId="77777777" w:rsidR="00804B28" w:rsidRPr="00E44F5B" w:rsidRDefault="00804B28" w:rsidP="00A40600">
            <w:pPr>
              <w:pStyle w:val="Sinespaciado"/>
              <w:rPr>
                <w:color w:val="000000"/>
                <w:lang w:val="es-EC"/>
              </w:rPr>
            </w:pPr>
            <w:r w:rsidRPr="00E44F5B">
              <w:rPr>
                <w:color w:val="000000"/>
                <w:lang w:val="es-EC"/>
              </w:rPr>
              <w:t xml:space="preserve">TOTAL </w:t>
            </w:r>
            <w:r w:rsidRPr="00E44F5B">
              <w:rPr>
                <w:color w:val="000000"/>
                <w:lang w:val="es-EC"/>
              </w:rPr>
              <w:br/>
              <w:t>PARTIDA</w:t>
            </w:r>
          </w:p>
        </w:tc>
      </w:tr>
      <w:tr w:rsidR="00804B28" w:rsidRPr="00E44F5B" w14:paraId="1770BE91" w14:textId="77777777" w:rsidTr="001710C6">
        <w:trPr>
          <w:trHeight w:val="450"/>
        </w:trPr>
        <w:tc>
          <w:tcPr>
            <w:tcW w:w="4414" w:type="dxa"/>
            <w:vMerge/>
            <w:tcBorders>
              <w:top w:val="single" w:sz="4" w:space="0" w:color="auto"/>
              <w:left w:val="nil"/>
              <w:bottom w:val="single" w:sz="4" w:space="0" w:color="000000"/>
              <w:right w:val="nil"/>
            </w:tcBorders>
            <w:vAlign w:val="center"/>
            <w:hideMark/>
          </w:tcPr>
          <w:p w14:paraId="0B73C4EE" w14:textId="77777777" w:rsidR="00804B28" w:rsidRPr="00E44F5B" w:rsidRDefault="00804B28" w:rsidP="00A40600">
            <w:pPr>
              <w:pStyle w:val="Sinespaciado"/>
              <w:rPr>
                <w:lang w:val="es-EC"/>
              </w:rPr>
            </w:pPr>
          </w:p>
        </w:tc>
        <w:tc>
          <w:tcPr>
            <w:tcW w:w="2173" w:type="dxa"/>
            <w:vMerge/>
            <w:tcBorders>
              <w:top w:val="single" w:sz="4" w:space="0" w:color="auto"/>
              <w:left w:val="nil"/>
              <w:bottom w:val="single" w:sz="4" w:space="0" w:color="000000"/>
              <w:right w:val="nil"/>
            </w:tcBorders>
            <w:vAlign w:val="center"/>
            <w:hideMark/>
          </w:tcPr>
          <w:p w14:paraId="73569E26" w14:textId="77777777" w:rsidR="00804B28" w:rsidRPr="00E44F5B" w:rsidRDefault="00804B28" w:rsidP="00A40600">
            <w:pPr>
              <w:pStyle w:val="Sinespaciado"/>
              <w:rPr>
                <w:lang w:val="es-EC"/>
              </w:rPr>
            </w:pPr>
          </w:p>
        </w:tc>
        <w:tc>
          <w:tcPr>
            <w:tcW w:w="2123" w:type="dxa"/>
            <w:vMerge/>
            <w:tcBorders>
              <w:top w:val="single" w:sz="4" w:space="0" w:color="auto"/>
              <w:left w:val="nil"/>
              <w:bottom w:val="single" w:sz="4" w:space="0" w:color="000000"/>
              <w:right w:val="nil"/>
            </w:tcBorders>
            <w:vAlign w:val="center"/>
            <w:hideMark/>
          </w:tcPr>
          <w:p w14:paraId="5CFE00C7" w14:textId="77777777" w:rsidR="00804B28" w:rsidRPr="00E44F5B" w:rsidRDefault="00804B28" w:rsidP="00A40600">
            <w:pPr>
              <w:pStyle w:val="Sinespaciado"/>
              <w:rPr>
                <w:color w:val="000000"/>
                <w:lang w:val="es-EC"/>
              </w:rPr>
            </w:pPr>
          </w:p>
        </w:tc>
      </w:tr>
      <w:tr w:rsidR="00804B28" w:rsidRPr="00E44F5B" w14:paraId="3C617961" w14:textId="77777777" w:rsidTr="001710C6">
        <w:trPr>
          <w:trHeight w:val="246"/>
        </w:trPr>
        <w:tc>
          <w:tcPr>
            <w:tcW w:w="4414" w:type="dxa"/>
            <w:tcBorders>
              <w:top w:val="nil"/>
              <w:left w:val="nil"/>
              <w:bottom w:val="nil"/>
              <w:right w:val="nil"/>
            </w:tcBorders>
            <w:shd w:val="clear" w:color="auto" w:fill="auto"/>
            <w:noWrap/>
            <w:vAlign w:val="bottom"/>
            <w:hideMark/>
          </w:tcPr>
          <w:p w14:paraId="5B4B8635" w14:textId="77777777" w:rsidR="00804B28" w:rsidRPr="001710C6" w:rsidRDefault="00804B28" w:rsidP="00A40600">
            <w:pPr>
              <w:pStyle w:val="Sinespaciado"/>
              <w:rPr>
                <w:b/>
                <w:bCs/>
                <w:lang w:val="es-EC"/>
              </w:rPr>
            </w:pPr>
            <w:r w:rsidRPr="001710C6">
              <w:rPr>
                <w:b/>
                <w:bCs/>
                <w:lang w:val="es-EC"/>
              </w:rPr>
              <w:t>PERSONAL</w:t>
            </w:r>
          </w:p>
        </w:tc>
        <w:tc>
          <w:tcPr>
            <w:tcW w:w="2173" w:type="dxa"/>
            <w:tcBorders>
              <w:top w:val="nil"/>
              <w:left w:val="nil"/>
              <w:bottom w:val="nil"/>
              <w:right w:val="nil"/>
            </w:tcBorders>
            <w:shd w:val="clear" w:color="auto" w:fill="auto"/>
            <w:noWrap/>
            <w:vAlign w:val="bottom"/>
            <w:hideMark/>
          </w:tcPr>
          <w:p w14:paraId="7B688EAB"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75363A24" w14:textId="77777777" w:rsidR="00804B28" w:rsidRPr="001710C6" w:rsidRDefault="00804B28" w:rsidP="00A40600">
            <w:pPr>
              <w:pStyle w:val="Sinespaciado"/>
              <w:rPr>
                <w:b/>
                <w:bCs/>
                <w:color w:val="000000"/>
                <w:lang w:val="es-EC"/>
              </w:rPr>
            </w:pPr>
            <w:r w:rsidRPr="001710C6">
              <w:rPr>
                <w:b/>
                <w:bCs/>
                <w:color w:val="000000"/>
                <w:lang w:val="es-EC"/>
              </w:rPr>
              <w:t xml:space="preserve">         4,325,342 </w:t>
            </w:r>
          </w:p>
        </w:tc>
      </w:tr>
      <w:tr w:rsidR="00804B28" w:rsidRPr="00E44F5B" w14:paraId="2CC89E05" w14:textId="77777777" w:rsidTr="001710C6">
        <w:trPr>
          <w:trHeight w:val="246"/>
        </w:trPr>
        <w:tc>
          <w:tcPr>
            <w:tcW w:w="4414" w:type="dxa"/>
            <w:tcBorders>
              <w:top w:val="nil"/>
              <w:left w:val="nil"/>
              <w:bottom w:val="nil"/>
              <w:right w:val="nil"/>
            </w:tcBorders>
            <w:shd w:val="clear" w:color="auto" w:fill="auto"/>
            <w:noWrap/>
            <w:vAlign w:val="bottom"/>
            <w:hideMark/>
          </w:tcPr>
          <w:p w14:paraId="027A5349" w14:textId="77777777" w:rsidR="00804B28" w:rsidRPr="00E44F5B" w:rsidRDefault="00804B28" w:rsidP="00A40600">
            <w:pPr>
              <w:pStyle w:val="Sinespaciado"/>
              <w:rPr>
                <w:lang w:val="es-EC"/>
              </w:rPr>
            </w:pPr>
            <w:r w:rsidRPr="00E44F5B">
              <w:rPr>
                <w:lang w:val="es-EC"/>
              </w:rPr>
              <w:t>Haber Básico</w:t>
            </w:r>
          </w:p>
        </w:tc>
        <w:tc>
          <w:tcPr>
            <w:tcW w:w="2173" w:type="dxa"/>
            <w:tcBorders>
              <w:top w:val="nil"/>
              <w:left w:val="nil"/>
              <w:bottom w:val="nil"/>
              <w:right w:val="nil"/>
            </w:tcBorders>
            <w:shd w:val="clear" w:color="auto" w:fill="auto"/>
            <w:noWrap/>
            <w:vAlign w:val="bottom"/>
            <w:hideMark/>
          </w:tcPr>
          <w:p w14:paraId="29D9D137" w14:textId="65F26C80" w:rsidR="00804B28" w:rsidRPr="00E44F5B" w:rsidRDefault="00804B28" w:rsidP="00A40600">
            <w:pPr>
              <w:pStyle w:val="Sinespaciado"/>
              <w:rPr>
                <w:lang w:val="es-EC"/>
              </w:rPr>
            </w:pPr>
            <w:r w:rsidRPr="00E44F5B">
              <w:rPr>
                <w:lang w:val="es-EC"/>
              </w:rPr>
              <w:t xml:space="preserve">             2,806,560.00</w:t>
            </w:r>
          </w:p>
        </w:tc>
        <w:tc>
          <w:tcPr>
            <w:tcW w:w="2123" w:type="dxa"/>
            <w:tcBorders>
              <w:top w:val="nil"/>
              <w:left w:val="nil"/>
              <w:bottom w:val="nil"/>
              <w:right w:val="nil"/>
            </w:tcBorders>
            <w:shd w:val="clear" w:color="auto" w:fill="auto"/>
            <w:noWrap/>
            <w:vAlign w:val="bottom"/>
            <w:hideMark/>
          </w:tcPr>
          <w:p w14:paraId="243BFF94" w14:textId="77777777" w:rsidR="00804B28" w:rsidRPr="00E44F5B" w:rsidRDefault="00804B28" w:rsidP="00A40600">
            <w:pPr>
              <w:pStyle w:val="Sinespaciado"/>
              <w:rPr>
                <w:lang w:val="es-EC"/>
              </w:rPr>
            </w:pPr>
          </w:p>
        </w:tc>
      </w:tr>
      <w:tr w:rsidR="00804B28" w:rsidRPr="00E44F5B" w14:paraId="3C1E9E40" w14:textId="77777777" w:rsidTr="001710C6">
        <w:trPr>
          <w:trHeight w:val="246"/>
        </w:trPr>
        <w:tc>
          <w:tcPr>
            <w:tcW w:w="4414" w:type="dxa"/>
            <w:tcBorders>
              <w:top w:val="nil"/>
              <w:left w:val="nil"/>
              <w:bottom w:val="nil"/>
              <w:right w:val="nil"/>
            </w:tcBorders>
            <w:shd w:val="clear" w:color="auto" w:fill="auto"/>
            <w:noWrap/>
            <w:vAlign w:val="bottom"/>
            <w:hideMark/>
          </w:tcPr>
          <w:p w14:paraId="2762E3B6" w14:textId="77777777" w:rsidR="00804B28" w:rsidRPr="00E44F5B" w:rsidRDefault="00804B28" w:rsidP="00A40600">
            <w:pPr>
              <w:pStyle w:val="Sinespaciado"/>
              <w:rPr>
                <w:lang w:val="es-EC"/>
              </w:rPr>
            </w:pPr>
            <w:r w:rsidRPr="00E44F5B">
              <w:rPr>
                <w:lang w:val="es-EC"/>
              </w:rPr>
              <w:t>Bonificación Fin de Año</w:t>
            </w:r>
          </w:p>
        </w:tc>
        <w:tc>
          <w:tcPr>
            <w:tcW w:w="2173" w:type="dxa"/>
            <w:tcBorders>
              <w:top w:val="nil"/>
              <w:left w:val="nil"/>
              <w:bottom w:val="nil"/>
              <w:right w:val="nil"/>
            </w:tcBorders>
            <w:shd w:val="clear" w:color="auto" w:fill="auto"/>
            <w:noWrap/>
            <w:vAlign w:val="bottom"/>
            <w:hideMark/>
          </w:tcPr>
          <w:p w14:paraId="17C671F2" w14:textId="77777777" w:rsidR="00804B28" w:rsidRPr="00E44F5B" w:rsidRDefault="00804B28" w:rsidP="00A40600">
            <w:pPr>
              <w:pStyle w:val="Sinespaciado"/>
              <w:rPr>
                <w:lang w:val="es-EC"/>
              </w:rPr>
            </w:pPr>
            <w:r w:rsidRPr="00E44F5B">
              <w:rPr>
                <w:lang w:val="es-EC"/>
              </w:rPr>
              <w:t xml:space="preserve">                233,880.00 </w:t>
            </w:r>
          </w:p>
        </w:tc>
        <w:tc>
          <w:tcPr>
            <w:tcW w:w="2123" w:type="dxa"/>
            <w:tcBorders>
              <w:top w:val="nil"/>
              <w:left w:val="nil"/>
              <w:bottom w:val="nil"/>
              <w:right w:val="nil"/>
            </w:tcBorders>
            <w:shd w:val="clear" w:color="auto" w:fill="auto"/>
            <w:noWrap/>
            <w:vAlign w:val="bottom"/>
            <w:hideMark/>
          </w:tcPr>
          <w:p w14:paraId="330E0690" w14:textId="77777777" w:rsidR="00804B28" w:rsidRPr="00E44F5B" w:rsidRDefault="00804B28" w:rsidP="00A40600">
            <w:pPr>
              <w:pStyle w:val="Sinespaciado"/>
              <w:rPr>
                <w:lang w:val="es-EC"/>
              </w:rPr>
            </w:pPr>
          </w:p>
        </w:tc>
      </w:tr>
      <w:tr w:rsidR="00804B28" w:rsidRPr="00E44F5B" w14:paraId="001FE9D2" w14:textId="77777777" w:rsidTr="001710C6">
        <w:trPr>
          <w:trHeight w:val="246"/>
        </w:trPr>
        <w:tc>
          <w:tcPr>
            <w:tcW w:w="4414" w:type="dxa"/>
            <w:tcBorders>
              <w:top w:val="nil"/>
              <w:left w:val="nil"/>
              <w:bottom w:val="nil"/>
              <w:right w:val="nil"/>
            </w:tcBorders>
            <w:shd w:val="clear" w:color="auto" w:fill="auto"/>
            <w:noWrap/>
            <w:vAlign w:val="bottom"/>
            <w:hideMark/>
          </w:tcPr>
          <w:p w14:paraId="7DA9D237" w14:textId="77777777" w:rsidR="00804B28" w:rsidRPr="00E44F5B" w:rsidRDefault="00804B28" w:rsidP="00A40600">
            <w:pPr>
              <w:pStyle w:val="Sinespaciado"/>
              <w:rPr>
                <w:lang w:val="es-EC"/>
              </w:rPr>
            </w:pPr>
            <w:r w:rsidRPr="00E44F5B">
              <w:rPr>
                <w:lang w:val="es-EC"/>
              </w:rPr>
              <w:t>Bonificación Familiar</w:t>
            </w:r>
          </w:p>
        </w:tc>
        <w:tc>
          <w:tcPr>
            <w:tcW w:w="2173" w:type="dxa"/>
            <w:tcBorders>
              <w:top w:val="nil"/>
              <w:left w:val="nil"/>
              <w:bottom w:val="nil"/>
              <w:right w:val="nil"/>
            </w:tcBorders>
            <w:shd w:val="clear" w:color="auto" w:fill="auto"/>
            <w:noWrap/>
            <w:vAlign w:val="bottom"/>
            <w:hideMark/>
          </w:tcPr>
          <w:p w14:paraId="76F2876E" w14:textId="77777777" w:rsidR="00804B28" w:rsidRPr="00E44F5B" w:rsidRDefault="00804B28" w:rsidP="00A40600">
            <w:pPr>
              <w:pStyle w:val="Sinespaciado"/>
              <w:rPr>
                <w:lang w:val="es-EC"/>
              </w:rPr>
            </w:pPr>
            <w:r w:rsidRPr="00E44F5B">
              <w:rPr>
                <w:lang w:val="es-EC"/>
              </w:rPr>
              <w:t xml:space="preserve">                  68,040.00 </w:t>
            </w:r>
          </w:p>
        </w:tc>
        <w:tc>
          <w:tcPr>
            <w:tcW w:w="2123" w:type="dxa"/>
            <w:tcBorders>
              <w:top w:val="nil"/>
              <w:left w:val="nil"/>
              <w:bottom w:val="nil"/>
              <w:right w:val="nil"/>
            </w:tcBorders>
            <w:shd w:val="clear" w:color="auto" w:fill="auto"/>
            <w:noWrap/>
            <w:vAlign w:val="bottom"/>
            <w:hideMark/>
          </w:tcPr>
          <w:p w14:paraId="5142861D" w14:textId="77777777" w:rsidR="00804B28" w:rsidRPr="00E44F5B" w:rsidRDefault="00804B28" w:rsidP="00A40600">
            <w:pPr>
              <w:pStyle w:val="Sinespaciado"/>
              <w:rPr>
                <w:lang w:val="es-EC"/>
              </w:rPr>
            </w:pPr>
          </w:p>
        </w:tc>
      </w:tr>
      <w:tr w:rsidR="00804B28" w:rsidRPr="00E44F5B" w14:paraId="0EF304BD" w14:textId="77777777" w:rsidTr="001710C6">
        <w:trPr>
          <w:trHeight w:val="246"/>
        </w:trPr>
        <w:tc>
          <w:tcPr>
            <w:tcW w:w="4414" w:type="dxa"/>
            <w:tcBorders>
              <w:top w:val="nil"/>
              <w:left w:val="nil"/>
              <w:bottom w:val="nil"/>
              <w:right w:val="nil"/>
            </w:tcBorders>
            <w:shd w:val="clear" w:color="auto" w:fill="auto"/>
            <w:noWrap/>
            <w:vAlign w:val="bottom"/>
            <w:hideMark/>
          </w:tcPr>
          <w:p w14:paraId="6359C440" w14:textId="77777777" w:rsidR="00804B28" w:rsidRPr="00E44F5B" w:rsidRDefault="00804B28" w:rsidP="00A40600">
            <w:pPr>
              <w:pStyle w:val="Sinespaciado"/>
              <w:rPr>
                <w:lang w:val="es-EC"/>
              </w:rPr>
            </w:pPr>
            <w:r w:rsidRPr="00E44F5B">
              <w:rPr>
                <w:lang w:val="es-EC"/>
              </w:rPr>
              <w:t>Bono de Vivienda</w:t>
            </w:r>
          </w:p>
        </w:tc>
        <w:tc>
          <w:tcPr>
            <w:tcW w:w="2173" w:type="dxa"/>
            <w:tcBorders>
              <w:top w:val="nil"/>
              <w:left w:val="nil"/>
              <w:bottom w:val="nil"/>
              <w:right w:val="nil"/>
            </w:tcBorders>
            <w:shd w:val="clear" w:color="auto" w:fill="auto"/>
            <w:noWrap/>
            <w:vAlign w:val="bottom"/>
            <w:hideMark/>
          </w:tcPr>
          <w:p w14:paraId="05CAB67A" w14:textId="70205605" w:rsidR="00804B28" w:rsidRPr="00E44F5B" w:rsidRDefault="00804B28" w:rsidP="00A40600">
            <w:pPr>
              <w:pStyle w:val="Sinespaciado"/>
              <w:rPr>
                <w:lang w:val="es-EC"/>
              </w:rPr>
            </w:pPr>
            <w:r w:rsidRPr="00E44F5B">
              <w:rPr>
                <w:lang w:val="es-EC"/>
              </w:rPr>
              <w:t xml:space="preserve">                3</w:t>
            </w:r>
            <w:r w:rsidR="00B21F63" w:rsidRPr="00E44F5B">
              <w:rPr>
                <w:lang w:val="es-EC"/>
              </w:rPr>
              <w:t>15</w:t>
            </w:r>
            <w:r w:rsidRPr="00E44F5B">
              <w:rPr>
                <w:lang w:val="es-EC"/>
              </w:rPr>
              <w:t xml:space="preserve">,912.00 </w:t>
            </w:r>
          </w:p>
        </w:tc>
        <w:tc>
          <w:tcPr>
            <w:tcW w:w="2123" w:type="dxa"/>
            <w:tcBorders>
              <w:top w:val="nil"/>
              <w:left w:val="nil"/>
              <w:bottom w:val="nil"/>
              <w:right w:val="nil"/>
            </w:tcBorders>
            <w:shd w:val="clear" w:color="auto" w:fill="auto"/>
            <w:noWrap/>
            <w:vAlign w:val="bottom"/>
            <w:hideMark/>
          </w:tcPr>
          <w:p w14:paraId="4CC72569" w14:textId="77777777" w:rsidR="00804B28" w:rsidRPr="00E44F5B" w:rsidRDefault="00804B28" w:rsidP="00A40600">
            <w:pPr>
              <w:pStyle w:val="Sinespaciado"/>
              <w:rPr>
                <w:lang w:val="es-EC"/>
              </w:rPr>
            </w:pPr>
          </w:p>
        </w:tc>
      </w:tr>
      <w:tr w:rsidR="00804B28" w:rsidRPr="00E44F5B" w14:paraId="5333295D" w14:textId="77777777" w:rsidTr="001710C6">
        <w:trPr>
          <w:trHeight w:val="246"/>
        </w:trPr>
        <w:tc>
          <w:tcPr>
            <w:tcW w:w="4414" w:type="dxa"/>
            <w:tcBorders>
              <w:top w:val="nil"/>
              <w:left w:val="nil"/>
              <w:bottom w:val="nil"/>
              <w:right w:val="nil"/>
            </w:tcBorders>
            <w:shd w:val="clear" w:color="auto" w:fill="auto"/>
            <w:noWrap/>
            <w:vAlign w:val="bottom"/>
            <w:hideMark/>
          </w:tcPr>
          <w:p w14:paraId="1C09871A" w14:textId="77777777" w:rsidR="00804B28" w:rsidRPr="00E44F5B" w:rsidRDefault="00804B28" w:rsidP="00A40600">
            <w:pPr>
              <w:pStyle w:val="Sinespaciado"/>
              <w:rPr>
                <w:lang w:val="es-EC"/>
              </w:rPr>
            </w:pPr>
            <w:r w:rsidRPr="00E44F5B">
              <w:rPr>
                <w:lang w:val="es-EC"/>
              </w:rPr>
              <w:t>Fondo de Previsión</w:t>
            </w:r>
          </w:p>
        </w:tc>
        <w:tc>
          <w:tcPr>
            <w:tcW w:w="2173" w:type="dxa"/>
            <w:tcBorders>
              <w:top w:val="nil"/>
              <w:left w:val="nil"/>
              <w:bottom w:val="nil"/>
              <w:right w:val="nil"/>
            </w:tcBorders>
            <w:shd w:val="clear" w:color="auto" w:fill="auto"/>
            <w:noWrap/>
            <w:vAlign w:val="bottom"/>
            <w:hideMark/>
          </w:tcPr>
          <w:p w14:paraId="3490AC04" w14:textId="77777777" w:rsidR="00804B28" w:rsidRPr="00E44F5B" w:rsidRDefault="00804B28" w:rsidP="00A40600">
            <w:pPr>
              <w:pStyle w:val="Sinespaciado"/>
              <w:rPr>
                <w:lang w:val="es-EC"/>
              </w:rPr>
            </w:pPr>
            <w:r w:rsidRPr="00E44F5B">
              <w:rPr>
                <w:lang w:val="es-EC"/>
              </w:rPr>
              <w:t xml:space="preserve">                449,050.00 </w:t>
            </w:r>
          </w:p>
        </w:tc>
        <w:tc>
          <w:tcPr>
            <w:tcW w:w="2123" w:type="dxa"/>
            <w:tcBorders>
              <w:top w:val="nil"/>
              <w:left w:val="nil"/>
              <w:bottom w:val="nil"/>
              <w:right w:val="nil"/>
            </w:tcBorders>
            <w:shd w:val="clear" w:color="auto" w:fill="auto"/>
            <w:noWrap/>
            <w:vAlign w:val="bottom"/>
            <w:hideMark/>
          </w:tcPr>
          <w:p w14:paraId="2D23D871" w14:textId="77777777" w:rsidR="00804B28" w:rsidRPr="00E44F5B" w:rsidRDefault="00804B28" w:rsidP="00A40600">
            <w:pPr>
              <w:pStyle w:val="Sinespaciado"/>
              <w:rPr>
                <w:lang w:val="es-EC"/>
              </w:rPr>
            </w:pPr>
          </w:p>
        </w:tc>
      </w:tr>
      <w:tr w:rsidR="00804B28" w:rsidRPr="00E44F5B" w14:paraId="7982BAD7" w14:textId="77777777" w:rsidTr="001710C6">
        <w:trPr>
          <w:trHeight w:val="246"/>
        </w:trPr>
        <w:tc>
          <w:tcPr>
            <w:tcW w:w="4414" w:type="dxa"/>
            <w:tcBorders>
              <w:top w:val="nil"/>
              <w:left w:val="nil"/>
              <w:bottom w:val="nil"/>
              <w:right w:val="nil"/>
            </w:tcBorders>
            <w:shd w:val="clear" w:color="auto" w:fill="auto"/>
            <w:noWrap/>
            <w:vAlign w:val="bottom"/>
            <w:hideMark/>
          </w:tcPr>
          <w:p w14:paraId="6CC6A51B" w14:textId="77777777" w:rsidR="00804B28" w:rsidRPr="00E44F5B" w:rsidRDefault="00804B28" w:rsidP="00A40600">
            <w:pPr>
              <w:pStyle w:val="Sinespaciado"/>
              <w:rPr>
                <w:lang w:val="es-EC"/>
              </w:rPr>
            </w:pPr>
            <w:r w:rsidRPr="00E44F5B">
              <w:rPr>
                <w:lang w:val="es-EC"/>
              </w:rPr>
              <w:t>Seguros Personales</w:t>
            </w:r>
          </w:p>
        </w:tc>
        <w:tc>
          <w:tcPr>
            <w:tcW w:w="2173" w:type="dxa"/>
            <w:tcBorders>
              <w:top w:val="nil"/>
              <w:left w:val="nil"/>
              <w:bottom w:val="nil"/>
              <w:right w:val="nil"/>
            </w:tcBorders>
            <w:shd w:val="clear" w:color="auto" w:fill="auto"/>
            <w:noWrap/>
            <w:vAlign w:val="bottom"/>
            <w:hideMark/>
          </w:tcPr>
          <w:p w14:paraId="1BB8F239" w14:textId="77777777" w:rsidR="00804B28" w:rsidRPr="00E44F5B" w:rsidRDefault="00804B28" w:rsidP="00A40600">
            <w:pPr>
              <w:pStyle w:val="Sinespaciado"/>
              <w:rPr>
                <w:lang w:val="es-EC"/>
              </w:rPr>
            </w:pPr>
            <w:r w:rsidRPr="00E44F5B">
              <w:rPr>
                <w:lang w:val="es-EC"/>
              </w:rPr>
              <w:t xml:space="preserve">                246,261.00 </w:t>
            </w:r>
          </w:p>
        </w:tc>
        <w:tc>
          <w:tcPr>
            <w:tcW w:w="2123" w:type="dxa"/>
            <w:tcBorders>
              <w:top w:val="nil"/>
              <w:left w:val="nil"/>
              <w:bottom w:val="nil"/>
              <w:right w:val="nil"/>
            </w:tcBorders>
            <w:shd w:val="clear" w:color="auto" w:fill="auto"/>
            <w:noWrap/>
            <w:vAlign w:val="bottom"/>
            <w:hideMark/>
          </w:tcPr>
          <w:p w14:paraId="21314076" w14:textId="77777777" w:rsidR="00804B28" w:rsidRPr="00E44F5B" w:rsidRDefault="00804B28" w:rsidP="00A40600">
            <w:pPr>
              <w:pStyle w:val="Sinespaciado"/>
              <w:rPr>
                <w:lang w:val="es-EC"/>
              </w:rPr>
            </w:pPr>
          </w:p>
        </w:tc>
      </w:tr>
      <w:tr w:rsidR="00804B28" w:rsidRPr="00E44F5B" w14:paraId="0005C419" w14:textId="77777777" w:rsidTr="001710C6">
        <w:trPr>
          <w:trHeight w:val="246"/>
        </w:trPr>
        <w:tc>
          <w:tcPr>
            <w:tcW w:w="4414" w:type="dxa"/>
            <w:tcBorders>
              <w:top w:val="nil"/>
              <w:left w:val="nil"/>
              <w:bottom w:val="nil"/>
              <w:right w:val="nil"/>
            </w:tcBorders>
            <w:shd w:val="clear" w:color="auto" w:fill="auto"/>
            <w:noWrap/>
            <w:vAlign w:val="bottom"/>
            <w:hideMark/>
          </w:tcPr>
          <w:p w14:paraId="2746D15A" w14:textId="77777777" w:rsidR="00804B28" w:rsidRPr="00E44F5B" w:rsidRDefault="00804B28" w:rsidP="00A40600">
            <w:pPr>
              <w:pStyle w:val="Sinespaciado"/>
              <w:rPr>
                <w:lang w:val="es-EC"/>
              </w:rPr>
            </w:pPr>
            <w:r w:rsidRPr="00E44F5B">
              <w:rPr>
                <w:lang w:val="es-EC"/>
              </w:rPr>
              <w:t>Gastos de Instalación y Repatriación</w:t>
            </w:r>
          </w:p>
        </w:tc>
        <w:tc>
          <w:tcPr>
            <w:tcW w:w="2173" w:type="dxa"/>
            <w:tcBorders>
              <w:top w:val="nil"/>
              <w:left w:val="nil"/>
              <w:bottom w:val="nil"/>
              <w:right w:val="nil"/>
            </w:tcBorders>
            <w:shd w:val="clear" w:color="auto" w:fill="auto"/>
            <w:noWrap/>
            <w:vAlign w:val="bottom"/>
            <w:hideMark/>
          </w:tcPr>
          <w:p w14:paraId="62DA3E4A" w14:textId="6AEAAEA0" w:rsidR="00804B28" w:rsidRPr="00E44F5B" w:rsidRDefault="00804B28" w:rsidP="00A40600">
            <w:pPr>
              <w:pStyle w:val="Sinespaciado"/>
              <w:rPr>
                <w:lang w:val="es-EC"/>
              </w:rPr>
            </w:pPr>
            <w:r w:rsidRPr="00E44F5B">
              <w:rPr>
                <w:lang w:val="es-EC"/>
              </w:rPr>
              <w:t xml:space="preserve">                  </w:t>
            </w:r>
            <w:r w:rsidR="00B21F63" w:rsidRPr="00E44F5B">
              <w:rPr>
                <w:lang w:val="es-EC"/>
              </w:rPr>
              <w:t>92</w:t>
            </w:r>
            <w:r w:rsidRPr="00E44F5B">
              <w:rPr>
                <w:lang w:val="es-EC"/>
              </w:rPr>
              <w:t xml:space="preserve">,540.00 </w:t>
            </w:r>
          </w:p>
        </w:tc>
        <w:tc>
          <w:tcPr>
            <w:tcW w:w="2123" w:type="dxa"/>
            <w:tcBorders>
              <w:top w:val="nil"/>
              <w:left w:val="nil"/>
              <w:bottom w:val="nil"/>
              <w:right w:val="nil"/>
            </w:tcBorders>
            <w:shd w:val="clear" w:color="auto" w:fill="auto"/>
            <w:noWrap/>
            <w:vAlign w:val="bottom"/>
            <w:hideMark/>
          </w:tcPr>
          <w:p w14:paraId="6994797E" w14:textId="77777777" w:rsidR="00804B28" w:rsidRPr="00E44F5B" w:rsidRDefault="00804B28" w:rsidP="00A40600">
            <w:pPr>
              <w:pStyle w:val="Sinespaciado"/>
              <w:rPr>
                <w:lang w:val="es-EC"/>
              </w:rPr>
            </w:pPr>
          </w:p>
        </w:tc>
      </w:tr>
      <w:tr w:rsidR="00804B28" w:rsidRPr="00E44F5B" w14:paraId="46972DE3" w14:textId="77777777" w:rsidTr="001710C6">
        <w:trPr>
          <w:trHeight w:val="246"/>
        </w:trPr>
        <w:tc>
          <w:tcPr>
            <w:tcW w:w="4414" w:type="dxa"/>
            <w:tcBorders>
              <w:top w:val="nil"/>
              <w:left w:val="nil"/>
              <w:bottom w:val="nil"/>
              <w:right w:val="nil"/>
            </w:tcBorders>
            <w:shd w:val="clear" w:color="auto" w:fill="auto"/>
            <w:noWrap/>
            <w:vAlign w:val="bottom"/>
            <w:hideMark/>
          </w:tcPr>
          <w:p w14:paraId="7840A714" w14:textId="77777777" w:rsidR="00804B28" w:rsidRPr="00E44F5B" w:rsidRDefault="00804B28" w:rsidP="00A40600">
            <w:pPr>
              <w:pStyle w:val="Sinespaciado"/>
              <w:rPr>
                <w:lang w:val="es-EC"/>
              </w:rPr>
            </w:pPr>
            <w:r w:rsidRPr="00E44F5B">
              <w:rPr>
                <w:lang w:val="es-EC"/>
              </w:rPr>
              <w:t>Vacaciones País de Origen</w:t>
            </w:r>
          </w:p>
        </w:tc>
        <w:tc>
          <w:tcPr>
            <w:tcW w:w="2173" w:type="dxa"/>
            <w:tcBorders>
              <w:top w:val="nil"/>
              <w:left w:val="nil"/>
              <w:bottom w:val="nil"/>
              <w:right w:val="nil"/>
            </w:tcBorders>
            <w:shd w:val="clear" w:color="auto" w:fill="auto"/>
            <w:noWrap/>
            <w:vAlign w:val="bottom"/>
            <w:hideMark/>
          </w:tcPr>
          <w:p w14:paraId="6356ACB7" w14:textId="77777777" w:rsidR="00804B28" w:rsidRPr="00E44F5B" w:rsidRDefault="00804B28" w:rsidP="00A40600">
            <w:pPr>
              <w:pStyle w:val="Sinespaciado"/>
              <w:rPr>
                <w:lang w:val="es-EC"/>
              </w:rPr>
            </w:pPr>
            <w:r w:rsidRPr="00E44F5B">
              <w:rPr>
                <w:lang w:val="es-EC"/>
              </w:rPr>
              <w:t xml:space="preserve">                  19,600.00 </w:t>
            </w:r>
          </w:p>
        </w:tc>
        <w:tc>
          <w:tcPr>
            <w:tcW w:w="2123" w:type="dxa"/>
            <w:tcBorders>
              <w:top w:val="nil"/>
              <w:left w:val="nil"/>
              <w:bottom w:val="nil"/>
              <w:right w:val="nil"/>
            </w:tcBorders>
            <w:shd w:val="clear" w:color="auto" w:fill="auto"/>
            <w:noWrap/>
            <w:vAlign w:val="bottom"/>
            <w:hideMark/>
          </w:tcPr>
          <w:p w14:paraId="0F2CD940" w14:textId="77777777" w:rsidR="00804B28" w:rsidRPr="00E44F5B" w:rsidRDefault="00804B28" w:rsidP="00A40600">
            <w:pPr>
              <w:pStyle w:val="Sinespaciado"/>
              <w:rPr>
                <w:lang w:val="es-EC"/>
              </w:rPr>
            </w:pPr>
          </w:p>
        </w:tc>
      </w:tr>
      <w:tr w:rsidR="00804B28" w:rsidRPr="00E44F5B" w14:paraId="38780C4A" w14:textId="77777777" w:rsidTr="001710C6">
        <w:trPr>
          <w:trHeight w:val="246"/>
        </w:trPr>
        <w:tc>
          <w:tcPr>
            <w:tcW w:w="4414" w:type="dxa"/>
            <w:tcBorders>
              <w:top w:val="nil"/>
              <w:left w:val="nil"/>
              <w:bottom w:val="nil"/>
              <w:right w:val="nil"/>
            </w:tcBorders>
            <w:shd w:val="clear" w:color="auto" w:fill="auto"/>
            <w:noWrap/>
            <w:vAlign w:val="bottom"/>
            <w:hideMark/>
          </w:tcPr>
          <w:p w14:paraId="30C83BCD" w14:textId="77777777" w:rsidR="00804B28" w:rsidRPr="00E44F5B" w:rsidRDefault="00804B28" w:rsidP="00A40600">
            <w:pPr>
              <w:pStyle w:val="Sinespaciado"/>
              <w:rPr>
                <w:lang w:val="es-EC"/>
              </w:rPr>
            </w:pPr>
            <w:r w:rsidRPr="00E44F5B">
              <w:rPr>
                <w:lang w:val="es-EC"/>
              </w:rPr>
              <w:t>Refrigerios</w:t>
            </w:r>
          </w:p>
        </w:tc>
        <w:tc>
          <w:tcPr>
            <w:tcW w:w="2173" w:type="dxa"/>
            <w:tcBorders>
              <w:top w:val="nil"/>
              <w:left w:val="nil"/>
              <w:bottom w:val="nil"/>
              <w:right w:val="nil"/>
            </w:tcBorders>
            <w:shd w:val="clear" w:color="auto" w:fill="auto"/>
            <w:noWrap/>
            <w:vAlign w:val="bottom"/>
            <w:hideMark/>
          </w:tcPr>
          <w:p w14:paraId="0CAAF540" w14:textId="77777777" w:rsidR="00804B28" w:rsidRPr="00E44F5B" w:rsidRDefault="00804B28" w:rsidP="00A40600">
            <w:pPr>
              <w:pStyle w:val="Sinespaciado"/>
              <w:rPr>
                <w:lang w:val="es-EC"/>
              </w:rPr>
            </w:pPr>
            <w:r w:rsidRPr="00E44F5B">
              <w:rPr>
                <w:lang w:val="es-EC"/>
              </w:rPr>
              <w:t xml:space="preserve">                    1,000.00 </w:t>
            </w:r>
          </w:p>
        </w:tc>
        <w:tc>
          <w:tcPr>
            <w:tcW w:w="2123" w:type="dxa"/>
            <w:tcBorders>
              <w:top w:val="nil"/>
              <w:left w:val="nil"/>
              <w:bottom w:val="nil"/>
              <w:right w:val="nil"/>
            </w:tcBorders>
            <w:shd w:val="clear" w:color="auto" w:fill="auto"/>
            <w:noWrap/>
            <w:vAlign w:val="bottom"/>
            <w:hideMark/>
          </w:tcPr>
          <w:p w14:paraId="158F608F" w14:textId="77777777" w:rsidR="00804B28" w:rsidRPr="00E44F5B" w:rsidRDefault="00804B28" w:rsidP="00A40600">
            <w:pPr>
              <w:pStyle w:val="Sinespaciado"/>
              <w:rPr>
                <w:lang w:val="es-EC"/>
              </w:rPr>
            </w:pPr>
          </w:p>
        </w:tc>
      </w:tr>
      <w:tr w:rsidR="00804B28" w:rsidRPr="00E44F5B" w14:paraId="60201001" w14:textId="77777777" w:rsidTr="001710C6">
        <w:trPr>
          <w:trHeight w:val="246"/>
        </w:trPr>
        <w:tc>
          <w:tcPr>
            <w:tcW w:w="4414" w:type="dxa"/>
            <w:tcBorders>
              <w:top w:val="nil"/>
              <w:left w:val="nil"/>
              <w:bottom w:val="nil"/>
              <w:right w:val="nil"/>
            </w:tcBorders>
            <w:shd w:val="clear" w:color="auto" w:fill="auto"/>
            <w:noWrap/>
            <w:vAlign w:val="bottom"/>
            <w:hideMark/>
          </w:tcPr>
          <w:p w14:paraId="707C5184" w14:textId="77777777" w:rsidR="00804B28" w:rsidRPr="00E44F5B" w:rsidRDefault="00804B28" w:rsidP="00A40600">
            <w:pPr>
              <w:pStyle w:val="Sinespaciado"/>
              <w:rPr>
                <w:lang w:val="es-EC"/>
              </w:rPr>
            </w:pPr>
            <w:r w:rsidRPr="00E44F5B">
              <w:rPr>
                <w:lang w:val="es-EC"/>
              </w:rPr>
              <w:t>Compensación Vacaciones No Gozadas</w:t>
            </w:r>
          </w:p>
        </w:tc>
        <w:tc>
          <w:tcPr>
            <w:tcW w:w="2173" w:type="dxa"/>
            <w:tcBorders>
              <w:top w:val="nil"/>
              <w:left w:val="nil"/>
              <w:bottom w:val="nil"/>
              <w:right w:val="nil"/>
            </w:tcBorders>
            <w:shd w:val="clear" w:color="auto" w:fill="auto"/>
            <w:noWrap/>
            <w:vAlign w:val="bottom"/>
            <w:hideMark/>
          </w:tcPr>
          <w:p w14:paraId="6C501E9A" w14:textId="77777777" w:rsidR="00804B28" w:rsidRPr="00E44F5B" w:rsidRDefault="00804B28" w:rsidP="00A40600">
            <w:pPr>
              <w:pStyle w:val="Sinespaciado"/>
              <w:rPr>
                <w:lang w:val="es-EC"/>
              </w:rPr>
            </w:pPr>
            <w:r w:rsidRPr="00E44F5B">
              <w:rPr>
                <w:lang w:val="es-EC"/>
              </w:rPr>
              <w:t xml:space="preserve">                  10,000.00 </w:t>
            </w:r>
          </w:p>
        </w:tc>
        <w:tc>
          <w:tcPr>
            <w:tcW w:w="2123" w:type="dxa"/>
            <w:tcBorders>
              <w:top w:val="nil"/>
              <w:left w:val="nil"/>
              <w:bottom w:val="nil"/>
              <w:right w:val="nil"/>
            </w:tcBorders>
            <w:shd w:val="clear" w:color="auto" w:fill="auto"/>
            <w:noWrap/>
            <w:vAlign w:val="bottom"/>
            <w:hideMark/>
          </w:tcPr>
          <w:p w14:paraId="58B2D847" w14:textId="77777777" w:rsidR="00804B28" w:rsidRPr="00E44F5B" w:rsidRDefault="00804B28" w:rsidP="00A40600">
            <w:pPr>
              <w:pStyle w:val="Sinespaciado"/>
              <w:rPr>
                <w:lang w:val="es-EC"/>
              </w:rPr>
            </w:pPr>
          </w:p>
        </w:tc>
      </w:tr>
      <w:tr w:rsidR="00804B28" w:rsidRPr="00E44F5B" w14:paraId="48A827D8" w14:textId="77777777" w:rsidTr="001710C6">
        <w:trPr>
          <w:trHeight w:val="246"/>
        </w:trPr>
        <w:tc>
          <w:tcPr>
            <w:tcW w:w="4414" w:type="dxa"/>
            <w:tcBorders>
              <w:top w:val="nil"/>
              <w:left w:val="nil"/>
              <w:bottom w:val="nil"/>
              <w:right w:val="nil"/>
            </w:tcBorders>
            <w:shd w:val="clear" w:color="auto" w:fill="auto"/>
            <w:noWrap/>
            <w:vAlign w:val="bottom"/>
            <w:hideMark/>
          </w:tcPr>
          <w:p w14:paraId="4912EC00" w14:textId="77777777" w:rsidR="00804B28" w:rsidRPr="00E44F5B" w:rsidRDefault="00804B28" w:rsidP="00A40600">
            <w:pPr>
              <w:pStyle w:val="Sinespaciado"/>
              <w:rPr>
                <w:lang w:val="es-EC"/>
              </w:rPr>
            </w:pPr>
            <w:r w:rsidRPr="00E44F5B">
              <w:rPr>
                <w:lang w:val="es-EC"/>
              </w:rPr>
              <w:t>Otros Gastos de Personal</w:t>
            </w:r>
          </w:p>
        </w:tc>
        <w:tc>
          <w:tcPr>
            <w:tcW w:w="2173" w:type="dxa"/>
            <w:tcBorders>
              <w:top w:val="nil"/>
              <w:left w:val="nil"/>
              <w:bottom w:val="nil"/>
              <w:right w:val="nil"/>
            </w:tcBorders>
            <w:shd w:val="clear" w:color="auto" w:fill="auto"/>
            <w:noWrap/>
            <w:vAlign w:val="bottom"/>
            <w:hideMark/>
          </w:tcPr>
          <w:p w14:paraId="75F49C94" w14:textId="77777777" w:rsidR="00804B28" w:rsidRPr="00E44F5B" w:rsidRDefault="00804B28" w:rsidP="00A40600">
            <w:pPr>
              <w:pStyle w:val="Sinespaciado"/>
              <w:rPr>
                <w:lang w:val="es-EC"/>
              </w:rPr>
            </w:pPr>
            <w:r w:rsidRPr="00E44F5B">
              <w:rPr>
                <w:lang w:val="es-EC"/>
              </w:rPr>
              <w:t xml:space="preserve">                  82,499.00 </w:t>
            </w:r>
          </w:p>
        </w:tc>
        <w:tc>
          <w:tcPr>
            <w:tcW w:w="2123" w:type="dxa"/>
            <w:tcBorders>
              <w:top w:val="nil"/>
              <w:left w:val="nil"/>
              <w:bottom w:val="nil"/>
              <w:right w:val="nil"/>
            </w:tcBorders>
            <w:shd w:val="clear" w:color="auto" w:fill="auto"/>
            <w:noWrap/>
            <w:vAlign w:val="bottom"/>
            <w:hideMark/>
          </w:tcPr>
          <w:p w14:paraId="4427DF23" w14:textId="77777777" w:rsidR="00804B28" w:rsidRPr="00E44F5B" w:rsidRDefault="00804B28" w:rsidP="00A40600">
            <w:pPr>
              <w:pStyle w:val="Sinespaciado"/>
              <w:rPr>
                <w:lang w:val="es-EC"/>
              </w:rPr>
            </w:pPr>
          </w:p>
        </w:tc>
      </w:tr>
      <w:tr w:rsidR="00804B28" w:rsidRPr="00E44F5B" w14:paraId="5C75C816" w14:textId="77777777" w:rsidTr="001710C6">
        <w:trPr>
          <w:trHeight w:val="246"/>
        </w:trPr>
        <w:tc>
          <w:tcPr>
            <w:tcW w:w="4414" w:type="dxa"/>
            <w:tcBorders>
              <w:top w:val="nil"/>
              <w:left w:val="nil"/>
              <w:bottom w:val="nil"/>
              <w:right w:val="nil"/>
            </w:tcBorders>
            <w:shd w:val="clear" w:color="auto" w:fill="auto"/>
            <w:noWrap/>
            <w:vAlign w:val="bottom"/>
            <w:hideMark/>
          </w:tcPr>
          <w:p w14:paraId="760D530C" w14:textId="77777777" w:rsidR="00804B28" w:rsidRPr="001710C6" w:rsidRDefault="00804B28" w:rsidP="00A40600">
            <w:pPr>
              <w:pStyle w:val="Sinespaciado"/>
              <w:rPr>
                <w:b/>
                <w:bCs/>
                <w:lang w:val="es-EC"/>
              </w:rPr>
            </w:pPr>
            <w:r w:rsidRPr="001710C6">
              <w:rPr>
                <w:b/>
                <w:bCs/>
                <w:lang w:val="es-EC"/>
              </w:rPr>
              <w:t>CONTRATOS</w:t>
            </w:r>
          </w:p>
        </w:tc>
        <w:tc>
          <w:tcPr>
            <w:tcW w:w="2173" w:type="dxa"/>
            <w:tcBorders>
              <w:top w:val="nil"/>
              <w:left w:val="nil"/>
              <w:bottom w:val="nil"/>
              <w:right w:val="nil"/>
            </w:tcBorders>
            <w:shd w:val="clear" w:color="auto" w:fill="auto"/>
            <w:noWrap/>
            <w:vAlign w:val="bottom"/>
            <w:hideMark/>
          </w:tcPr>
          <w:p w14:paraId="7837DB6F"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11EA16B5" w14:textId="684DB032" w:rsidR="00804B28" w:rsidRPr="001710C6" w:rsidRDefault="00804B28" w:rsidP="00A40600">
            <w:pPr>
              <w:pStyle w:val="Sinespaciado"/>
              <w:rPr>
                <w:b/>
                <w:bCs/>
                <w:color w:val="000000"/>
                <w:lang w:val="es-EC"/>
              </w:rPr>
            </w:pPr>
            <w:r w:rsidRPr="001710C6">
              <w:rPr>
                <w:b/>
                <w:bCs/>
                <w:color w:val="000000"/>
                <w:lang w:val="es-EC"/>
              </w:rPr>
              <w:t xml:space="preserve">          16</w:t>
            </w:r>
            <w:r w:rsidR="00B820AF" w:rsidRPr="001710C6">
              <w:rPr>
                <w:b/>
                <w:bCs/>
                <w:color w:val="000000"/>
                <w:lang w:val="es-EC"/>
              </w:rPr>
              <w:t>7</w:t>
            </w:r>
            <w:r w:rsidRPr="001710C6">
              <w:rPr>
                <w:b/>
                <w:bCs/>
                <w:color w:val="000000"/>
                <w:lang w:val="es-EC"/>
              </w:rPr>
              <w:t>,</w:t>
            </w:r>
            <w:r w:rsidR="00B820AF" w:rsidRPr="001710C6">
              <w:rPr>
                <w:b/>
                <w:bCs/>
                <w:color w:val="000000"/>
                <w:lang w:val="es-EC"/>
              </w:rPr>
              <w:t>15</w:t>
            </w:r>
            <w:r w:rsidRPr="001710C6">
              <w:rPr>
                <w:b/>
                <w:bCs/>
                <w:color w:val="000000"/>
                <w:lang w:val="es-EC"/>
              </w:rPr>
              <w:t xml:space="preserve">0.00 </w:t>
            </w:r>
          </w:p>
        </w:tc>
      </w:tr>
      <w:tr w:rsidR="00804B28" w:rsidRPr="00E44F5B" w14:paraId="27EC39DA" w14:textId="77777777" w:rsidTr="001710C6">
        <w:trPr>
          <w:trHeight w:val="246"/>
        </w:trPr>
        <w:tc>
          <w:tcPr>
            <w:tcW w:w="4414" w:type="dxa"/>
            <w:tcBorders>
              <w:top w:val="nil"/>
              <w:left w:val="nil"/>
              <w:bottom w:val="nil"/>
              <w:right w:val="nil"/>
            </w:tcBorders>
            <w:shd w:val="clear" w:color="auto" w:fill="auto"/>
            <w:noWrap/>
            <w:vAlign w:val="bottom"/>
            <w:hideMark/>
          </w:tcPr>
          <w:p w14:paraId="2D89E5E2" w14:textId="77777777" w:rsidR="00804B28" w:rsidRPr="00E44F5B" w:rsidRDefault="00804B28" w:rsidP="00A40600">
            <w:pPr>
              <w:pStyle w:val="Sinespaciado"/>
              <w:rPr>
                <w:lang w:val="es-EC"/>
              </w:rPr>
            </w:pPr>
            <w:r w:rsidRPr="00E44F5B">
              <w:rPr>
                <w:lang w:val="es-EC"/>
              </w:rPr>
              <w:t>Plazo Fijo</w:t>
            </w:r>
          </w:p>
        </w:tc>
        <w:tc>
          <w:tcPr>
            <w:tcW w:w="2173" w:type="dxa"/>
            <w:tcBorders>
              <w:top w:val="nil"/>
              <w:left w:val="nil"/>
              <w:bottom w:val="nil"/>
              <w:right w:val="nil"/>
            </w:tcBorders>
            <w:shd w:val="clear" w:color="auto" w:fill="auto"/>
            <w:noWrap/>
            <w:vAlign w:val="bottom"/>
            <w:hideMark/>
          </w:tcPr>
          <w:p w14:paraId="1E44EC8A" w14:textId="3298897F" w:rsidR="00804B28" w:rsidRPr="00E44F5B" w:rsidRDefault="00804B28" w:rsidP="00A40600">
            <w:pPr>
              <w:pStyle w:val="Sinespaciado"/>
              <w:rPr>
                <w:lang w:val="es-EC"/>
              </w:rPr>
            </w:pPr>
            <w:r w:rsidRPr="00E44F5B">
              <w:rPr>
                <w:lang w:val="es-EC"/>
              </w:rPr>
              <w:t xml:space="preserve">                  4</w:t>
            </w:r>
            <w:r w:rsidR="00B820AF" w:rsidRPr="00E44F5B">
              <w:rPr>
                <w:lang w:val="es-EC"/>
              </w:rPr>
              <w:t>7</w:t>
            </w:r>
            <w:r w:rsidRPr="00E44F5B">
              <w:rPr>
                <w:lang w:val="es-EC"/>
              </w:rPr>
              <w:t>,</w:t>
            </w:r>
            <w:r w:rsidR="00B820AF" w:rsidRPr="00E44F5B">
              <w:rPr>
                <w:lang w:val="es-EC"/>
              </w:rPr>
              <w:t>15</w:t>
            </w:r>
            <w:r w:rsidRPr="00E44F5B">
              <w:rPr>
                <w:lang w:val="es-EC"/>
              </w:rPr>
              <w:t xml:space="preserve">0.00 </w:t>
            </w:r>
          </w:p>
        </w:tc>
        <w:tc>
          <w:tcPr>
            <w:tcW w:w="2123" w:type="dxa"/>
            <w:tcBorders>
              <w:top w:val="nil"/>
              <w:left w:val="nil"/>
              <w:bottom w:val="nil"/>
              <w:right w:val="nil"/>
            </w:tcBorders>
            <w:shd w:val="clear" w:color="auto" w:fill="auto"/>
            <w:noWrap/>
            <w:vAlign w:val="bottom"/>
            <w:hideMark/>
          </w:tcPr>
          <w:p w14:paraId="55333104" w14:textId="77777777" w:rsidR="00804B28" w:rsidRPr="00E44F5B" w:rsidRDefault="00804B28" w:rsidP="00A40600">
            <w:pPr>
              <w:pStyle w:val="Sinespaciado"/>
              <w:rPr>
                <w:lang w:val="es-EC"/>
              </w:rPr>
            </w:pPr>
          </w:p>
        </w:tc>
      </w:tr>
      <w:tr w:rsidR="00804B28" w:rsidRPr="00E44F5B" w14:paraId="42EA9F58" w14:textId="77777777" w:rsidTr="001710C6">
        <w:trPr>
          <w:trHeight w:val="246"/>
        </w:trPr>
        <w:tc>
          <w:tcPr>
            <w:tcW w:w="4414" w:type="dxa"/>
            <w:tcBorders>
              <w:top w:val="nil"/>
              <w:left w:val="nil"/>
              <w:bottom w:val="nil"/>
              <w:right w:val="nil"/>
            </w:tcBorders>
            <w:shd w:val="clear" w:color="auto" w:fill="auto"/>
            <w:noWrap/>
            <w:vAlign w:val="bottom"/>
            <w:hideMark/>
          </w:tcPr>
          <w:p w14:paraId="2C741A0B" w14:textId="77777777" w:rsidR="00804B28" w:rsidRPr="00E44F5B" w:rsidRDefault="00804B28" w:rsidP="00A40600">
            <w:pPr>
              <w:pStyle w:val="Sinespaciado"/>
              <w:rPr>
                <w:lang w:val="es-EC"/>
              </w:rPr>
            </w:pPr>
            <w:r w:rsidRPr="00E44F5B">
              <w:rPr>
                <w:lang w:val="es-EC"/>
              </w:rPr>
              <w:t>Tareas Específicas</w:t>
            </w:r>
          </w:p>
        </w:tc>
        <w:tc>
          <w:tcPr>
            <w:tcW w:w="2173" w:type="dxa"/>
            <w:tcBorders>
              <w:top w:val="nil"/>
              <w:left w:val="nil"/>
              <w:bottom w:val="nil"/>
              <w:right w:val="nil"/>
            </w:tcBorders>
            <w:shd w:val="clear" w:color="auto" w:fill="auto"/>
            <w:noWrap/>
            <w:vAlign w:val="bottom"/>
            <w:hideMark/>
          </w:tcPr>
          <w:p w14:paraId="7D17D429" w14:textId="77777777" w:rsidR="00804B28" w:rsidRPr="00E44F5B" w:rsidRDefault="00804B28" w:rsidP="00A40600">
            <w:pPr>
              <w:pStyle w:val="Sinespaciado"/>
              <w:rPr>
                <w:lang w:val="es-EC"/>
              </w:rPr>
            </w:pPr>
            <w:r w:rsidRPr="00E44F5B">
              <w:rPr>
                <w:lang w:val="es-EC"/>
              </w:rPr>
              <w:t xml:space="preserve">                120,000.00 </w:t>
            </w:r>
          </w:p>
        </w:tc>
        <w:tc>
          <w:tcPr>
            <w:tcW w:w="2123" w:type="dxa"/>
            <w:tcBorders>
              <w:top w:val="nil"/>
              <w:left w:val="nil"/>
              <w:bottom w:val="nil"/>
              <w:right w:val="nil"/>
            </w:tcBorders>
            <w:shd w:val="clear" w:color="auto" w:fill="auto"/>
            <w:noWrap/>
            <w:vAlign w:val="bottom"/>
            <w:hideMark/>
          </w:tcPr>
          <w:p w14:paraId="163323A1" w14:textId="77777777" w:rsidR="00804B28" w:rsidRPr="00E44F5B" w:rsidRDefault="00804B28" w:rsidP="00A40600">
            <w:pPr>
              <w:pStyle w:val="Sinespaciado"/>
              <w:rPr>
                <w:lang w:val="es-EC"/>
              </w:rPr>
            </w:pPr>
          </w:p>
        </w:tc>
      </w:tr>
      <w:tr w:rsidR="00804B28" w:rsidRPr="00E44F5B" w14:paraId="2CFDF7B8" w14:textId="77777777" w:rsidTr="001710C6">
        <w:trPr>
          <w:trHeight w:val="246"/>
        </w:trPr>
        <w:tc>
          <w:tcPr>
            <w:tcW w:w="4414" w:type="dxa"/>
            <w:tcBorders>
              <w:top w:val="nil"/>
              <w:left w:val="nil"/>
              <w:bottom w:val="nil"/>
              <w:right w:val="nil"/>
            </w:tcBorders>
            <w:shd w:val="clear" w:color="auto" w:fill="auto"/>
            <w:noWrap/>
            <w:vAlign w:val="bottom"/>
            <w:hideMark/>
          </w:tcPr>
          <w:p w14:paraId="3DEFD43A" w14:textId="77777777" w:rsidR="00804B28" w:rsidRPr="001710C6" w:rsidRDefault="00804B28" w:rsidP="00A40600">
            <w:pPr>
              <w:pStyle w:val="Sinespaciado"/>
              <w:rPr>
                <w:b/>
                <w:bCs/>
                <w:lang w:val="es-EC"/>
              </w:rPr>
            </w:pPr>
            <w:r w:rsidRPr="001710C6">
              <w:rPr>
                <w:b/>
                <w:bCs/>
                <w:lang w:val="es-EC"/>
              </w:rPr>
              <w:t>VIAJES DE SERVICIO</w:t>
            </w:r>
          </w:p>
        </w:tc>
        <w:tc>
          <w:tcPr>
            <w:tcW w:w="2173" w:type="dxa"/>
            <w:tcBorders>
              <w:top w:val="nil"/>
              <w:left w:val="nil"/>
              <w:bottom w:val="nil"/>
              <w:right w:val="nil"/>
            </w:tcBorders>
            <w:shd w:val="clear" w:color="auto" w:fill="auto"/>
            <w:noWrap/>
            <w:vAlign w:val="bottom"/>
            <w:hideMark/>
          </w:tcPr>
          <w:p w14:paraId="34AD8612"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7FFD2193" w14:textId="77777777" w:rsidR="00804B28" w:rsidRPr="001710C6" w:rsidRDefault="00804B28" w:rsidP="00A40600">
            <w:pPr>
              <w:pStyle w:val="Sinespaciado"/>
              <w:rPr>
                <w:b/>
                <w:bCs/>
                <w:color w:val="000000"/>
                <w:lang w:val="es-EC"/>
              </w:rPr>
            </w:pPr>
            <w:r w:rsidRPr="001710C6">
              <w:rPr>
                <w:b/>
                <w:bCs/>
                <w:color w:val="000000"/>
                <w:lang w:val="es-EC"/>
              </w:rPr>
              <w:t xml:space="preserve">          130,000.00 </w:t>
            </w:r>
          </w:p>
        </w:tc>
      </w:tr>
      <w:tr w:rsidR="00804B28" w:rsidRPr="00E44F5B" w14:paraId="07AC0AFB" w14:textId="77777777" w:rsidTr="001710C6">
        <w:trPr>
          <w:trHeight w:val="246"/>
        </w:trPr>
        <w:tc>
          <w:tcPr>
            <w:tcW w:w="4414" w:type="dxa"/>
            <w:tcBorders>
              <w:top w:val="nil"/>
              <w:left w:val="nil"/>
              <w:bottom w:val="nil"/>
              <w:right w:val="nil"/>
            </w:tcBorders>
            <w:shd w:val="clear" w:color="auto" w:fill="auto"/>
            <w:noWrap/>
            <w:vAlign w:val="bottom"/>
            <w:hideMark/>
          </w:tcPr>
          <w:p w14:paraId="2615164D" w14:textId="77777777" w:rsidR="00804B28" w:rsidRPr="001710C6" w:rsidRDefault="00804B28" w:rsidP="00A40600">
            <w:pPr>
              <w:pStyle w:val="Sinespaciado"/>
              <w:rPr>
                <w:b/>
                <w:bCs/>
                <w:lang w:val="es-EC"/>
              </w:rPr>
            </w:pPr>
            <w:r w:rsidRPr="001710C6">
              <w:rPr>
                <w:b/>
                <w:bCs/>
                <w:lang w:val="es-EC"/>
              </w:rPr>
              <w:t>ÚTILES Y SERVICIOS</w:t>
            </w:r>
          </w:p>
        </w:tc>
        <w:tc>
          <w:tcPr>
            <w:tcW w:w="2173" w:type="dxa"/>
            <w:tcBorders>
              <w:top w:val="nil"/>
              <w:left w:val="nil"/>
              <w:bottom w:val="nil"/>
              <w:right w:val="nil"/>
            </w:tcBorders>
            <w:shd w:val="clear" w:color="auto" w:fill="auto"/>
            <w:noWrap/>
            <w:vAlign w:val="bottom"/>
            <w:hideMark/>
          </w:tcPr>
          <w:p w14:paraId="12055441"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717DF1A4" w14:textId="77777777" w:rsidR="00804B28" w:rsidRPr="001710C6" w:rsidRDefault="00804B28" w:rsidP="00A40600">
            <w:pPr>
              <w:pStyle w:val="Sinespaciado"/>
              <w:rPr>
                <w:b/>
                <w:bCs/>
                <w:color w:val="000000"/>
                <w:lang w:val="es-EC"/>
              </w:rPr>
            </w:pPr>
            <w:r w:rsidRPr="001710C6">
              <w:rPr>
                <w:b/>
                <w:bCs/>
                <w:color w:val="000000"/>
                <w:lang w:val="es-EC"/>
              </w:rPr>
              <w:t xml:space="preserve">          479,313.00 </w:t>
            </w:r>
          </w:p>
        </w:tc>
      </w:tr>
      <w:tr w:rsidR="00804B28" w:rsidRPr="00E44F5B" w14:paraId="593C796B" w14:textId="77777777" w:rsidTr="001710C6">
        <w:trPr>
          <w:trHeight w:val="246"/>
        </w:trPr>
        <w:tc>
          <w:tcPr>
            <w:tcW w:w="4414" w:type="dxa"/>
            <w:tcBorders>
              <w:top w:val="nil"/>
              <w:left w:val="nil"/>
              <w:bottom w:val="nil"/>
              <w:right w:val="nil"/>
            </w:tcBorders>
            <w:shd w:val="clear" w:color="auto" w:fill="auto"/>
            <w:noWrap/>
            <w:vAlign w:val="bottom"/>
            <w:hideMark/>
          </w:tcPr>
          <w:p w14:paraId="6E2DEFF6" w14:textId="77777777" w:rsidR="00804B28" w:rsidRPr="00E44F5B" w:rsidRDefault="00804B28" w:rsidP="00A40600">
            <w:pPr>
              <w:pStyle w:val="Sinespaciado"/>
              <w:rPr>
                <w:lang w:val="es-EC"/>
              </w:rPr>
            </w:pPr>
            <w:r w:rsidRPr="00E44F5B">
              <w:rPr>
                <w:lang w:val="es-EC"/>
              </w:rPr>
              <w:t>Útiles y Efectos de Oficina</w:t>
            </w:r>
          </w:p>
        </w:tc>
        <w:tc>
          <w:tcPr>
            <w:tcW w:w="2173" w:type="dxa"/>
            <w:tcBorders>
              <w:top w:val="nil"/>
              <w:left w:val="nil"/>
              <w:bottom w:val="nil"/>
              <w:right w:val="nil"/>
            </w:tcBorders>
            <w:shd w:val="clear" w:color="auto" w:fill="auto"/>
            <w:noWrap/>
            <w:vAlign w:val="bottom"/>
            <w:hideMark/>
          </w:tcPr>
          <w:p w14:paraId="735B93B8" w14:textId="77777777" w:rsidR="00804B28" w:rsidRPr="00E44F5B" w:rsidRDefault="00804B28" w:rsidP="00A40600">
            <w:pPr>
              <w:pStyle w:val="Sinespaciado"/>
              <w:rPr>
                <w:lang w:val="es-EC"/>
              </w:rPr>
            </w:pPr>
            <w:r w:rsidRPr="00E44F5B">
              <w:rPr>
                <w:lang w:val="es-EC"/>
              </w:rPr>
              <w:t xml:space="preserve">                  15,354.00 </w:t>
            </w:r>
          </w:p>
        </w:tc>
        <w:tc>
          <w:tcPr>
            <w:tcW w:w="2123" w:type="dxa"/>
            <w:tcBorders>
              <w:top w:val="nil"/>
              <w:left w:val="nil"/>
              <w:bottom w:val="nil"/>
              <w:right w:val="nil"/>
            </w:tcBorders>
            <w:shd w:val="clear" w:color="auto" w:fill="auto"/>
            <w:noWrap/>
            <w:vAlign w:val="bottom"/>
            <w:hideMark/>
          </w:tcPr>
          <w:p w14:paraId="1B3EF4A7" w14:textId="77777777" w:rsidR="00804B28" w:rsidRPr="00E44F5B" w:rsidRDefault="00804B28" w:rsidP="00A40600">
            <w:pPr>
              <w:pStyle w:val="Sinespaciado"/>
              <w:rPr>
                <w:lang w:val="es-EC"/>
              </w:rPr>
            </w:pPr>
          </w:p>
        </w:tc>
      </w:tr>
      <w:tr w:rsidR="00804B28" w:rsidRPr="00E44F5B" w14:paraId="005055DC" w14:textId="77777777" w:rsidTr="001710C6">
        <w:trPr>
          <w:trHeight w:val="246"/>
        </w:trPr>
        <w:tc>
          <w:tcPr>
            <w:tcW w:w="4414" w:type="dxa"/>
            <w:tcBorders>
              <w:top w:val="nil"/>
              <w:left w:val="nil"/>
              <w:bottom w:val="nil"/>
              <w:right w:val="nil"/>
            </w:tcBorders>
            <w:shd w:val="clear" w:color="auto" w:fill="auto"/>
            <w:noWrap/>
            <w:vAlign w:val="bottom"/>
            <w:hideMark/>
          </w:tcPr>
          <w:p w14:paraId="000AD40B" w14:textId="77777777" w:rsidR="00804B28" w:rsidRPr="00E44F5B" w:rsidRDefault="00804B28" w:rsidP="00A40600">
            <w:pPr>
              <w:pStyle w:val="Sinespaciado"/>
              <w:rPr>
                <w:lang w:val="es-EC"/>
              </w:rPr>
            </w:pPr>
            <w:r w:rsidRPr="00E44F5B">
              <w:rPr>
                <w:lang w:val="es-EC"/>
              </w:rPr>
              <w:t>Materiales de Impresión</w:t>
            </w:r>
          </w:p>
        </w:tc>
        <w:tc>
          <w:tcPr>
            <w:tcW w:w="2173" w:type="dxa"/>
            <w:tcBorders>
              <w:top w:val="nil"/>
              <w:left w:val="nil"/>
              <w:bottom w:val="nil"/>
              <w:right w:val="nil"/>
            </w:tcBorders>
            <w:shd w:val="clear" w:color="auto" w:fill="auto"/>
            <w:noWrap/>
            <w:vAlign w:val="bottom"/>
            <w:hideMark/>
          </w:tcPr>
          <w:p w14:paraId="3A755920" w14:textId="77777777" w:rsidR="00804B28" w:rsidRPr="00E44F5B" w:rsidRDefault="00804B28" w:rsidP="00A40600">
            <w:pPr>
              <w:pStyle w:val="Sinespaciado"/>
              <w:rPr>
                <w:lang w:val="es-EC"/>
              </w:rPr>
            </w:pPr>
            <w:r w:rsidRPr="00E44F5B">
              <w:rPr>
                <w:lang w:val="es-EC"/>
              </w:rPr>
              <w:t xml:space="preserve">                  17,997.00 </w:t>
            </w:r>
          </w:p>
        </w:tc>
        <w:tc>
          <w:tcPr>
            <w:tcW w:w="2123" w:type="dxa"/>
            <w:tcBorders>
              <w:top w:val="nil"/>
              <w:left w:val="nil"/>
              <w:bottom w:val="nil"/>
              <w:right w:val="nil"/>
            </w:tcBorders>
            <w:shd w:val="clear" w:color="auto" w:fill="auto"/>
            <w:noWrap/>
            <w:vAlign w:val="bottom"/>
            <w:hideMark/>
          </w:tcPr>
          <w:p w14:paraId="42E90422" w14:textId="77777777" w:rsidR="00804B28" w:rsidRPr="00E44F5B" w:rsidRDefault="00804B28" w:rsidP="00A40600">
            <w:pPr>
              <w:pStyle w:val="Sinespaciado"/>
              <w:rPr>
                <w:lang w:val="es-EC"/>
              </w:rPr>
            </w:pPr>
          </w:p>
        </w:tc>
      </w:tr>
      <w:tr w:rsidR="00804B28" w:rsidRPr="00E44F5B" w14:paraId="0EE5F46F" w14:textId="77777777" w:rsidTr="001710C6">
        <w:trPr>
          <w:trHeight w:val="246"/>
        </w:trPr>
        <w:tc>
          <w:tcPr>
            <w:tcW w:w="4414" w:type="dxa"/>
            <w:tcBorders>
              <w:top w:val="nil"/>
              <w:left w:val="nil"/>
              <w:bottom w:val="nil"/>
              <w:right w:val="nil"/>
            </w:tcBorders>
            <w:shd w:val="clear" w:color="auto" w:fill="auto"/>
            <w:noWrap/>
            <w:vAlign w:val="bottom"/>
            <w:hideMark/>
          </w:tcPr>
          <w:p w14:paraId="24FA93AB" w14:textId="77777777" w:rsidR="00804B28" w:rsidRPr="00E44F5B" w:rsidRDefault="00804B28" w:rsidP="00A40600">
            <w:pPr>
              <w:pStyle w:val="Sinespaciado"/>
              <w:rPr>
                <w:lang w:val="es-EC"/>
              </w:rPr>
            </w:pPr>
            <w:r w:rsidRPr="00E44F5B">
              <w:rPr>
                <w:lang w:val="es-EC"/>
              </w:rPr>
              <w:t>Telecomunicaciones</w:t>
            </w:r>
          </w:p>
        </w:tc>
        <w:tc>
          <w:tcPr>
            <w:tcW w:w="2173" w:type="dxa"/>
            <w:tcBorders>
              <w:top w:val="nil"/>
              <w:left w:val="nil"/>
              <w:bottom w:val="nil"/>
              <w:right w:val="nil"/>
            </w:tcBorders>
            <w:shd w:val="clear" w:color="auto" w:fill="auto"/>
            <w:noWrap/>
            <w:vAlign w:val="bottom"/>
            <w:hideMark/>
          </w:tcPr>
          <w:p w14:paraId="3BFFCA2F" w14:textId="77777777" w:rsidR="00804B28" w:rsidRPr="00E44F5B" w:rsidRDefault="00804B28" w:rsidP="00A40600">
            <w:pPr>
              <w:pStyle w:val="Sinespaciado"/>
              <w:rPr>
                <w:lang w:val="es-EC"/>
              </w:rPr>
            </w:pPr>
            <w:r w:rsidRPr="00E44F5B">
              <w:rPr>
                <w:lang w:val="es-EC"/>
              </w:rPr>
              <w:t xml:space="preserve">                  64,504.00 </w:t>
            </w:r>
          </w:p>
        </w:tc>
        <w:tc>
          <w:tcPr>
            <w:tcW w:w="2123" w:type="dxa"/>
            <w:tcBorders>
              <w:top w:val="nil"/>
              <w:left w:val="nil"/>
              <w:bottom w:val="nil"/>
              <w:right w:val="nil"/>
            </w:tcBorders>
            <w:shd w:val="clear" w:color="auto" w:fill="auto"/>
            <w:noWrap/>
            <w:vAlign w:val="bottom"/>
            <w:hideMark/>
          </w:tcPr>
          <w:p w14:paraId="5EFC44BD" w14:textId="77777777" w:rsidR="00804B28" w:rsidRPr="00E44F5B" w:rsidRDefault="00804B28" w:rsidP="00A40600">
            <w:pPr>
              <w:pStyle w:val="Sinespaciado"/>
              <w:rPr>
                <w:lang w:val="es-EC"/>
              </w:rPr>
            </w:pPr>
          </w:p>
        </w:tc>
      </w:tr>
      <w:tr w:rsidR="00804B28" w:rsidRPr="00E44F5B" w14:paraId="7A73DF59" w14:textId="77777777" w:rsidTr="001710C6">
        <w:trPr>
          <w:trHeight w:val="246"/>
        </w:trPr>
        <w:tc>
          <w:tcPr>
            <w:tcW w:w="4414" w:type="dxa"/>
            <w:tcBorders>
              <w:top w:val="nil"/>
              <w:left w:val="nil"/>
              <w:bottom w:val="nil"/>
              <w:right w:val="nil"/>
            </w:tcBorders>
            <w:shd w:val="clear" w:color="auto" w:fill="auto"/>
            <w:noWrap/>
            <w:vAlign w:val="bottom"/>
            <w:hideMark/>
          </w:tcPr>
          <w:p w14:paraId="26DEFDC6" w14:textId="77777777" w:rsidR="00804B28" w:rsidRPr="00E44F5B" w:rsidRDefault="00804B28" w:rsidP="00A40600">
            <w:pPr>
              <w:pStyle w:val="Sinespaciado"/>
              <w:rPr>
                <w:lang w:val="es-EC"/>
              </w:rPr>
            </w:pPr>
            <w:r w:rsidRPr="00E44F5B">
              <w:rPr>
                <w:lang w:val="es-EC"/>
              </w:rPr>
              <w:t>Correos</w:t>
            </w:r>
          </w:p>
        </w:tc>
        <w:tc>
          <w:tcPr>
            <w:tcW w:w="2173" w:type="dxa"/>
            <w:tcBorders>
              <w:top w:val="nil"/>
              <w:left w:val="nil"/>
              <w:bottom w:val="nil"/>
              <w:right w:val="nil"/>
            </w:tcBorders>
            <w:shd w:val="clear" w:color="auto" w:fill="auto"/>
            <w:noWrap/>
            <w:vAlign w:val="bottom"/>
            <w:hideMark/>
          </w:tcPr>
          <w:p w14:paraId="53BA584A" w14:textId="77777777" w:rsidR="00804B28" w:rsidRPr="00E44F5B" w:rsidRDefault="00804B28" w:rsidP="00A40600">
            <w:pPr>
              <w:pStyle w:val="Sinespaciado"/>
              <w:rPr>
                <w:lang w:val="es-EC"/>
              </w:rPr>
            </w:pPr>
            <w:r w:rsidRPr="00E44F5B">
              <w:rPr>
                <w:lang w:val="es-EC"/>
              </w:rPr>
              <w:t xml:space="preserve">                    8,328.00 </w:t>
            </w:r>
          </w:p>
        </w:tc>
        <w:tc>
          <w:tcPr>
            <w:tcW w:w="2123" w:type="dxa"/>
            <w:tcBorders>
              <w:top w:val="nil"/>
              <w:left w:val="nil"/>
              <w:bottom w:val="nil"/>
              <w:right w:val="nil"/>
            </w:tcBorders>
            <w:shd w:val="clear" w:color="auto" w:fill="auto"/>
            <w:noWrap/>
            <w:vAlign w:val="bottom"/>
            <w:hideMark/>
          </w:tcPr>
          <w:p w14:paraId="2ED9F40A" w14:textId="77777777" w:rsidR="00804B28" w:rsidRPr="00E44F5B" w:rsidRDefault="00804B28" w:rsidP="00A40600">
            <w:pPr>
              <w:pStyle w:val="Sinespaciado"/>
              <w:rPr>
                <w:lang w:val="es-EC"/>
              </w:rPr>
            </w:pPr>
          </w:p>
        </w:tc>
      </w:tr>
      <w:tr w:rsidR="00804B28" w:rsidRPr="00E44F5B" w14:paraId="1F0FBB4D" w14:textId="77777777" w:rsidTr="001710C6">
        <w:trPr>
          <w:trHeight w:val="246"/>
        </w:trPr>
        <w:tc>
          <w:tcPr>
            <w:tcW w:w="4414" w:type="dxa"/>
            <w:tcBorders>
              <w:top w:val="nil"/>
              <w:left w:val="nil"/>
              <w:bottom w:val="nil"/>
              <w:right w:val="nil"/>
            </w:tcBorders>
            <w:shd w:val="clear" w:color="auto" w:fill="auto"/>
            <w:noWrap/>
            <w:vAlign w:val="bottom"/>
            <w:hideMark/>
          </w:tcPr>
          <w:p w14:paraId="4A4C509E" w14:textId="77777777" w:rsidR="00804B28" w:rsidRPr="00E44F5B" w:rsidRDefault="00804B28" w:rsidP="00A40600">
            <w:pPr>
              <w:pStyle w:val="Sinespaciado"/>
              <w:rPr>
                <w:lang w:val="es-EC"/>
              </w:rPr>
            </w:pPr>
            <w:r w:rsidRPr="00E44F5B">
              <w:rPr>
                <w:lang w:val="es-EC"/>
              </w:rPr>
              <w:t xml:space="preserve">Actos Oficiales  </w:t>
            </w:r>
          </w:p>
        </w:tc>
        <w:tc>
          <w:tcPr>
            <w:tcW w:w="2173" w:type="dxa"/>
            <w:tcBorders>
              <w:top w:val="nil"/>
              <w:left w:val="nil"/>
              <w:bottom w:val="nil"/>
              <w:right w:val="nil"/>
            </w:tcBorders>
            <w:shd w:val="clear" w:color="auto" w:fill="auto"/>
            <w:noWrap/>
            <w:vAlign w:val="bottom"/>
            <w:hideMark/>
          </w:tcPr>
          <w:p w14:paraId="6CBD9DD4" w14:textId="77777777" w:rsidR="00804B28" w:rsidRPr="00E44F5B" w:rsidRDefault="00804B28" w:rsidP="00A40600">
            <w:pPr>
              <w:pStyle w:val="Sinespaciado"/>
              <w:rPr>
                <w:lang w:val="es-EC"/>
              </w:rPr>
            </w:pPr>
            <w:r w:rsidRPr="00E44F5B">
              <w:rPr>
                <w:lang w:val="es-EC"/>
              </w:rPr>
              <w:t xml:space="preserve">                  65,950.00 </w:t>
            </w:r>
          </w:p>
        </w:tc>
        <w:tc>
          <w:tcPr>
            <w:tcW w:w="2123" w:type="dxa"/>
            <w:tcBorders>
              <w:top w:val="nil"/>
              <w:left w:val="nil"/>
              <w:bottom w:val="nil"/>
              <w:right w:val="nil"/>
            </w:tcBorders>
            <w:shd w:val="clear" w:color="auto" w:fill="auto"/>
            <w:noWrap/>
            <w:vAlign w:val="bottom"/>
            <w:hideMark/>
          </w:tcPr>
          <w:p w14:paraId="415CC574" w14:textId="77777777" w:rsidR="00804B28" w:rsidRPr="00E44F5B" w:rsidRDefault="00804B28" w:rsidP="00A40600">
            <w:pPr>
              <w:pStyle w:val="Sinespaciado"/>
              <w:rPr>
                <w:lang w:val="es-EC"/>
              </w:rPr>
            </w:pPr>
          </w:p>
        </w:tc>
      </w:tr>
      <w:tr w:rsidR="00804B28" w:rsidRPr="00E44F5B" w14:paraId="604D1988" w14:textId="77777777" w:rsidTr="001710C6">
        <w:trPr>
          <w:trHeight w:val="246"/>
        </w:trPr>
        <w:tc>
          <w:tcPr>
            <w:tcW w:w="4414" w:type="dxa"/>
            <w:tcBorders>
              <w:top w:val="nil"/>
              <w:left w:val="nil"/>
              <w:bottom w:val="nil"/>
              <w:right w:val="nil"/>
            </w:tcBorders>
            <w:shd w:val="clear" w:color="auto" w:fill="auto"/>
            <w:noWrap/>
            <w:vAlign w:val="bottom"/>
            <w:hideMark/>
          </w:tcPr>
          <w:p w14:paraId="39912961" w14:textId="77777777" w:rsidR="00804B28" w:rsidRPr="00E44F5B" w:rsidRDefault="00804B28" w:rsidP="00A40600">
            <w:pPr>
              <w:pStyle w:val="Sinespaciado"/>
              <w:rPr>
                <w:lang w:val="es-EC"/>
              </w:rPr>
            </w:pPr>
            <w:r w:rsidRPr="00E44F5B">
              <w:rPr>
                <w:lang w:val="es-EC"/>
              </w:rPr>
              <w:t>Honorarios Profesionales</w:t>
            </w:r>
          </w:p>
        </w:tc>
        <w:tc>
          <w:tcPr>
            <w:tcW w:w="2173" w:type="dxa"/>
            <w:tcBorders>
              <w:top w:val="nil"/>
              <w:left w:val="nil"/>
              <w:bottom w:val="nil"/>
              <w:right w:val="nil"/>
            </w:tcBorders>
            <w:shd w:val="clear" w:color="auto" w:fill="auto"/>
            <w:noWrap/>
            <w:vAlign w:val="bottom"/>
            <w:hideMark/>
          </w:tcPr>
          <w:p w14:paraId="10ED2EC1" w14:textId="77777777" w:rsidR="00804B28" w:rsidRPr="00E44F5B" w:rsidRDefault="00804B28" w:rsidP="00A40600">
            <w:pPr>
              <w:pStyle w:val="Sinespaciado"/>
              <w:rPr>
                <w:lang w:val="es-EC"/>
              </w:rPr>
            </w:pPr>
            <w:r w:rsidRPr="00E44F5B">
              <w:rPr>
                <w:lang w:val="es-EC"/>
              </w:rPr>
              <w:t xml:space="preserve">                  28,977.00 </w:t>
            </w:r>
          </w:p>
        </w:tc>
        <w:tc>
          <w:tcPr>
            <w:tcW w:w="2123" w:type="dxa"/>
            <w:tcBorders>
              <w:top w:val="nil"/>
              <w:left w:val="nil"/>
              <w:bottom w:val="nil"/>
              <w:right w:val="nil"/>
            </w:tcBorders>
            <w:shd w:val="clear" w:color="auto" w:fill="auto"/>
            <w:noWrap/>
            <w:vAlign w:val="bottom"/>
            <w:hideMark/>
          </w:tcPr>
          <w:p w14:paraId="762764A6" w14:textId="77777777" w:rsidR="00804B28" w:rsidRPr="00E44F5B" w:rsidRDefault="00804B28" w:rsidP="00A40600">
            <w:pPr>
              <w:pStyle w:val="Sinespaciado"/>
              <w:rPr>
                <w:lang w:val="es-EC"/>
              </w:rPr>
            </w:pPr>
          </w:p>
        </w:tc>
      </w:tr>
      <w:tr w:rsidR="00804B28" w:rsidRPr="00E44F5B" w14:paraId="01D9EE33" w14:textId="77777777" w:rsidTr="001710C6">
        <w:trPr>
          <w:trHeight w:val="246"/>
        </w:trPr>
        <w:tc>
          <w:tcPr>
            <w:tcW w:w="4414" w:type="dxa"/>
            <w:tcBorders>
              <w:top w:val="nil"/>
              <w:left w:val="nil"/>
              <w:bottom w:val="nil"/>
              <w:right w:val="nil"/>
            </w:tcBorders>
            <w:shd w:val="clear" w:color="auto" w:fill="auto"/>
            <w:noWrap/>
            <w:vAlign w:val="bottom"/>
            <w:hideMark/>
          </w:tcPr>
          <w:p w14:paraId="08D95F89" w14:textId="77777777" w:rsidR="00804B28" w:rsidRPr="00E44F5B" w:rsidRDefault="00804B28" w:rsidP="00A40600">
            <w:pPr>
              <w:pStyle w:val="Sinespaciado"/>
              <w:rPr>
                <w:lang w:val="es-EC"/>
              </w:rPr>
            </w:pPr>
            <w:r w:rsidRPr="00E44F5B">
              <w:rPr>
                <w:lang w:val="es-EC"/>
              </w:rPr>
              <w:t>Servicio de Vigilancia Particular</w:t>
            </w:r>
          </w:p>
        </w:tc>
        <w:tc>
          <w:tcPr>
            <w:tcW w:w="2173" w:type="dxa"/>
            <w:tcBorders>
              <w:top w:val="nil"/>
              <w:left w:val="nil"/>
              <w:bottom w:val="nil"/>
              <w:right w:val="nil"/>
            </w:tcBorders>
            <w:shd w:val="clear" w:color="auto" w:fill="auto"/>
            <w:noWrap/>
            <w:vAlign w:val="bottom"/>
            <w:hideMark/>
          </w:tcPr>
          <w:p w14:paraId="1632B82E" w14:textId="77777777" w:rsidR="00804B28" w:rsidRPr="00E44F5B" w:rsidRDefault="00804B28" w:rsidP="00A40600">
            <w:pPr>
              <w:pStyle w:val="Sinespaciado"/>
              <w:rPr>
                <w:lang w:val="es-EC"/>
              </w:rPr>
            </w:pPr>
            <w:r w:rsidRPr="00E44F5B">
              <w:rPr>
                <w:lang w:val="es-EC"/>
              </w:rPr>
              <w:t xml:space="preserve">                120,000.00 </w:t>
            </w:r>
          </w:p>
        </w:tc>
        <w:tc>
          <w:tcPr>
            <w:tcW w:w="2123" w:type="dxa"/>
            <w:tcBorders>
              <w:top w:val="nil"/>
              <w:left w:val="nil"/>
              <w:bottom w:val="nil"/>
              <w:right w:val="nil"/>
            </w:tcBorders>
            <w:shd w:val="clear" w:color="auto" w:fill="auto"/>
            <w:noWrap/>
            <w:vAlign w:val="bottom"/>
            <w:hideMark/>
          </w:tcPr>
          <w:p w14:paraId="32D07309" w14:textId="77777777" w:rsidR="00804B28" w:rsidRPr="00E44F5B" w:rsidRDefault="00804B28" w:rsidP="00A40600">
            <w:pPr>
              <w:pStyle w:val="Sinespaciado"/>
              <w:rPr>
                <w:lang w:val="es-EC"/>
              </w:rPr>
            </w:pPr>
          </w:p>
        </w:tc>
      </w:tr>
      <w:tr w:rsidR="00804B28" w:rsidRPr="00E44F5B" w14:paraId="2DF7782F" w14:textId="77777777" w:rsidTr="001710C6">
        <w:trPr>
          <w:trHeight w:val="246"/>
        </w:trPr>
        <w:tc>
          <w:tcPr>
            <w:tcW w:w="4414" w:type="dxa"/>
            <w:tcBorders>
              <w:top w:val="nil"/>
              <w:left w:val="nil"/>
              <w:bottom w:val="nil"/>
              <w:right w:val="nil"/>
            </w:tcBorders>
            <w:shd w:val="clear" w:color="auto" w:fill="auto"/>
            <w:noWrap/>
            <w:vAlign w:val="bottom"/>
            <w:hideMark/>
          </w:tcPr>
          <w:p w14:paraId="2093CA69" w14:textId="77777777" w:rsidR="00804B28" w:rsidRPr="00E44F5B" w:rsidRDefault="00804B28" w:rsidP="00A40600">
            <w:pPr>
              <w:pStyle w:val="Sinespaciado"/>
              <w:rPr>
                <w:lang w:val="es-EC"/>
              </w:rPr>
            </w:pPr>
            <w:r w:rsidRPr="00E44F5B">
              <w:rPr>
                <w:lang w:val="es-EC"/>
              </w:rPr>
              <w:t>Servicios Públicos</w:t>
            </w:r>
          </w:p>
        </w:tc>
        <w:tc>
          <w:tcPr>
            <w:tcW w:w="2173" w:type="dxa"/>
            <w:tcBorders>
              <w:top w:val="nil"/>
              <w:left w:val="nil"/>
              <w:bottom w:val="nil"/>
              <w:right w:val="nil"/>
            </w:tcBorders>
            <w:shd w:val="clear" w:color="auto" w:fill="auto"/>
            <w:noWrap/>
            <w:vAlign w:val="bottom"/>
            <w:hideMark/>
          </w:tcPr>
          <w:p w14:paraId="60C8D43E" w14:textId="77777777" w:rsidR="00804B28" w:rsidRPr="00E44F5B" w:rsidRDefault="00804B28" w:rsidP="00A40600">
            <w:pPr>
              <w:pStyle w:val="Sinespaciado"/>
              <w:rPr>
                <w:lang w:val="es-EC"/>
              </w:rPr>
            </w:pPr>
            <w:r w:rsidRPr="00E44F5B">
              <w:rPr>
                <w:lang w:val="es-EC"/>
              </w:rPr>
              <w:t xml:space="preserve">                  81,529.00 </w:t>
            </w:r>
          </w:p>
        </w:tc>
        <w:tc>
          <w:tcPr>
            <w:tcW w:w="2123" w:type="dxa"/>
            <w:tcBorders>
              <w:top w:val="nil"/>
              <w:left w:val="nil"/>
              <w:bottom w:val="nil"/>
              <w:right w:val="nil"/>
            </w:tcBorders>
            <w:shd w:val="clear" w:color="auto" w:fill="auto"/>
            <w:noWrap/>
            <w:vAlign w:val="bottom"/>
            <w:hideMark/>
          </w:tcPr>
          <w:p w14:paraId="138344EA" w14:textId="77777777" w:rsidR="00804B28" w:rsidRPr="00E44F5B" w:rsidRDefault="00804B28" w:rsidP="00A40600">
            <w:pPr>
              <w:pStyle w:val="Sinespaciado"/>
              <w:rPr>
                <w:lang w:val="es-EC"/>
              </w:rPr>
            </w:pPr>
          </w:p>
        </w:tc>
      </w:tr>
      <w:tr w:rsidR="00804B28" w:rsidRPr="00E44F5B" w14:paraId="0BD43276" w14:textId="77777777" w:rsidTr="001710C6">
        <w:trPr>
          <w:trHeight w:val="246"/>
        </w:trPr>
        <w:tc>
          <w:tcPr>
            <w:tcW w:w="4414" w:type="dxa"/>
            <w:tcBorders>
              <w:top w:val="nil"/>
              <w:left w:val="nil"/>
              <w:bottom w:val="nil"/>
              <w:right w:val="nil"/>
            </w:tcBorders>
            <w:shd w:val="clear" w:color="auto" w:fill="auto"/>
            <w:noWrap/>
            <w:vAlign w:val="bottom"/>
            <w:hideMark/>
          </w:tcPr>
          <w:p w14:paraId="09CA7F3D" w14:textId="77777777" w:rsidR="00804B28" w:rsidRPr="00E44F5B" w:rsidRDefault="00804B28" w:rsidP="00A40600">
            <w:pPr>
              <w:pStyle w:val="Sinespaciado"/>
              <w:rPr>
                <w:lang w:val="es-EC"/>
              </w:rPr>
            </w:pPr>
            <w:r w:rsidRPr="00E44F5B">
              <w:rPr>
                <w:lang w:val="es-EC"/>
              </w:rPr>
              <w:t>Seguros No Personales</w:t>
            </w:r>
          </w:p>
        </w:tc>
        <w:tc>
          <w:tcPr>
            <w:tcW w:w="2173" w:type="dxa"/>
            <w:tcBorders>
              <w:top w:val="nil"/>
              <w:left w:val="nil"/>
              <w:bottom w:val="nil"/>
              <w:right w:val="nil"/>
            </w:tcBorders>
            <w:shd w:val="clear" w:color="auto" w:fill="auto"/>
            <w:noWrap/>
            <w:vAlign w:val="bottom"/>
            <w:hideMark/>
          </w:tcPr>
          <w:p w14:paraId="38800AAC" w14:textId="77777777" w:rsidR="00804B28" w:rsidRPr="00E44F5B" w:rsidRDefault="00804B28" w:rsidP="00A40600">
            <w:pPr>
              <w:pStyle w:val="Sinespaciado"/>
              <w:rPr>
                <w:lang w:val="es-EC"/>
              </w:rPr>
            </w:pPr>
            <w:r w:rsidRPr="00E44F5B">
              <w:rPr>
                <w:lang w:val="es-EC"/>
              </w:rPr>
              <w:t xml:space="preserve">                  29,138.00 </w:t>
            </w:r>
          </w:p>
        </w:tc>
        <w:tc>
          <w:tcPr>
            <w:tcW w:w="2123" w:type="dxa"/>
            <w:tcBorders>
              <w:top w:val="nil"/>
              <w:left w:val="nil"/>
              <w:bottom w:val="nil"/>
              <w:right w:val="nil"/>
            </w:tcBorders>
            <w:shd w:val="clear" w:color="auto" w:fill="auto"/>
            <w:noWrap/>
            <w:vAlign w:val="bottom"/>
            <w:hideMark/>
          </w:tcPr>
          <w:p w14:paraId="23263537" w14:textId="77777777" w:rsidR="00804B28" w:rsidRPr="00E44F5B" w:rsidRDefault="00804B28" w:rsidP="00A40600">
            <w:pPr>
              <w:pStyle w:val="Sinespaciado"/>
              <w:rPr>
                <w:lang w:val="es-EC"/>
              </w:rPr>
            </w:pPr>
          </w:p>
        </w:tc>
      </w:tr>
      <w:tr w:rsidR="00804B28" w:rsidRPr="00E44F5B" w14:paraId="29FE9338" w14:textId="77777777" w:rsidTr="001710C6">
        <w:trPr>
          <w:trHeight w:val="246"/>
        </w:trPr>
        <w:tc>
          <w:tcPr>
            <w:tcW w:w="4414" w:type="dxa"/>
            <w:tcBorders>
              <w:top w:val="nil"/>
              <w:left w:val="nil"/>
              <w:bottom w:val="nil"/>
              <w:right w:val="nil"/>
            </w:tcBorders>
            <w:shd w:val="clear" w:color="auto" w:fill="auto"/>
            <w:noWrap/>
            <w:vAlign w:val="bottom"/>
            <w:hideMark/>
          </w:tcPr>
          <w:p w14:paraId="66A0842C" w14:textId="77777777" w:rsidR="00804B28" w:rsidRPr="00E44F5B" w:rsidRDefault="00804B28" w:rsidP="00A40600">
            <w:pPr>
              <w:pStyle w:val="Sinespaciado"/>
              <w:rPr>
                <w:lang w:val="es-EC"/>
              </w:rPr>
            </w:pPr>
            <w:r w:rsidRPr="00E44F5B">
              <w:rPr>
                <w:lang w:val="es-EC"/>
              </w:rPr>
              <w:t>Otros Gastos en Bienes y Servicios</w:t>
            </w:r>
          </w:p>
        </w:tc>
        <w:tc>
          <w:tcPr>
            <w:tcW w:w="2173" w:type="dxa"/>
            <w:tcBorders>
              <w:top w:val="nil"/>
              <w:left w:val="nil"/>
              <w:bottom w:val="nil"/>
              <w:right w:val="nil"/>
            </w:tcBorders>
            <w:shd w:val="clear" w:color="auto" w:fill="auto"/>
            <w:noWrap/>
            <w:vAlign w:val="bottom"/>
            <w:hideMark/>
          </w:tcPr>
          <w:p w14:paraId="36FB8BBD" w14:textId="77777777" w:rsidR="00804B28" w:rsidRPr="00E44F5B" w:rsidRDefault="00804B28" w:rsidP="00A40600">
            <w:pPr>
              <w:pStyle w:val="Sinespaciado"/>
              <w:rPr>
                <w:lang w:val="es-EC"/>
              </w:rPr>
            </w:pPr>
            <w:r w:rsidRPr="00E44F5B">
              <w:rPr>
                <w:lang w:val="es-EC"/>
              </w:rPr>
              <w:t xml:space="preserve">                  47,536.00 </w:t>
            </w:r>
          </w:p>
        </w:tc>
        <w:tc>
          <w:tcPr>
            <w:tcW w:w="2123" w:type="dxa"/>
            <w:tcBorders>
              <w:top w:val="nil"/>
              <w:left w:val="nil"/>
              <w:bottom w:val="nil"/>
              <w:right w:val="nil"/>
            </w:tcBorders>
            <w:shd w:val="clear" w:color="auto" w:fill="auto"/>
            <w:noWrap/>
            <w:vAlign w:val="bottom"/>
            <w:hideMark/>
          </w:tcPr>
          <w:p w14:paraId="6B2C9FE2" w14:textId="77777777" w:rsidR="00804B28" w:rsidRPr="00E44F5B" w:rsidRDefault="00804B28" w:rsidP="00A40600">
            <w:pPr>
              <w:pStyle w:val="Sinespaciado"/>
              <w:rPr>
                <w:lang w:val="es-EC"/>
              </w:rPr>
            </w:pPr>
          </w:p>
        </w:tc>
      </w:tr>
      <w:tr w:rsidR="00804B28" w:rsidRPr="00E44F5B" w14:paraId="220A8836" w14:textId="77777777" w:rsidTr="001710C6">
        <w:trPr>
          <w:trHeight w:val="246"/>
        </w:trPr>
        <w:tc>
          <w:tcPr>
            <w:tcW w:w="4414" w:type="dxa"/>
            <w:tcBorders>
              <w:top w:val="nil"/>
              <w:left w:val="nil"/>
              <w:bottom w:val="nil"/>
              <w:right w:val="nil"/>
            </w:tcBorders>
            <w:shd w:val="clear" w:color="auto" w:fill="auto"/>
            <w:noWrap/>
            <w:vAlign w:val="bottom"/>
            <w:hideMark/>
          </w:tcPr>
          <w:p w14:paraId="26629766" w14:textId="77777777" w:rsidR="00804B28" w:rsidRPr="001710C6" w:rsidRDefault="00804B28" w:rsidP="00A40600">
            <w:pPr>
              <w:pStyle w:val="Sinespaciado"/>
              <w:rPr>
                <w:b/>
                <w:bCs/>
                <w:lang w:val="es-EC"/>
              </w:rPr>
            </w:pPr>
            <w:r w:rsidRPr="001710C6">
              <w:rPr>
                <w:b/>
                <w:bCs/>
                <w:lang w:val="es-EC"/>
              </w:rPr>
              <w:t>BIENES DE CAPITAL</w:t>
            </w:r>
          </w:p>
        </w:tc>
        <w:tc>
          <w:tcPr>
            <w:tcW w:w="2173" w:type="dxa"/>
            <w:tcBorders>
              <w:top w:val="nil"/>
              <w:left w:val="nil"/>
              <w:bottom w:val="nil"/>
              <w:right w:val="nil"/>
            </w:tcBorders>
            <w:shd w:val="clear" w:color="auto" w:fill="auto"/>
            <w:noWrap/>
            <w:vAlign w:val="bottom"/>
            <w:hideMark/>
          </w:tcPr>
          <w:p w14:paraId="2F56E58B"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33B0D5E5" w14:textId="5BAFEBBB" w:rsidR="00804B28" w:rsidRPr="001710C6" w:rsidRDefault="00804B28" w:rsidP="00A40600">
            <w:pPr>
              <w:pStyle w:val="Sinespaciado"/>
              <w:rPr>
                <w:b/>
                <w:bCs/>
                <w:color w:val="000000"/>
                <w:lang w:val="es-EC"/>
              </w:rPr>
            </w:pPr>
            <w:r w:rsidRPr="001710C6">
              <w:rPr>
                <w:b/>
                <w:bCs/>
                <w:color w:val="000000"/>
                <w:lang w:val="es-EC"/>
              </w:rPr>
              <w:t xml:space="preserve">          29</w:t>
            </w:r>
            <w:r w:rsidR="00B820AF" w:rsidRPr="001710C6">
              <w:rPr>
                <w:b/>
                <w:bCs/>
                <w:color w:val="000000"/>
                <w:lang w:val="es-EC"/>
              </w:rPr>
              <w:t>8</w:t>
            </w:r>
            <w:r w:rsidRPr="001710C6">
              <w:rPr>
                <w:b/>
                <w:bCs/>
                <w:color w:val="000000"/>
                <w:lang w:val="es-EC"/>
              </w:rPr>
              <w:t>,4</w:t>
            </w:r>
            <w:r w:rsidR="00B820AF" w:rsidRPr="001710C6">
              <w:rPr>
                <w:b/>
                <w:bCs/>
                <w:color w:val="000000"/>
                <w:lang w:val="es-EC"/>
              </w:rPr>
              <w:t>7</w:t>
            </w:r>
            <w:r w:rsidRPr="001710C6">
              <w:rPr>
                <w:b/>
                <w:bCs/>
                <w:color w:val="000000"/>
                <w:lang w:val="es-EC"/>
              </w:rPr>
              <w:t xml:space="preserve">3.00 </w:t>
            </w:r>
          </w:p>
        </w:tc>
      </w:tr>
      <w:tr w:rsidR="00804B28" w:rsidRPr="00E44F5B" w14:paraId="1C3CF16A" w14:textId="77777777" w:rsidTr="001710C6">
        <w:trPr>
          <w:trHeight w:val="246"/>
        </w:trPr>
        <w:tc>
          <w:tcPr>
            <w:tcW w:w="4414" w:type="dxa"/>
            <w:tcBorders>
              <w:top w:val="nil"/>
              <w:left w:val="nil"/>
              <w:bottom w:val="nil"/>
              <w:right w:val="nil"/>
            </w:tcBorders>
            <w:shd w:val="clear" w:color="auto" w:fill="auto"/>
            <w:noWrap/>
            <w:vAlign w:val="bottom"/>
            <w:hideMark/>
          </w:tcPr>
          <w:p w14:paraId="0918472D" w14:textId="77777777" w:rsidR="00804B28" w:rsidRPr="00E44F5B" w:rsidRDefault="00804B28" w:rsidP="00A40600">
            <w:pPr>
              <w:pStyle w:val="Sinespaciado"/>
              <w:rPr>
                <w:lang w:val="es-EC"/>
              </w:rPr>
            </w:pPr>
            <w:r w:rsidRPr="00E44F5B">
              <w:rPr>
                <w:lang w:val="es-EC"/>
              </w:rPr>
              <w:t>Instalaciones y Mejoras</w:t>
            </w:r>
          </w:p>
        </w:tc>
        <w:tc>
          <w:tcPr>
            <w:tcW w:w="2173" w:type="dxa"/>
            <w:tcBorders>
              <w:top w:val="nil"/>
              <w:left w:val="nil"/>
              <w:bottom w:val="nil"/>
              <w:right w:val="nil"/>
            </w:tcBorders>
            <w:shd w:val="clear" w:color="auto" w:fill="auto"/>
            <w:noWrap/>
            <w:vAlign w:val="bottom"/>
            <w:hideMark/>
          </w:tcPr>
          <w:p w14:paraId="036F4EBC" w14:textId="53A5920A" w:rsidR="00804B28" w:rsidRPr="00E44F5B" w:rsidRDefault="00804B28" w:rsidP="00A40600">
            <w:pPr>
              <w:pStyle w:val="Sinespaciado"/>
              <w:rPr>
                <w:lang w:val="es-EC"/>
              </w:rPr>
            </w:pPr>
            <w:r w:rsidRPr="00E44F5B">
              <w:rPr>
                <w:lang w:val="es-EC"/>
              </w:rPr>
              <w:t xml:space="preserve">                22</w:t>
            </w:r>
            <w:r w:rsidR="00B820AF" w:rsidRPr="00E44F5B">
              <w:rPr>
                <w:lang w:val="es-EC"/>
              </w:rPr>
              <w:t>6</w:t>
            </w:r>
            <w:r w:rsidRPr="00E44F5B">
              <w:rPr>
                <w:lang w:val="es-EC"/>
              </w:rPr>
              <w:t>,5</w:t>
            </w:r>
            <w:r w:rsidR="00B820AF" w:rsidRPr="00E44F5B">
              <w:rPr>
                <w:lang w:val="es-EC"/>
              </w:rPr>
              <w:t>8</w:t>
            </w:r>
            <w:r w:rsidRPr="00E44F5B">
              <w:rPr>
                <w:lang w:val="es-EC"/>
              </w:rPr>
              <w:t xml:space="preserve">2.00 </w:t>
            </w:r>
          </w:p>
        </w:tc>
        <w:tc>
          <w:tcPr>
            <w:tcW w:w="2123" w:type="dxa"/>
            <w:tcBorders>
              <w:top w:val="nil"/>
              <w:left w:val="nil"/>
              <w:bottom w:val="nil"/>
              <w:right w:val="nil"/>
            </w:tcBorders>
            <w:shd w:val="clear" w:color="auto" w:fill="auto"/>
            <w:noWrap/>
            <w:vAlign w:val="bottom"/>
            <w:hideMark/>
          </w:tcPr>
          <w:p w14:paraId="602C3D6A" w14:textId="77777777" w:rsidR="00804B28" w:rsidRPr="00E44F5B" w:rsidRDefault="00804B28" w:rsidP="00A40600">
            <w:pPr>
              <w:pStyle w:val="Sinespaciado"/>
              <w:rPr>
                <w:lang w:val="es-EC"/>
              </w:rPr>
            </w:pPr>
          </w:p>
        </w:tc>
      </w:tr>
      <w:tr w:rsidR="00804B28" w:rsidRPr="00E44F5B" w14:paraId="0919CDC5" w14:textId="77777777" w:rsidTr="001710C6">
        <w:trPr>
          <w:trHeight w:val="246"/>
        </w:trPr>
        <w:tc>
          <w:tcPr>
            <w:tcW w:w="4414" w:type="dxa"/>
            <w:tcBorders>
              <w:top w:val="nil"/>
              <w:left w:val="nil"/>
              <w:bottom w:val="nil"/>
              <w:right w:val="nil"/>
            </w:tcBorders>
            <w:shd w:val="clear" w:color="auto" w:fill="auto"/>
            <w:noWrap/>
            <w:vAlign w:val="bottom"/>
            <w:hideMark/>
          </w:tcPr>
          <w:p w14:paraId="6906242E" w14:textId="77777777" w:rsidR="00804B28" w:rsidRPr="00E44F5B" w:rsidRDefault="00804B28" w:rsidP="00A40600">
            <w:pPr>
              <w:pStyle w:val="Sinespaciado"/>
              <w:rPr>
                <w:lang w:val="es-EC"/>
              </w:rPr>
            </w:pPr>
            <w:r w:rsidRPr="00E44F5B">
              <w:rPr>
                <w:lang w:val="es-EC"/>
              </w:rPr>
              <w:t>Equipos de Oficina</w:t>
            </w:r>
          </w:p>
        </w:tc>
        <w:tc>
          <w:tcPr>
            <w:tcW w:w="2173" w:type="dxa"/>
            <w:tcBorders>
              <w:top w:val="nil"/>
              <w:left w:val="nil"/>
              <w:bottom w:val="nil"/>
              <w:right w:val="nil"/>
            </w:tcBorders>
            <w:shd w:val="clear" w:color="auto" w:fill="auto"/>
            <w:noWrap/>
            <w:vAlign w:val="bottom"/>
            <w:hideMark/>
          </w:tcPr>
          <w:p w14:paraId="2BA6ED27" w14:textId="77777777" w:rsidR="00804B28" w:rsidRPr="00E44F5B" w:rsidRDefault="00804B28" w:rsidP="00A40600">
            <w:pPr>
              <w:pStyle w:val="Sinespaciado"/>
              <w:rPr>
                <w:lang w:val="es-EC"/>
              </w:rPr>
            </w:pPr>
            <w:r w:rsidRPr="00E44F5B">
              <w:rPr>
                <w:lang w:val="es-EC"/>
              </w:rPr>
              <w:t xml:space="preserve">                    7,700.00 </w:t>
            </w:r>
          </w:p>
        </w:tc>
        <w:tc>
          <w:tcPr>
            <w:tcW w:w="2123" w:type="dxa"/>
            <w:tcBorders>
              <w:top w:val="nil"/>
              <w:left w:val="nil"/>
              <w:bottom w:val="nil"/>
              <w:right w:val="nil"/>
            </w:tcBorders>
            <w:shd w:val="clear" w:color="auto" w:fill="auto"/>
            <w:noWrap/>
            <w:vAlign w:val="bottom"/>
            <w:hideMark/>
          </w:tcPr>
          <w:p w14:paraId="3DE4AEFC" w14:textId="77777777" w:rsidR="00804B28" w:rsidRPr="00E44F5B" w:rsidRDefault="00804B28" w:rsidP="00A40600">
            <w:pPr>
              <w:pStyle w:val="Sinespaciado"/>
              <w:rPr>
                <w:lang w:val="es-EC"/>
              </w:rPr>
            </w:pPr>
          </w:p>
        </w:tc>
      </w:tr>
      <w:tr w:rsidR="00804B28" w:rsidRPr="00E44F5B" w14:paraId="67379ED8" w14:textId="77777777" w:rsidTr="001710C6">
        <w:trPr>
          <w:trHeight w:val="246"/>
        </w:trPr>
        <w:tc>
          <w:tcPr>
            <w:tcW w:w="4414" w:type="dxa"/>
            <w:tcBorders>
              <w:top w:val="nil"/>
              <w:left w:val="nil"/>
              <w:bottom w:val="nil"/>
              <w:right w:val="nil"/>
            </w:tcBorders>
            <w:shd w:val="clear" w:color="auto" w:fill="auto"/>
            <w:noWrap/>
            <w:vAlign w:val="bottom"/>
            <w:hideMark/>
          </w:tcPr>
          <w:p w14:paraId="3DF7B856" w14:textId="77777777" w:rsidR="00804B28" w:rsidRPr="002D4145" w:rsidRDefault="00804B28" w:rsidP="00A40600">
            <w:pPr>
              <w:pStyle w:val="Sinespaciado"/>
              <w:rPr>
                <w:lang w:val="es-EC"/>
              </w:rPr>
            </w:pPr>
            <w:r w:rsidRPr="002D4145">
              <w:rPr>
                <w:lang w:val="es-EC"/>
              </w:rPr>
              <w:t>Otros Activos (licencias informáticas)</w:t>
            </w:r>
          </w:p>
        </w:tc>
        <w:tc>
          <w:tcPr>
            <w:tcW w:w="2173" w:type="dxa"/>
            <w:tcBorders>
              <w:top w:val="nil"/>
              <w:left w:val="nil"/>
              <w:bottom w:val="nil"/>
              <w:right w:val="nil"/>
            </w:tcBorders>
            <w:shd w:val="clear" w:color="auto" w:fill="auto"/>
            <w:noWrap/>
            <w:vAlign w:val="bottom"/>
            <w:hideMark/>
          </w:tcPr>
          <w:p w14:paraId="636796CD" w14:textId="4D03ADDB" w:rsidR="00804B28" w:rsidRPr="002D4145" w:rsidRDefault="00804B28" w:rsidP="00A40600">
            <w:pPr>
              <w:pStyle w:val="Sinespaciado"/>
              <w:rPr>
                <w:lang w:val="es-EC"/>
              </w:rPr>
            </w:pPr>
            <w:r w:rsidRPr="002D4145">
              <w:rPr>
                <w:lang w:val="es-EC"/>
              </w:rPr>
              <w:t xml:space="preserve">                  64,19</w:t>
            </w:r>
            <w:r w:rsidR="002D4145" w:rsidRPr="002D4145">
              <w:rPr>
                <w:lang w:val="es-EC"/>
              </w:rPr>
              <w:t>1</w:t>
            </w:r>
            <w:r w:rsidRPr="002D4145">
              <w:rPr>
                <w:lang w:val="es-EC"/>
              </w:rPr>
              <w:t xml:space="preserve">.00 </w:t>
            </w:r>
          </w:p>
        </w:tc>
        <w:tc>
          <w:tcPr>
            <w:tcW w:w="2123" w:type="dxa"/>
            <w:tcBorders>
              <w:top w:val="nil"/>
              <w:left w:val="nil"/>
              <w:bottom w:val="nil"/>
              <w:right w:val="nil"/>
            </w:tcBorders>
            <w:shd w:val="clear" w:color="auto" w:fill="auto"/>
            <w:noWrap/>
            <w:vAlign w:val="bottom"/>
            <w:hideMark/>
          </w:tcPr>
          <w:p w14:paraId="18113554" w14:textId="77777777" w:rsidR="00804B28" w:rsidRPr="00E44F5B" w:rsidRDefault="00804B28" w:rsidP="00A40600">
            <w:pPr>
              <w:pStyle w:val="Sinespaciado"/>
              <w:rPr>
                <w:lang w:val="es-EC"/>
              </w:rPr>
            </w:pPr>
          </w:p>
        </w:tc>
      </w:tr>
      <w:tr w:rsidR="00804B28" w:rsidRPr="00E44F5B" w14:paraId="48D7EAD9" w14:textId="77777777" w:rsidTr="001710C6">
        <w:trPr>
          <w:trHeight w:val="246"/>
        </w:trPr>
        <w:tc>
          <w:tcPr>
            <w:tcW w:w="4414" w:type="dxa"/>
            <w:tcBorders>
              <w:top w:val="nil"/>
              <w:left w:val="nil"/>
              <w:bottom w:val="nil"/>
              <w:right w:val="nil"/>
            </w:tcBorders>
            <w:shd w:val="clear" w:color="auto" w:fill="auto"/>
            <w:noWrap/>
            <w:vAlign w:val="bottom"/>
            <w:hideMark/>
          </w:tcPr>
          <w:p w14:paraId="5BD5C1AC" w14:textId="77777777" w:rsidR="00804B28" w:rsidRPr="001710C6" w:rsidRDefault="00804B28" w:rsidP="00A40600">
            <w:pPr>
              <w:pStyle w:val="Sinespaciado"/>
              <w:rPr>
                <w:b/>
                <w:bCs/>
                <w:lang w:val="es-EC"/>
              </w:rPr>
            </w:pPr>
            <w:r w:rsidRPr="001710C6">
              <w:rPr>
                <w:b/>
                <w:bCs/>
                <w:lang w:val="es-EC"/>
              </w:rPr>
              <w:t>ALQUILERES Y MANTENIMIENTO</w:t>
            </w:r>
          </w:p>
        </w:tc>
        <w:tc>
          <w:tcPr>
            <w:tcW w:w="2173" w:type="dxa"/>
            <w:tcBorders>
              <w:top w:val="nil"/>
              <w:left w:val="nil"/>
              <w:bottom w:val="nil"/>
              <w:right w:val="nil"/>
            </w:tcBorders>
            <w:shd w:val="clear" w:color="auto" w:fill="auto"/>
            <w:noWrap/>
            <w:vAlign w:val="bottom"/>
            <w:hideMark/>
          </w:tcPr>
          <w:p w14:paraId="3273D155"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2032684C" w14:textId="77777777" w:rsidR="00804B28" w:rsidRPr="001710C6" w:rsidRDefault="00804B28" w:rsidP="00A40600">
            <w:pPr>
              <w:pStyle w:val="Sinespaciado"/>
              <w:rPr>
                <w:b/>
                <w:bCs/>
                <w:color w:val="000000"/>
                <w:lang w:val="es-EC"/>
              </w:rPr>
            </w:pPr>
            <w:r w:rsidRPr="001710C6">
              <w:rPr>
                <w:b/>
                <w:bCs/>
                <w:color w:val="000000"/>
                <w:lang w:val="es-EC"/>
              </w:rPr>
              <w:t xml:space="preserve">          199,314.00 </w:t>
            </w:r>
          </w:p>
        </w:tc>
      </w:tr>
      <w:tr w:rsidR="00804B28" w:rsidRPr="00E44F5B" w14:paraId="01B75E98" w14:textId="77777777" w:rsidTr="001710C6">
        <w:trPr>
          <w:trHeight w:val="246"/>
        </w:trPr>
        <w:tc>
          <w:tcPr>
            <w:tcW w:w="4414" w:type="dxa"/>
            <w:tcBorders>
              <w:top w:val="nil"/>
              <w:left w:val="nil"/>
              <w:bottom w:val="nil"/>
              <w:right w:val="nil"/>
            </w:tcBorders>
            <w:shd w:val="clear" w:color="auto" w:fill="auto"/>
            <w:noWrap/>
            <w:vAlign w:val="bottom"/>
            <w:hideMark/>
          </w:tcPr>
          <w:p w14:paraId="1E596C5D" w14:textId="77777777" w:rsidR="00804B28" w:rsidRPr="00E44F5B" w:rsidRDefault="00804B28" w:rsidP="00A40600">
            <w:pPr>
              <w:pStyle w:val="Sinespaciado"/>
              <w:rPr>
                <w:lang w:val="es-EC"/>
              </w:rPr>
            </w:pPr>
            <w:r w:rsidRPr="00E44F5B">
              <w:rPr>
                <w:lang w:val="es-EC"/>
              </w:rPr>
              <w:t>Alquileres Varios</w:t>
            </w:r>
          </w:p>
        </w:tc>
        <w:tc>
          <w:tcPr>
            <w:tcW w:w="2173" w:type="dxa"/>
            <w:tcBorders>
              <w:top w:val="nil"/>
              <w:left w:val="nil"/>
              <w:bottom w:val="nil"/>
              <w:right w:val="nil"/>
            </w:tcBorders>
            <w:shd w:val="clear" w:color="auto" w:fill="auto"/>
            <w:noWrap/>
            <w:vAlign w:val="bottom"/>
            <w:hideMark/>
          </w:tcPr>
          <w:p w14:paraId="679EE3FB" w14:textId="77777777" w:rsidR="00804B28" w:rsidRPr="00E44F5B" w:rsidRDefault="00804B28" w:rsidP="00A40600">
            <w:pPr>
              <w:pStyle w:val="Sinespaciado"/>
              <w:rPr>
                <w:lang w:val="es-EC"/>
              </w:rPr>
            </w:pPr>
            <w:r w:rsidRPr="00E44F5B">
              <w:rPr>
                <w:lang w:val="es-EC"/>
              </w:rPr>
              <w:t xml:space="preserve">                    7,000.00 </w:t>
            </w:r>
          </w:p>
        </w:tc>
        <w:tc>
          <w:tcPr>
            <w:tcW w:w="2123" w:type="dxa"/>
            <w:tcBorders>
              <w:top w:val="nil"/>
              <w:left w:val="nil"/>
              <w:bottom w:val="nil"/>
              <w:right w:val="nil"/>
            </w:tcBorders>
            <w:shd w:val="clear" w:color="auto" w:fill="auto"/>
            <w:noWrap/>
            <w:vAlign w:val="bottom"/>
            <w:hideMark/>
          </w:tcPr>
          <w:p w14:paraId="559CF6DD" w14:textId="77777777" w:rsidR="00804B28" w:rsidRPr="00E44F5B" w:rsidRDefault="00804B28" w:rsidP="00A40600">
            <w:pPr>
              <w:pStyle w:val="Sinespaciado"/>
              <w:rPr>
                <w:lang w:val="es-EC"/>
              </w:rPr>
            </w:pPr>
          </w:p>
        </w:tc>
      </w:tr>
      <w:tr w:rsidR="00804B28" w:rsidRPr="00E44F5B" w14:paraId="0F1CE7B1" w14:textId="77777777" w:rsidTr="001710C6">
        <w:trPr>
          <w:trHeight w:val="246"/>
        </w:trPr>
        <w:tc>
          <w:tcPr>
            <w:tcW w:w="4414" w:type="dxa"/>
            <w:tcBorders>
              <w:top w:val="nil"/>
              <w:left w:val="nil"/>
              <w:bottom w:val="nil"/>
              <w:right w:val="nil"/>
            </w:tcBorders>
            <w:shd w:val="clear" w:color="auto" w:fill="auto"/>
            <w:noWrap/>
            <w:vAlign w:val="bottom"/>
            <w:hideMark/>
          </w:tcPr>
          <w:p w14:paraId="72B4ACAE" w14:textId="77777777" w:rsidR="00804B28" w:rsidRPr="00E44F5B" w:rsidRDefault="00804B28" w:rsidP="00A40600">
            <w:pPr>
              <w:pStyle w:val="Sinespaciado"/>
              <w:rPr>
                <w:lang w:val="es-EC"/>
              </w:rPr>
            </w:pPr>
            <w:r w:rsidRPr="00E44F5B">
              <w:rPr>
                <w:lang w:val="es-EC"/>
              </w:rPr>
              <w:t>Mantenimiento de Locales</w:t>
            </w:r>
          </w:p>
        </w:tc>
        <w:tc>
          <w:tcPr>
            <w:tcW w:w="2173" w:type="dxa"/>
            <w:tcBorders>
              <w:top w:val="nil"/>
              <w:left w:val="nil"/>
              <w:bottom w:val="nil"/>
              <w:right w:val="nil"/>
            </w:tcBorders>
            <w:shd w:val="clear" w:color="auto" w:fill="auto"/>
            <w:noWrap/>
            <w:vAlign w:val="bottom"/>
            <w:hideMark/>
          </w:tcPr>
          <w:p w14:paraId="185189A6" w14:textId="77777777" w:rsidR="00804B28" w:rsidRPr="00E44F5B" w:rsidRDefault="00804B28" w:rsidP="00A40600">
            <w:pPr>
              <w:pStyle w:val="Sinespaciado"/>
              <w:rPr>
                <w:lang w:val="es-EC"/>
              </w:rPr>
            </w:pPr>
            <w:r w:rsidRPr="00E44F5B">
              <w:rPr>
                <w:lang w:val="es-EC"/>
              </w:rPr>
              <w:t xml:space="preserve">                139,344.00 </w:t>
            </w:r>
          </w:p>
        </w:tc>
        <w:tc>
          <w:tcPr>
            <w:tcW w:w="2123" w:type="dxa"/>
            <w:tcBorders>
              <w:top w:val="nil"/>
              <w:left w:val="nil"/>
              <w:bottom w:val="nil"/>
              <w:right w:val="nil"/>
            </w:tcBorders>
            <w:shd w:val="clear" w:color="auto" w:fill="auto"/>
            <w:noWrap/>
            <w:vAlign w:val="bottom"/>
            <w:hideMark/>
          </w:tcPr>
          <w:p w14:paraId="0B1A6838" w14:textId="77777777" w:rsidR="00804B28" w:rsidRPr="00E44F5B" w:rsidRDefault="00804B28" w:rsidP="00A40600">
            <w:pPr>
              <w:pStyle w:val="Sinespaciado"/>
              <w:rPr>
                <w:lang w:val="es-EC"/>
              </w:rPr>
            </w:pPr>
          </w:p>
        </w:tc>
      </w:tr>
      <w:tr w:rsidR="00804B28" w:rsidRPr="00E44F5B" w14:paraId="602CDCE3" w14:textId="77777777" w:rsidTr="001710C6">
        <w:trPr>
          <w:trHeight w:val="246"/>
        </w:trPr>
        <w:tc>
          <w:tcPr>
            <w:tcW w:w="4414" w:type="dxa"/>
            <w:tcBorders>
              <w:top w:val="nil"/>
              <w:left w:val="nil"/>
              <w:bottom w:val="nil"/>
              <w:right w:val="nil"/>
            </w:tcBorders>
            <w:shd w:val="clear" w:color="auto" w:fill="auto"/>
            <w:noWrap/>
            <w:vAlign w:val="bottom"/>
            <w:hideMark/>
          </w:tcPr>
          <w:p w14:paraId="62F11F61" w14:textId="77777777" w:rsidR="00804B28" w:rsidRPr="00E44F5B" w:rsidRDefault="00804B28" w:rsidP="00A40600">
            <w:pPr>
              <w:pStyle w:val="Sinespaciado"/>
              <w:rPr>
                <w:lang w:val="es-EC"/>
              </w:rPr>
            </w:pPr>
            <w:r w:rsidRPr="00E44F5B">
              <w:rPr>
                <w:lang w:val="es-EC"/>
              </w:rPr>
              <w:t>Mantenimiento Muebles/Maquinaria/Equipos</w:t>
            </w:r>
          </w:p>
        </w:tc>
        <w:tc>
          <w:tcPr>
            <w:tcW w:w="2173" w:type="dxa"/>
            <w:tcBorders>
              <w:top w:val="nil"/>
              <w:left w:val="nil"/>
              <w:bottom w:val="nil"/>
              <w:right w:val="nil"/>
            </w:tcBorders>
            <w:shd w:val="clear" w:color="auto" w:fill="auto"/>
            <w:noWrap/>
            <w:vAlign w:val="bottom"/>
            <w:hideMark/>
          </w:tcPr>
          <w:p w14:paraId="574DC146" w14:textId="77777777" w:rsidR="00804B28" w:rsidRPr="00E44F5B" w:rsidRDefault="00804B28" w:rsidP="00A40600">
            <w:pPr>
              <w:pStyle w:val="Sinespaciado"/>
              <w:rPr>
                <w:lang w:val="es-EC"/>
              </w:rPr>
            </w:pPr>
            <w:r w:rsidRPr="00E44F5B">
              <w:rPr>
                <w:lang w:val="es-EC"/>
              </w:rPr>
              <w:t xml:space="preserve">                  25,468.00 </w:t>
            </w:r>
          </w:p>
        </w:tc>
        <w:tc>
          <w:tcPr>
            <w:tcW w:w="2123" w:type="dxa"/>
            <w:tcBorders>
              <w:top w:val="nil"/>
              <w:left w:val="nil"/>
              <w:bottom w:val="nil"/>
              <w:right w:val="nil"/>
            </w:tcBorders>
            <w:shd w:val="clear" w:color="auto" w:fill="auto"/>
            <w:noWrap/>
            <w:vAlign w:val="bottom"/>
            <w:hideMark/>
          </w:tcPr>
          <w:p w14:paraId="5CFC8FFE" w14:textId="77777777" w:rsidR="00804B28" w:rsidRPr="00E44F5B" w:rsidRDefault="00804B28" w:rsidP="00A40600">
            <w:pPr>
              <w:pStyle w:val="Sinespaciado"/>
              <w:rPr>
                <w:lang w:val="es-EC"/>
              </w:rPr>
            </w:pPr>
          </w:p>
        </w:tc>
      </w:tr>
      <w:tr w:rsidR="00804B28" w:rsidRPr="00E44F5B" w14:paraId="0828F845" w14:textId="77777777" w:rsidTr="001710C6">
        <w:trPr>
          <w:trHeight w:val="246"/>
        </w:trPr>
        <w:tc>
          <w:tcPr>
            <w:tcW w:w="4414" w:type="dxa"/>
            <w:tcBorders>
              <w:top w:val="nil"/>
              <w:left w:val="nil"/>
              <w:bottom w:val="nil"/>
              <w:right w:val="nil"/>
            </w:tcBorders>
            <w:shd w:val="clear" w:color="auto" w:fill="auto"/>
            <w:noWrap/>
            <w:vAlign w:val="bottom"/>
            <w:hideMark/>
          </w:tcPr>
          <w:p w14:paraId="3422D399" w14:textId="77777777" w:rsidR="00804B28" w:rsidRPr="00E44F5B" w:rsidRDefault="00804B28" w:rsidP="00A40600">
            <w:pPr>
              <w:pStyle w:val="Sinespaciado"/>
              <w:rPr>
                <w:lang w:val="es-EC"/>
              </w:rPr>
            </w:pPr>
            <w:r w:rsidRPr="00E44F5B">
              <w:rPr>
                <w:lang w:val="es-EC"/>
              </w:rPr>
              <w:t>Mantenimiento Equipo Procesamiento Datos</w:t>
            </w:r>
          </w:p>
        </w:tc>
        <w:tc>
          <w:tcPr>
            <w:tcW w:w="2173" w:type="dxa"/>
            <w:tcBorders>
              <w:top w:val="nil"/>
              <w:left w:val="nil"/>
              <w:bottom w:val="nil"/>
              <w:right w:val="nil"/>
            </w:tcBorders>
            <w:shd w:val="clear" w:color="auto" w:fill="auto"/>
            <w:noWrap/>
            <w:vAlign w:val="bottom"/>
            <w:hideMark/>
          </w:tcPr>
          <w:p w14:paraId="371C53F9" w14:textId="77777777" w:rsidR="00804B28" w:rsidRPr="00E44F5B" w:rsidRDefault="00804B28" w:rsidP="00A40600">
            <w:pPr>
              <w:pStyle w:val="Sinespaciado"/>
              <w:rPr>
                <w:lang w:val="es-EC"/>
              </w:rPr>
            </w:pPr>
            <w:r w:rsidRPr="00E44F5B">
              <w:rPr>
                <w:lang w:val="es-EC"/>
              </w:rPr>
              <w:t xml:space="preserve">                    8,000.00 </w:t>
            </w:r>
          </w:p>
        </w:tc>
        <w:tc>
          <w:tcPr>
            <w:tcW w:w="2123" w:type="dxa"/>
            <w:tcBorders>
              <w:top w:val="nil"/>
              <w:left w:val="nil"/>
              <w:bottom w:val="nil"/>
              <w:right w:val="nil"/>
            </w:tcBorders>
            <w:shd w:val="clear" w:color="auto" w:fill="auto"/>
            <w:noWrap/>
            <w:vAlign w:val="bottom"/>
            <w:hideMark/>
          </w:tcPr>
          <w:p w14:paraId="54CE448F" w14:textId="77777777" w:rsidR="00804B28" w:rsidRPr="00E44F5B" w:rsidRDefault="00804B28" w:rsidP="00A40600">
            <w:pPr>
              <w:pStyle w:val="Sinespaciado"/>
              <w:rPr>
                <w:lang w:val="es-EC"/>
              </w:rPr>
            </w:pPr>
          </w:p>
        </w:tc>
      </w:tr>
      <w:tr w:rsidR="00804B28" w:rsidRPr="00E44F5B" w14:paraId="5DD09A45" w14:textId="77777777" w:rsidTr="001710C6">
        <w:trPr>
          <w:trHeight w:val="246"/>
        </w:trPr>
        <w:tc>
          <w:tcPr>
            <w:tcW w:w="4414" w:type="dxa"/>
            <w:tcBorders>
              <w:top w:val="nil"/>
              <w:left w:val="nil"/>
              <w:bottom w:val="nil"/>
              <w:right w:val="nil"/>
            </w:tcBorders>
            <w:shd w:val="clear" w:color="auto" w:fill="auto"/>
            <w:noWrap/>
            <w:vAlign w:val="bottom"/>
            <w:hideMark/>
          </w:tcPr>
          <w:p w14:paraId="26C92C23" w14:textId="77777777" w:rsidR="00804B28" w:rsidRPr="00E44F5B" w:rsidRDefault="00804B28" w:rsidP="00A40600">
            <w:pPr>
              <w:pStyle w:val="Sinespaciado"/>
              <w:rPr>
                <w:lang w:val="es-EC"/>
              </w:rPr>
            </w:pPr>
            <w:r w:rsidRPr="00E44F5B">
              <w:rPr>
                <w:lang w:val="es-EC"/>
              </w:rPr>
              <w:t>Mantenimiento Vehículos</w:t>
            </w:r>
          </w:p>
        </w:tc>
        <w:tc>
          <w:tcPr>
            <w:tcW w:w="2173" w:type="dxa"/>
            <w:tcBorders>
              <w:top w:val="nil"/>
              <w:left w:val="nil"/>
              <w:bottom w:val="nil"/>
              <w:right w:val="nil"/>
            </w:tcBorders>
            <w:shd w:val="clear" w:color="auto" w:fill="auto"/>
            <w:noWrap/>
            <w:vAlign w:val="bottom"/>
            <w:hideMark/>
          </w:tcPr>
          <w:p w14:paraId="0EAEEF9E" w14:textId="77777777" w:rsidR="00804B28" w:rsidRPr="00E44F5B" w:rsidRDefault="00804B28" w:rsidP="00A40600">
            <w:pPr>
              <w:pStyle w:val="Sinespaciado"/>
              <w:rPr>
                <w:lang w:val="es-EC"/>
              </w:rPr>
            </w:pPr>
            <w:r w:rsidRPr="00E44F5B">
              <w:rPr>
                <w:lang w:val="es-EC"/>
              </w:rPr>
              <w:t xml:space="preserve">                  11,002.00 </w:t>
            </w:r>
          </w:p>
        </w:tc>
        <w:tc>
          <w:tcPr>
            <w:tcW w:w="2123" w:type="dxa"/>
            <w:tcBorders>
              <w:top w:val="nil"/>
              <w:left w:val="nil"/>
              <w:bottom w:val="nil"/>
              <w:right w:val="nil"/>
            </w:tcBorders>
            <w:shd w:val="clear" w:color="auto" w:fill="auto"/>
            <w:noWrap/>
            <w:vAlign w:val="bottom"/>
            <w:hideMark/>
          </w:tcPr>
          <w:p w14:paraId="682B3D03" w14:textId="77777777" w:rsidR="00804B28" w:rsidRPr="00E44F5B" w:rsidRDefault="00804B28" w:rsidP="00A40600">
            <w:pPr>
              <w:pStyle w:val="Sinespaciado"/>
              <w:rPr>
                <w:lang w:val="es-EC"/>
              </w:rPr>
            </w:pPr>
          </w:p>
        </w:tc>
      </w:tr>
      <w:tr w:rsidR="00804B28" w:rsidRPr="00E44F5B" w14:paraId="2A6F5E0B" w14:textId="77777777" w:rsidTr="001710C6">
        <w:trPr>
          <w:trHeight w:val="246"/>
        </w:trPr>
        <w:tc>
          <w:tcPr>
            <w:tcW w:w="4414" w:type="dxa"/>
            <w:tcBorders>
              <w:top w:val="nil"/>
              <w:left w:val="nil"/>
              <w:bottom w:val="nil"/>
              <w:right w:val="nil"/>
            </w:tcBorders>
            <w:shd w:val="clear" w:color="auto" w:fill="auto"/>
            <w:noWrap/>
            <w:vAlign w:val="bottom"/>
            <w:hideMark/>
          </w:tcPr>
          <w:p w14:paraId="26BB1E69" w14:textId="77777777" w:rsidR="00804B28" w:rsidRPr="00E44F5B" w:rsidRDefault="00804B28" w:rsidP="00A40600">
            <w:pPr>
              <w:pStyle w:val="Sinespaciado"/>
              <w:rPr>
                <w:lang w:val="es-EC"/>
              </w:rPr>
            </w:pPr>
            <w:r w:rsidRPr="00E44F5B">
              <w:rPr>
                <w:lang w:val="es-EC"/>
              </w:rPr>
              <w:t>Otros Gastos de Mantenimiento</w:t>
            </w:r>
          </w:p>
        </w:tc>
        <w:tc>
          <w:tcPr>
            <w:tcW w:w="2173" w:type="dxa"/>
            <w:tcBorders>
              <w:top w:val="nil"/>
              <w:left w:val="nil"/>
              <w:bottom w:val="nil"/>
              <w:right w:val="nil"/>
            </w:tcBorders>
            <w:shd w:val="clear" w:color="auto" w:fill="auto"/>
            <w:noWrap/>
            <w:vAlign w:val="bottom"/>
            <w:hideMark/>
          </w:tcPr>
          <w:p w14:paraId="738A77B6" w14:textId="77777777" w:rsidR="00804B28" w:rsidRPr="00E44F5B" w:rsidRDefault="00804B28" w:rsidP="00A40600">
            <w:pPr>
              <w:pStyle w:val="Sinespaciado"/>
              <w:rPr>
                <w:lang w:val="es-EC"/>
              </w:rPr>
            </w:pPr>
            <w:r w:rsidRPr="00E44F5B">
              <w:rPr>
                <w:lang w:val="es-EC"/>
              </w:rPr>
              <w:t xml:space="preserve">                    8,500.00 </w:t>
            </w:r>
          </w:p>
        </w:tc>
        <w:tc>
          <w:tcPr>
            <w:tcW w:w="2123" w:type="dxa"/>
            <w:tcBorders>
              <w:top w:val="nil"/>
              <w:left w:val="nil"/>
              <w:bottom w:val="nil"/>
              <w:right w:val="nil"/>
            </w:tcBorders>
            <w:shd w:val="clear" w:color="auto" w:fill="auto"/>
            <w:noWrap/>
            <w:vAlign w:val="bottom"/>
            <w:hideMark/>
          </w:tcPr>
          <w:p w14:paraId="221F6B98" w14:textId="77777777" w:rsidR="00804B28" w:rsidRPr="00E44F5B" w:rsidRDefault="00804B28" w:rsidP="00A40600">
            <w:pPr>
              <w:pStyle w:val="Sinespaciado"/>
              <w:rPr>
                <w:lang w:val="es-EC"/>
              </w:rPr>
            </w:pPr>
          </w:p>
        </w:tc>
      </w:tr>
      <w:tr w:rsidR="00804B28" w:rsidRPr="00E44F5B" w14:paraId="53B14D83" w14:textId="77777777" w:rsidTr="001710C6">
        <w:trPr>
          <w:trHeight w:val="246"/>
        </w:trPr>
        <w:tc>
          <w:tcPr>
            <w:tcW w:w="4414" w:type="dxa"/>
            <w:tcBorders>
              <w:top w:val="nil"/>
              <w:left w:val="nil"/>
              <w:bottom w:val="nil"/>
              <w:right w:val="nil"/>
            </w:tcBorders>
            <w:shd w:val="clear" w:color="auto" w:fill="auto"/>
            <w:noWrap/>
            <w:vAlign w:val="bottom"/>
            <w:hideMark/>
          </w:tcPr>
          <w:p w14:paraId="7C77DF5D" w14:textId="77777777" w:rsidR="00804B28" w:rsidRPr="001710C6" w:rsidRDefault="00804B28" w:rsidP="00A40600">
            <w:pPr>
              <w:pStyle w:val="Sinespaciado"/>
              <w:rPr>
                <w:b/>
                <w:bCs/>
                <w:lang w:val="es-EC"/>
              </w:rPr>
            </w:pPr>
            <w:r w:rsidRPr="001710C6">
              <w:rPr>
                <w:b/>
                <w:bCs/>
                <w:lang w:val="es-EC"/>
              </w:rPr>
              <w:t>COMUNICACIÓN SOCIAL</w:t>
            </w:r>
          </w:p>
        </w:tc>
        <w:tc>
          <w:tcPr>
            <w:tcW w:w="2173" w:type="dxa"/>
            <w:tcBorders>
              <w:top w:val="nil"/>
              <w:left w:val="nil"/>
              <w:bottom w:val="nil"/>
              <w:right w:val="nil"/>
            </w:tcBorders>
            <w:shd w:val="clear" w:color="auto" w:fill="auto"/>
            <w:noWrap/>
            <w:vAlign w:val="bottom"/>
            <w:hideMark/>
          </w:tcPr>
          <w:p w14:paraId="1DC0F397" w14:textId="77777777" w:rsidR="00804B28" w:rsidRPr="001710C6" w:rsidRDefault="00804B28" w:rsidP="00A40600">
            <w:pPr>
              <w:pStyle w:val="Sinespaciado"/>
              <w:rPr>
                <w:b/>
                <w:bCs/>
                <w:lang w:val="es-EC"/>
              </w:rPr>
            </w:pPr>
          </w:p>
        </w:tc>
        <w:tc>
          <w:tcPr>
            <w:tcW w:w="2123" w:type="dxa"/>
            <w:tcBorders>
              <w:top w:val="nil"/>
              <w:left w:val="nil"/>
              <w:bottom w:val="nil"/>
              <w:right w:val="nil"/>
            </w:tcBorders>
            <w:shd w:val="clear" w:color="auto" w:fill="auto"/>
            <w:noWrap/>
            <w:vAlign w:val="bottom"/>
            <w:hideMark/>
          </w:tcPr>
          <w:p w14:paraId="0E4DA4A0" w14:textId="77777777" w:rsidR="00804B28" w:rsidRPr="001710C6" w:rsidRDefault="00804B28" w:rsidP="00A40600">
            <w:pPr>
              <w:pStyle w:val="Sinespaciado"/>
              <w:rPr>
                <w:b/>
                <w:bCs/>
                <w:color w:val="000000"/>
                <w:lang w:val="es-EC"/>
              </w:rPr>
            </w:pPr>
            <w:r w:rsidRPr="001710C6">
              <w:rPr>
                <w:b/>
                <w:bCs/>
                <w:color w:val="000000"/>
                <w:lang w:val="es-EC"/>
              </w:rPr>
              <w:t xml:space="preserve">           59,608.00 </w:t>
            </w:r>
          </w:p>
        </w:tc>
      </w:tr>
      <w:tr w:rsidR="00804B28" w:rsidRPr="00E44F5B" w14:paraId="53959718" w14:textId="77777777" w:rsidTr="001710C6">
        <w:trPr>
          <w:trHeight w:val="246"/>
        </w:trPr>
        <w:tc>
          <w:tcPr>
            <w:tcW w:w="4414" w:type="dxa"/>
            <w:tcBorders>
              <w:top w:val="nil"/>
              <w:left w:val="nil"/>
              <w:bottom w:val="nil"/>
              <w:right w:val="nil"/>
            </w:tcBorders>
            <w:shd w:val="clear" w:color="auto" w:fill="auto"/>
            <w:noWrap/>
            <w:vAlign w:val="bottom"/>
            <w:hideMark/>
          </w:tcPr>
          <w:p w14:paraId="53F78E0E" w14:textId="77777777" w:rsidR="00804B28" w:rsidRPr="00E44F5B" w:rsidRDefault="00804B28" w:rsidP="00A40600">
            <w:pPr>
              <w:pStyle w:val="Sinespaciado"/>
              <w:rPr>
                <w:lang w:val="es-EC"/>
              </w:rPr>
            </w:pPr>
            <w:r w:rsidRPr="00E44F5B">
              <w:rPr>
                <w:lang w:val="es-EC"/>
              </w:rPr>
              <w:t>Publicaciones</w:t>
            </w:r>
          </w:p>
        </w:tc>
        <w:tc>
          <w:tcPr>
            <w:tcW w:w="2173" w:type="dxa"/>
            <w:tcBorders>
              <w:top w:val="nil"/>
              <w:left w:val="nil"/>
              <w:bottom w:val="nil"/>
              <w:right w:val="nil"/>
            </w:tcBorders>
            <w:shd w:val="clear" w:color="auto" w:fill="auto"/>
            <w:noWrap/>
            <w:vAlign w:val="bottom"/>
            <w:hideMark/>
          </w:tcPr>
          <w:p w14:paraId="5B118567" w14:textId="77777777" w:rsidR="00804B28" w:rsidRPr="00E44F5B" w:rsidRDefault="00804B28" w:rsidP="00A40600">
            <w:pPr>
              <w:pStyle w:val="Sinespaciado"/>
              <w:rPr>
                <w:lang w:val="es-EC"/>
              </w:rPr>
            </w:pPr>
            <w:r w:rsidRPr="00E44F5B">
              <w:rPr>
                <w:lang w:val="es-EC"/>
              </w:rPr>
              <w:t xml:space="preserve">                  21,560.00 </w:t>
            </w:r>
          </w:p>
        </w:tc>
        <w:tc>
          <w:tcPr>
            <w:tcW w:w="2123" w:type="dxa"/>
            <w:tcBorders>
              <w:top w:val="nil"/>
              <w:left w:val="nil"/>
              <w:bottom w:val="nil"/>
              <w:right w:val="nil"/>
            </w:tcBorders>
            <w:shd w:val="clear" w:color="auto" w:fill="auto"/>
            <w:noWrap/>
            <w:vAlign w:val="bottom"/>
            <w:hideMark/>
          </w:tcPr>
          <w:p w14:paraId="4A37A3D9" w14:textId="77777777" w:rsidR="00804B28" w:rsidRPr="00E44F5B" w:rsidRDefault="00804B28" w:rsidP="00A40600">
            <w:pPr>
              <w:pStyle w:val="Sinespaciado"/>
              <w:rPr>
                <w:lang w:val="es-EC"/>
              </w:rPr>
            </w:pPr>
          </w:p>
        </w:tc>
      </w:tr>
      <w:tr w:rsidR="00804B28" w:rsidRPr="00E44F5B" w14:paraId="361BB022" w14:textId="77777777" w:rsidTr="001710C6">
        <w:trPr>
          <w:trHeight w:val="246"/>
        </w:trPr>
        <w:tc>
          <w:tcPr>
            <w:tcW w:w="4414" w:type="dxa"/>
            <w:tcBorders>
              <w:top w:val="nil"/>
              <w:left w:val="nil"/>
              <w:bottom w:val="nil"/>
              <w:right w:val="nil"/>
            </w:tcBorders>
            <w:shd w:val="clear" w:color="auto" w:fill="auto"/>
            <w:noWrap/>
            <w:vAlign w:val="bottom"/>
            <w:hideMark/>
          </w:tcPr>
          <w:p w14:paraId="2CD256B3" w14:textId="77777777" w:rsidR="00804B28" w:rsidRPr="00E44F5B" w:rsidRDefault="00804B28" w:rsidP="00A40600">
            <w:pPr>
              <w:pStyle w:val="Sinespaciado"/>
              <w:rPr>
                <w:lang w:val="es-EC"/>
              </w:rPr>
            </w:pPr>
            <w:r w:rsidRPr="00E44F5B">
              <w:rPr>
                <w:lang w:val="es-EC"/>
              </w:rPr>
              <w:t>Servicio de Noticias</w:t>
            </w:r>
          </w:p>
        </w:tc>
        <w:tc>
          <w:tcPr>
            <w:tcW w:w="2173" w:type="dxa"/>
            <w:tcBorders>
              <w:top w:val="nil"/>
              <w:left w:val="nil"/>
              <w:bottom w:val="nil"/>
              <w:right w:val="nil"/>
            </w:tcBorders>
            <w:shd w:val="clear" w:color="auto" w:fill="auto"/>
            <w:noWrap/>
            <w:vAlign w:val="bottom"/>
            <w:hideMark/>
          </w:tcPr>
          <w:p w14:paraId="1C54E8D9" w14:textId="77777777" w:rsidR="00804B28" w:rsidRPr="00E44F5B" w:rsidRDefault="00804B28" w:rsidP="00A40600">
            <w:pPr>
              <w:pStyle w:val="Sinespaciado"/>
              <w:rPr>
                <w:lang w:val="es-EC"/>
              </w:rPr>
            </w:pPr>
            <w:r w:rsidRPr="00E44F5B">
              <w:rPr>
                <w:lang w:val="es-EC"/>
              </w:rPr>
              <w:t xml:space="preserve">                  14,400.00 </w:t>
            </w:r>
          </w:p>
        </w:tc>
        <w:tc>
          <w:tcPr>
            <w:tcW w:w="2123" w:type="dxa"/>
            <w:tcBorders>
              <w:top w:val="nil"/>
              <w:left w:val="nil"/>
              <w:bottom w:val="nil"/>
              <w:right w:val="nil"/>
            </w:tcBorders>
            <w:shd w:val="clear" w:color="auto" w:fill="auto"/>
            <w:noWrap/>
            <w:vAlign w:val="bottom"/>
            <w:hideMark/>
          </w:tcPr>
          <w:p w14:paraId="00757BD1" w14:textId="77777777" w:rsidR="00804B28" w:rsidRPr="00E44F5B" w:rsidRDefault="00804B28" w:rsidP="00A40600">
            <w:pPr>
              <w:pStyle w:val="Sinespaciado"/>
              <w:rPr>
                <w:lang w:val="es-EC"/>
              </w:rPr>
            </w:pPr>
          </w:p>
        </w:tc>
      </w:tr>
      <w:tr w:rsidR="00804B28" w:rsidRPr="00E44F5B" w14:paraId="492D5D07" w14:textId="77777777" w:rsidTr="001710C6">
        <w:trPr>
          <w:trHeight w:val="246"/>
        </w:trPr>
        <w:tc>
          <w:tcPr>
            <w:tcW w:w="4414" w:type="dxa"/>
            <w:tcBorders>
              <w:top w:val="nil"/>
              <w:left w:val="nil"/>
              <w:bottom w:val="nil"/>
              <w:right w:val="nil"/>
            </w:tcBorders>
            <w:shd w:val="clear" w:color="auto" w:fill="auto"/>
            <w:noWrap/>
            <w:vAlign w:val="bottom"/>
            <w:hideMark/>
          </w:tcPr>
          <w:p w14:paraId="5F40CC76" w14:textId="77777777" w:rsidR="00804B28" w:rsidRPr="00E44F5B" w:rsidRDefault="00804B28" w:rsidP="00A40600">
            <w:pPr>
              <w:pStyle w:val="Sinespaciado"/>
              <w:rPr>
                <w:lang w:val="es-EC"/>
              </w:rPr>
            </w:pPr>
            <w:r w:rsidRPr="00E44F5B">
              <w:rPr>
                <w:lang w:val="es-EC"/>
              </w:rPr>
              <w:t>Libros, Suscripciones y Otros</w:t>
            </w:r>
          </w:p>
        </w:tc>
        <w:tc>
          <w:tcPr>
            <w:tcW w:w="2173" w:type="dxa"/>
            <w:tcBorders>
              <w:top w:val="nil"/>
              <w:left w:val="nil"/>
              <w:bottom w:val="nil"/>
              <w:right w:val="nil"/>
            </w:tcBorders>
            <w:shd w:val="clear" w:color="auto" w:fill="auto"/>
            <w:noWrap/>
            <w:vAlign w:val="bottom"/>
            <w:hideMark/>
          </w:tcPr>
          <w:p w14:paraId="53F0B471" w14:textId="77777777" w:rsidR="00804B28" w:rsidRPr="00E44F5B" w:rsidRDefault="00804B28" w:rsidP="00A40600">
            <w:pPr>
              <w:pStyle w:val="Sinespaciado"/>
              <w:rPr>
                <w:lang w:val="es-EC"/>
              </w:rPr>
            </w:pPr>
            <w:r w:rsidRPr="00E44F5B">
              <w:rPr>
                <w:lang w:val="es-EC"/>
              </w:rPr>
              <w:t xml:space="preserve">                  23,648.00 </w:t>
            </w:r>
          </w:p>
        </w:tc>
        <w:tc>
          <w:tcPr>
            <w:tcW w:w="2123" w:type="dxa"/>
            <w:tcBorders>
              <w:top w:val="nil"/>
              <w:left w:val="nil"/>
              <w:bottom w:val="nil"/>
              <w:right w:val="nil"/>
            </w:tcBorders>
            <w:shd w:val="clear" w:color="auto" w:fill="auto"/>
            <w:noWrap/>
            <w:vAlign w:val="bottom"/>
            <w:hideMark/>
          </w:tcPr>
          <w:p w14:paraId="54472A44" w14:textId="77777777" w:rsidR="00804B28" w:rsidRPr="00E44F5B" w:rsidRDefault="00804B28" w:rsidP="00A40600">
            <w:pPr>
              <w:pStyle w:val="Sinespaciado"/>
              <w:rPr>
                <w:lang w:val="es-EC"/>
              </w:rPr>
            </w:pPr>
          </w:p>
        </w:tc>
      </w:tr>
      <w:tr w:rsidR="00804B28" w:rsidRPr="00E44F5B" w14:paraId="18023F00" w14:textId="77777777" w:rsidTr="00425577">
        <w:trPr>
          <w:trHeight w:val="69"/>
        </w:trPr>
        <w:tc>
          <w:tcPr>
            <w:tcW w:w="6587" w:type="dxa"/>
            <w:gridSpan w:val="2"/>
            <w:tcBorders>
              <w:top w:val="single" w:sz="4" w:space="0" w:color="auto"/>
              <w:left w:val="nil"/>
              <w:bottom w:val="single" w:sz="4" w:space="0" w:color="auto"/>
              <w:right w:val="nil"/>
            </w:tcBorders>
            <w:shd w:val="clear" w:color="auto" w:fill="auto"/>
            <w:noWrap/>
            <w:vAlign w:val="bottom"/>
            <w:hideMark/>
          </w:tcPr>
          <w:p w14:paraId="6C56A5B7" w14:textId="77777777" w:rsidR="00804B28" w:rsidRPr="001710C6" w:rsidRDefault="00804B28" w:rsidP="00A40600">
            <w:pPr>
              <w:pStyle w:val="Sinespaciado"/>
              <w:rPr>
                <w:b/>
                <w:bCs/>
                <w:lang w:val="es-EC"/>
              </w:rPr>
            </w:pPr>
            <w:r w:rsidRPr="001710C6">
              <w:rPr>
                <w:b/>
                <w:bCs/>
                <w:lang w:val="es-EC"/>
              </w:rPr>
              <w:t>TOTAL GENERAL</w:t>
            </w:r>
          </w:p>
        </w:tc>
        <w:tc>
          <w:tcPr>
            <w:tcW w:w="2123" w:type="dxa"/>
            <w:tcBorders>
              <w:top w:val="single" w:sz="4" w:space="0" w:color="auto"/>
              <w:left w:val="nil"/>
              <w:bottom w:val="single" w:sz="4" w:space="0" w:color="auto"/>
              <w:right w:val="nil"/>
            </w:tcBorders>
            <w:shd w:val="clear" w:color="auto" w:fill="auto"/>
            <w:noWrap/>
            <w:vAlign w:val="bottom"/>
            <w:hideMark/>
          </w:tcPr>
          <w:p w14:paraId="532044F5" w14:textId="77777777" w:rsidR="00804B28" w:rsidRPr="001710C6" w:rsidRDefault="00804B28" w:rsidP="00A40600">
            <w:pPr>
              <w:pStyle w:val="Sinespaciado"/>
              <w:rPr>
                <w:b/>
                <w:bCs/>
                <w:color w:val="000000"/>
                <w:lang w:val="es-EC"/>
              </w:rPr>
            </w:pPr>
            <w:r w:rsidRPr="001710C6">
              <w:rPr>
                <w:b/>
                <w:bCs/>
                <w:color w:val="000000"/>
                <w:lang w:val="es-EC"/>
              </w:rPr>
              <w:t xml:space="preserve">       5,659,200.00 </w:t>
            </w:r>
          </w:p>
        </w:tc>
      </w:tr>
    </w:tbl>
    <w:p w14:paraId="7E300168" w14:textId="77777777" w:rsidR="00804B28" w:rsidRPr="00E44F5B" w:rsidRDefault="00804B28" w:rsidP="00A40600">
      <w:pPr>
        <w:pStyle w:val="Sinespaciado"/>
        <w:rPr>
          <w:rFonts w:eastAsia="Arial"/>
          <w:color w:val="0E1115"/>
          <w:lang w:val="es-PE"/>
        </w:rPr>
      </w:pPr>
    </w:p>
    <w:sectPr w:rsidR="00804B28" w:rsidRPr="00E44F5B" w:rsidSect="00804B28">
      <w:footerReference w:type="default" r:id="rId9"/>
      <w:pgSz w:w="11906" w:h="16838" w:code="9"/>
      <w:pgMar w:top="1038" w:right="1558" w:bottom="1135"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2D49" w14:textId="77777777" w:rsidR="00146F52" w:rsidRDefault="00146F52" w:rsidP="00A956C2">
      <w:pPr>
        <w:spacing w:after="0" w:line="240" w:lineRule="auto"/>
      </w:pPr>
      <w:r>
        <w:separator/>
      </w:r>
    </w:p>
  </w:endnote>
  <w:endnote w:type="continuationSeparator" w:id="0">
    <w:p w14:paraId="06FE743D" w14:textId="77777777" w:rsidR="00146F52" w:rsidRDefault="00146F52" w:rsidP="00A9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87289"/>
      <w:docPartObj>
        <w:docPartGallery w:val="Page Numbers (Bottom of Page)"/>
        <w:docPartUnique/>
      </w:docPartObj>
    </w:sdtPr>
    <w:sdtEndPr/>
    <w:sdtContent>
      <w:p w14:paraId="4F543EBE" w14:textId="247938C1" w:rsidR="00804B28" w:rsidRDefault="00804B28">
        <w:pPr>
          <w:pStyle w:val="Piedepgina"/>
          <w:jc w:val="center"/>
        </w:pPr>
        <w:r>
          <w:fldChar w:fldCharType="begin"/>
        </w:r>
        <w:r>
          <w:instrText>PAGE   \* MERGEFORMAT</w:instrText>
        </w:r>
        <w:r>
          <w:fldChar w:fldCharType="separate"/>
        </w:r>
        <w:r w:rsidR="00F14002" w:rsidRPr="00F14002">
          <w:rPr>
            <w:noProof/>
            <w:lang w:val="es-ES"/>
          </w:rPr>
          <w:t>5</w:t>
        </w:r>
        <w:r>
          <w:fldChar w:fldCharType="end"/>
        </w:r>
      </w:p>
    </w:sdtContent>
  </w:sdt>
  <w:p w14:paraId="1DA6481A" w14:textId="77777777" w:rsidR="00804B28" w:rsidRDefault="00804B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0DAE" w14:textId="77777777" w:rsidR="00146F52" w:rsidRDefault="00146F52" w:rsidP="00A956C2">
      <w:pPr>
        <w:spacing w:after="0" w:line="240" w:lineRule="auto"/>
      </w:pPr>
      <w:r>
        <w:separator/>
      </w:r>
    </w:p>
  </w:footnote>
  <w:footnote w:type="continuationSeparator" w:id="0">
    <w:p w14:paraId="50446249" w14:textId="77777777" w:rsidR="00146F52" w:rsidRDefault="00146F52" w:rsidP="00A95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63"/>
    <w:rsid w:val="00032705"/>
    <w:rsid w:val="00033225"/>
    <w:rsid w:val="00062983"/>
    <w:rsid w:val="00076494"/>
    <w:rsid w:val="000877F3"/>
    <w:rsid w:val="000A16E4"/>
    <w:rsid w:val="000B11C8"/>
    <w:rsid w:val="000C0A07"/>
    <w:rsid w:val="000C7BEB"/>
    <w:rsid w:val="000D47EF"/>
    <w:rsid w:val="00104968"/>
    <w:rsid w:val="00113DE2"/>
    <w:rsid w:val="001273B5"/>
    <w:rsid w:val="00146F52"/>
    <w:rsid w:val="00167A04"/>
    <w:rsid w:val="001710C6"/>
    <w:rsid w:val="001711EA"/>
    <w:rsid w:val="0018195B"/>
    <w:rsid w:val="00185FD0"/>
    <w:rsid w:val="00191C0C"/>
    <w:rsid w:val="00191D6C"/>
    <w:rsid w:val="00197E11"/>
    <w:rsid w:val="001A03A6"/>
    <w:rsid w:val="001A0AF4"/>
    <w:rsid w:val="001C5CAA"/>
    <w:rsid w:val="001C64EB"/>
    <w:rsid w:val="001C7BEB"/>
    <w:rsid w:val="001D06C1"/>
    <w:rsid w:val="001E1BA5"/>
    <w:rsid w:val="001F22A3"/>
    <w:rsid w:val="002064D6"/>
    <w:rsid w:val="0021500C"/>
    <w:rsid w:val="0022471A"/>
    <w:rsid w:val="0024071E"/>
    <w:rsid w:val="002478F3"/>
    <w:rsid w:val="00266E94"/>
    <w:rsid w:val="00275F2D"/>
    <w:rsid w:val="00290CCB"/>
    <w:rsid w:val="0029322B"/>
    <w:rsid w:val="0029635F"/>
    <w:rsid w:val="002A7E50"/>
    <w:rsid w:val="002B32B7"/>
    <w:rsid w:val="002C0A6F"/>
    <w:rsid w:val="002D4145"/>
    <w:rsid w:val="002D4A55"/>
    <w:rsid w:val="002E21C0"/>
    <w:rsid w:val="002F3E40"/>
    <w:rsid w:val="00301B08"/>
    <w:rsid w:val="00302279"/>
    <w:rsid w:val="003024E6"/>
    <w:rsid w:val="00311881"/>
    <w:rsid w:val="003135A5"/>
    <w:rsid w:val="003232EB"/>
    <w:rsid w:val="0034165C"/>
    <w:rsid w:val="0034458B"/>
    <w:rsid w:val="0034557E"/>
    <w:rsid w:val="00356B39"/>
    <w:rsid w:val="003616F3"/>
    <w:rsid w:val="003670FD"/>
    <w:rsid w:val="003753F7"/>
    <w:rsid w:val="00384FD5"/>
    <w:rsid w:val="003918E2"/>
    <w:rsid w:val="00391BBB"/>
    <w:rsid w:val="003C1B23"/>
    <w:rsid w:val="003F14EC"/>
    <w:rsid w:val="003F41F5"/>
    <w:rsid w:val="00413FC4"/>
    <w:rsid w:val="00425577"/>
    <w:rsid w:val="0042584D"/>
    <w:rsid w:val="00457D8D"/>
    <w:rsid w:val="00462064"/>
    <w:rsid w:val="00463E0F"/>
    <w:rsid w:val="004714D9"/>
    <w:rsid w:val="004731A3"/>
    <w:rsid w:val="00480081"/>
    <w:rsid w:val="0048628E"/>
    <w:rsid w:val="00492AAC"/>
    <w:rsid w:val="004A4504"/>
    <w:rsid w:val="004C1468"/>
    <w:rsid w:val="004D6955"/>
    <w:rsid w:val="00510C66"/>
    <w:rsid w:val="00515EBB"/>
    <w:rsid w:val="00533962"/>
    <w:rsid w:val="00547D2C"/>
    <w:rsid w:val="0055236C"/>
    <w:rsid w:val="00562B25"/>
    <w:rsid w:val="00575713"/>
    <w:rsid w:val="005A0B82"/>
    <w:rsid w:val="005A18D1"/>
    <w:rsid w:val="005B4566"/>
    <w:rsid w:val="005D1787"/>
    <w:rsid w:val="005F0636"/>
    <w:rsid w:val="00603716"/>
    <w:rsid w:val="006038F3"/>
    <w:rsid w:val="00604238"/>
    <w:rsid w:val="0062025F"/>
    <w:rsid w:val="0063010B"/>
    <w:rsid w:val="00641C1B"/>
    <w:rsid w:val="00644267"/>
    <w:rsid w:val="00652D0A"/>
    <w:rsid w:val="0067516E"/>
    <w:rsid w:val="006822C6"/>
    <w:rsid w:val="006859A2"/>
    <w:rsid w:val="006B1869"/>
    <w:rsid w:val="006C12D9"/>
    <w:rsid w:val="006D001C"/>
    <w:rsid w:val="006D0183"/>
    <w:rsid w:val="006F525C"/>
    <w:rsid w:val="00705ACB"/>
    <w:rsid w:val="007072DC"/>
    <w:rsid w:val="00735287"/>
    <w:rsid w:val="007630E5"/>
    <w:rsid w:val="0078494A"/>
    <w:rsid w:val="00790D27"/>
    <w:rsid w:val="007D01AE"/>
    <w:rsid w:val="007F03A0"/>
    <w:rsid w:val="00801D53"/>
    <w:rsid w:val="00804B28"/>
    <w:rsid w:val="00815536"/>
    <w:rsid w:val="00831857"/>
    <w:rsid w:val="00832AE7"/>
    <w:rsid w:val="0087573A"/>
    <w:rsid w:val="008A1F63"/>
    <w:rsid w:val="008B2CF9"/>
    <w:rsid w:val="008B4E1C"/>
    <w:rsid w:val="008C2346"/>
    <w:rsid w:val="008D1D79"/>
    <w:rsid w:val="008D286E"/>
    <w:rsid w:val="008E27E4"/>
    <w:rsid w:val="008E56D3"/>
    <w:rsid w:val="008E5E98"/>
    <w:rsid w:val="00901B8D"/>
    <w:rsid w:val="00926D92"/>
    <w:rsid w:val="00946A80"/>
    <w:rsid w:val="009521AB"/>
    <w:rsid w:val="00960383"/>
    <w:rsid w:val="00962650"/>
    <w:rsid w:val="00974D10"/>
    <w:rsid w:val="00977F16"/>
    <w:rsid w:val="00990B0C"/>
    <w:rsid w:val="009913C8"/>
    <w:rsid w:val="009A3AAA"/>
    <w:rsid w:val="009D0090"/>
    <w:rsid w:val="009F2020"/>
    <w:rsid w:val="00A0221E"/>
    <w:rsid w:val="00A21CB7"/>
    <w:rsid w:val="00A23C87"/>
    <w:rsid w:val="00A265BD"/>
    <w:rsid w:val="00A30386"/>
    <w:rsid w:val="00A40600"/>
    <w:rsid w:val="00A72F62"/>
    <w:rsid w:val="00A91E08"/>
    <w:rsid w:val="00A92893"/>
    <w:rsid w:val="00A956C2"/>
    <w:rsid w:val="00AA7207"/>
    <w:rsid w:val="00AB4F29"/>
    <w:rsid w:val="00AB7F52"/>
    <w:rsid w:val="00AE1604"/>
    <w:rsid w:val="00AE31B6"/>
    <w:rsid w:val="00AE4289"/>
    <w:rsid w:val="00AF6975"/>
    <w:rsid w:val="00AF7083"/>
    <w:rsid w:val="00B0464E"/>
    <w:rsid w:val="00B21D65"/>
    <w:rsid w:val="00B21F63"/>
    <w:rsid w:val="00B422EF"/>
    <w:rsid w:val="00B44651"/>
    <w:rsid w:val="00B66642"/>
    <w:rsid w:val="00B820AF"/>
    <w:rsid w:val="00BA24EC"/>
    <w:rsid w:val="00BA6D07"/>
    <w:rsid w:val="00BE7125"/>
    <w:rsid w:val="00C03824"/>
    <w:rsid w:val="00C052A2"/>
    <w:rsid w:val="00C15136"/>
    <w:rsid w:val="00C33BD0"/>
    <w:rsid w:val="00C46795"/>
    <w:rsid w:val="00C669EF"/>
    <w:rsid w:val="00C7595F"/>
    <w:rsid w:val="00C81D0E"/>
    <w:rsid w:val="00CA7D52"/>
    <w:rsid w:val="00CB7968"/>
    <w:rsid w:val="00CC0FD4"/>
    <w:rsid w:val="00CC7891"/>
    <w:rsid w:val="00CD6A8E"/>
    <w:rsid w:val="00CD7DFC"/>
    <w:rsid w:val="00CF1F54"/>
    <w:rsid w:val="00CF40D9"/>
    <w:rsid w:val="00D0140E"/>
    <w:rsid w:val="00D0328C"/>
    <w:rsid w:val="00D03CF8"/>
    <w:rsid w:val="00D04DBB"/>
    <w:rsid w:val="00D70963"/>
    <w:rsid w:val="00D76693"/>
    <w:rsid w:val="00D8798D"/>
    <w:rsid w:val="00DB2554"/>
    <w:rsid w:val="00DD70CD"/>
    <w:rsid w:val="00E01237"/>
    <w:rsid w:val="00E0341C"/>
    <w:rsid w:val="00E21113"/>
    <w:rsid w:val="00E27EBD"/>
    <w:rsid w:val="00E37A81"/>
    <w:rsid w:val="00E44F5B"/>
    <w:rsid w:val="00E550D8"/>
    <w:rsid w:val="00E6343B"/>
    <w:rsid w:val="00E7245D"/>
    <w:rsid w:val="00E906A4"/>
    <w:rsid w:val="00E96D1C"/>
    <w:rsid w:val="00EA32DE"/>
    <w:rsid w:val="00EA6B00"/>
    <w:rsid w:val="00EC2B2F"/>
    <w:rsid w:val="00ED782F"/>
    <w:rsid w:val="00EE2443"/>
    <w:rsid w:val="00F05E79"/>
    <w:rsid w:val="00F14002"/>
    <w:rsid w:val="00F2358D"/>
    <w:rsid w:val="00F30379"/>
    <w:rsid w:val="00F32F89"/>
    <w:rsid w:val="00F46706"/>
    <w:rsid w:val="00F54778"/>
    <w:rsid w:val="00F57587"/>
    <w:rsid w:val="00F62899"/>
    <w:rsid w:val="00F77033"/>
    <w:rsid w:val="00F85215"/>
    <w:rsid w:val="00F94120"/>
    <w:rsid w:val="00FA6B6D"/>
    <w:rsid w:val="00FB65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CB81"/>
  <w15:chartTrackingRefBased/>
  <w15:docId w15:val="{60BA4EC9-A860-414B-9B37-70FFE402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63"/>
    <w:pPr>
      <w:widowControl w:val="0"/>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2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207"/>
    <w:rPr>
      <w:rFonts w:ascii="Segoe UI" w:hAnsi="Segoe UI" w:cs="Segoe UI"/>
      <w:sz w:val="18"/>
      <w:szCs w:val="18"/>
      <w:lang w:val="en-US"/>
    </w:rPr>
  </w:style>
  <w:style w:type="paragraph" w:styleId="Encabezado">
    <w:name w:val="header"/>
    <w:basedOn w:val="Normal"/>
    <w:link w:val="EncabezadoCar"/>
    <w:uiPriority w:val="99"/>
    <w:unhideWhenUsed/>
    <w:rsid w:val="00A956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6C2"/>
    <w:rPr>
      <w:lang w:val="en-US"/>
    </w:rPr>
  </w:style>
  <w:style w:type="paragraph" w:styleId="Piedepgina">
    <w:name w:val="footer"/>
    <w:basedOn w:val="Normal"/>
    <w:link w:val="PiedepginaCar"/>
    <w:uiPriority w:val="99"/>
    <w:unhideWhenUsed/>
    <w:rsid w:val="00A956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6C2"/>
    <w:rPr>
      <w:lang w:val="en-US"/>
    </w:rPr>
  </w:style>
  <w:style w:type="paragraph" w:styleId="Sinespaciado">
    <w:name w:val="No Spacing"/>
    <w:uiPriority w:val="1"/>
    <w:qFormat/>
    <w:rsid w:val="00A40600"/>
    <w:pPr>
      <w:widowControl w:val="0"/>
      <w:spacing w:after="0" w:line="240" w:lineRule="auto"/>
    </w:pPr>
    <w:rPr>
      <w:lang w:val="en-US"/>
    </w:rPr>
  </w:style>
  <w:style w:type="character" w:styleId="Refdecomentario">
    <w:name w:val="annotation reference"/>
    <w:basedOn w:val="Fuentedeprrafopredeter"/>
    <w:uiPriority w:val="99"/>
    <w:semiHidden/>
    <w:unhideWhenUsed/>
    <w:rsid w:val="007630E5"/>
    <w:rPr>
      <w:sz w:val="16"/>
      <w:szCs w:val="16"/>
    </w:rPr>
  </w:style>
  <w:style w:type="paragraph" w:styleId="Textocomentario">
    <w:name w:val="annotation text"/>
    <w:basedOn w:val="Normal"/>
    <w:link w:val="TextocomentarioCar"/>
    <w:uiPriority w:val="99"/>
    <w:semiHidden/>
    <w:unhideWhenUsed/>
    <w:rsid w:val="007630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0E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630E5"/>
    <w:rPr>
      <w:b/>
      <w:bCs/>
    </w:rPr>
  </w:style>
  <w:style w:type="character" w:customStyle="1" w:styleId="AsuntodelcomentarioCar">
    <w:name w:val="Asunto del comentario Car"/>
    <w:basedOn w:val="TextocomentarioCar"/>
    <w:link w:val="Asuntodelcomentario"/>
    <w:uiPriority w:val="99"/>
    <w:semiHidden/>
    <w:rsid w:val="007630E5"/>
    <w:rPr>
      <w:b/>
      <w:bCs/>
      <w:sz w:val="20"/>
      <w:szCs w:val="20"/>
      <w:lang w:val="en-US"/>
    </w:rPr>
  </w:style>
  <w:style w:type="paragraph" w:styleId="Revisin">
    <w:name w:val="Revision"/>
    <w:hidden/>
    <w:uiPriority w:val="99"/>
    <w:semiHidden/>
    <w:rsid w:val="00266E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614">
      <w:bodyDiv w:val="1"/>
      <w:marLeft w:val="0"/>
      <w:marRight w:val="0"/>
      <w:marTop w:val="0"/>
      <w:marBottom w:val="0"/>
      <w:divBdr>
        <w:top w:val="none" w:sz="0" w:space="0" w:color="auto"/>
        <w:left w:val="none" w:sz="0" w:space="0" w:color="auto"/>
        <w:bottom w:val="none" w:sz="0" w:space="0" w:color="auto"/>
        <w:right w:val="none" w:sz="0" w:space="0" w:color="auto"/>
      </w:divBdr>
    </w:div>
    <w:div w:id="280840579">
      <w:bodyDiv w:val="1"/>
      <w:marLeft w:val="0"/>
      <w:marRight w:val="0"/>
      <w:marTop w:val="0"/>
      <w:marBottom w:val="0"/>
      <w:divBdr>
        <w:top w:val="none" w:sz="0" w:space="0" w:color="auto"/>
        <w:left w:val="none" w:sz="0" w:space="0" w:color="auto"/>
        <w:bottom w:val="none" w:sz="0" w:space="0" w:color="auto"/>
        <w:right w:val="none" w:sz="0" w:space="0" w:color="auto"/>
      </w:divBdr>
    </w:div>
    <w:div w:id="318847393">
      <w:bodyDiv w:val="1"/>
      <w:marLeft w:val="0"/>
      <w:marRight w:val="0"/>
      <w:marTop w:val="0"/>
      <w:marBottom w:val="0"/>
      <w:divBdr>
        <w:top w:val="none" w:sz="0" w:space="0" w:color="auto"/>
        <w:left w:val="none" w:sz="0" w:space="0" w:color="auto"/>
        <w:bottom w:val="none" w:sz="0" w:space="0" w:color="auto"/>
        <w:right w:val="none" w:sz="0" w:space="0" w:color="auto"/>
      </w:divBdr>
    </w:div>
    <w:div w:id="908736959">
      <w:bodyDiv w:val="1"/>
      <w:marLeft w:val="0"/>
      <w:marRight w:val="0"/>
      <w:marTop w:val="0"/>
      <w:marBottom w:val="0"/>
      <w:divBdr>
        <w:top w:val="none" w:sz="0" w:space="0" w:color="auto"/>
        <w:left w:val="none" w:sz="0" w:space="0" w:color="auto"/>
        <w:bottom w:val="none" w:sz="0" w:space="0" w:color="auto"/>
        <w:right w:val="none" w:sz="0" w:space="0" w:color="auto"/>
      </w:divBdr>
    </w:div>
    <w:div w:id="961960522">
      <w:bodyDiv w:val="1"/>
      <w:marLeft w:val="0"/>
      <w:marRight w:val="0"/>
      <w:marTop w:val="0"/>
      <w:marBottom w:val="0"/>
      <w:divBdr>
        <w:top w:val="none" w:sz="0" w:space="0" w:color="auto"/>
        <w:left w:val="none" w:sz="0" w:space="0" w:color="auto"/>
        <w:bottom w:val="none" w:sz="0" w:space="0" w:color="auto"/>
        <w:right w:val="none" w:sz="0" w:space="0" w:color="auto"/>
      </w:divBdr>
    </w:div>
    <w:div w:id="1023633546">
      <w:bodyDiv w:val="1"/>
      <w:marLeft w:val="0"/>
      <w:marRight w:val="0"/>
      <w:marTop w:val="0"/>
      <w:marBottom w:val="0"/>
      <w:divBdr>
        <w:top w:val="none" w:sz="0" w:space="0" w:color="auto"/>
        <w:left w:val="none" w:sz="0" w:space="0" w:color="auto"/>
        <w:bottom w:val="none" w:sz="0" w:space="0" w:color="auto"/>
        <w:right w:val="none" w:sz="0" w:space="0" w:color="auto"/>
      </w:divBdr>
    </w:div>
    <w:div w:id="1121876379">
      <w:bodyDiv w:val="1"/>
      <w:marLeft w:val="0"/>
      <w:marRight w:val="0"/>
      <w:marTop w:val="0"/>
      <w:marBottom w:val="0"/>
      <w:divBdr>
        <w:top w:val="none" w:sz="0" w:space="0" w:color="auto"/>
        <w:left w:val="none" w:sz="0" w:space="0" w:color="auto"/>
        <w:bottom w:val="none" w:sz="0" w:space="0" w:color="auto"/>
        <w:right w:val="none" w:sz="0" w:space="0" w:color="auto"/>
      </w:divBdr>
    </w:div>
    <w:div w:id="1130824151">
      <w:bodyDiv w:val="1"/>
      <w:marLeft w:val="0"/>
      <w:marRight w:val="0"/>
      <w:marTop w:val="0"/>
      <w:marBottom w:val="0"/>
      <w:divBdr>
        <w:top w:val="none" w:sz="0" w:space="0" w:color="auto"/>
        <w:left w:val="none" w:sz="0" w:space="0" w:color="auto"/>
        <w:bottom w:val="none" w:sz="0" w:space="0" w:color="auto"/>
        <w:right w:val="none" w:sz="0" w:space="0" w:color="auto"/>
      </w:divBdr>
    </w:div>
    <w:div w:id="1268656458">
      <w:bodyDiv w:val="1"/>
      <w:marLeft w:val="0"/>
      <w:marRight w:val="0"/>
      <w:marTop w:val="0"/>
      <w:marBottom w:val="0"/>
      <w:divBdr>
        <w:top w:val="none" w:sz="0" w:space="0" w:color="auto"/>
        <w:left w:val="none" w:sz="0" w:space="0" w:color="auto"/>
        <w:bottom w:val="none" w:sz="0" w:space="0" w:color="auto"/>
        <w:right w:val="none" w:sz="0" w:space="0" w:color="auto"/>
      </w:divBdr>
    </w:div>
    <w:div w:id="17037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4908-D0CB-4F44-B155-57230FBF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1349</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Deza Sandoval</dc:creator>
  <cp:keywords/>
  <dc:description/>
  <cp:lastModifiedBy>Miguel Hinostroza Villafuerte</cp:lastModifiedBy>
  <cp:revision>6</cp:revision>
  <cp:lastPrinted>2020-01-22T13:55:00Z</cp:lastPrinted>
  <dcterms:created xsi:type="dcterms:W3CDTF">2021-02-24T21:31:00Z</dcterms:created>
  <dcterms:modified xsi:type="dcterms:W3CDTF">2021-02-25T21:48:00Z</dcterms:modified>
</cp:coreProperties>
</file>