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A9CB" w14:textId="20A3E043" w:rsidR="005963BC" w:rsidRPr="00936488" w:rsidRDefault="005963BC" w:rsidP="005963BC">
      <w:pPr>
        <w:keepNext/>
        <w:tabs>
          <w:tab w:val="left" w:pos="426"/>
        </w:tabs>
        <w:spacing w:after="0" w:line="240" w:lineRule="auto"/>
        <w:jc w:val="center"/>
        <w:outlineLvl w:val="4"/>
        <w:rPr>
          <w:rFonts w:ascii="Arial" w:hAnsi="Arial" w:cs="Arial"/>
          <w:b/>
          <w:bCs/>
        </w:rPr>
      </w:pPr>
      <w:bookmarkStart w:id="0" w:name="_GoBack"/>
      <w:bookmarkEnd w:id="0"/>
    </w:p>
    <w:p w14:paraId="08BC0AD2" w14:textId="27FE3B47" w:rsidR="00D61BED" w:rsidRPr="00DE5D26" w:rsidRDefault="003C4B77" w:rsidP="00D61BED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</w:rPr>
      </w:pPr>
      <w:r w:rsidRPr="00491D23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F34D939" wp14:editId="097E5606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BED" w:rsidRPr="00DE5D26">
        <w:rPr>
          <w:rFonts w:ascii="Arial" w:eastAsia="Calibri" w:hAnsi="Arial" w:cs="Arial"/>
          <w:sz w:val="20"/>
        </w:rPr>
        <w:t xml:space="preserve">PERIODO CIENTO VEINTIUNO </w:t>
      </w:r>
    </w:p>
    <w:p w14:paraId="30F7D5EF" w14:textId="77777777" w:rsidR="00D61BED" w:rsidRPr="00DE5D26" w:rsidRDefault="00D61BED" w:rsidP="00D61BED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</w:rPr>
      </w:pPr>
      <w:r w:rsidRPr="00DE5D26">
        <w:rPr>
          <w:rFonts w:ascii="Arial" w:eastAsia="Calibri" w:hAnsi="Arial" w:cs="Arial"/>
          <w:sz w:val="20"/>
        </w:rPr>
        <w:t>DE SESIONES ORDINARIAS DE LA COMISION DE LA COMUNIDAD ANDINA</w:t>
      </w:r>
    </w:p>
    <w:p w14:paraId="2ED6FBC8" w14:textId="77777777" w:rsidR="00D61BED" w:rsidRPr="00DE5D26" w:rsidRDefault="00D61BED" w:rsidP="00D61BED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</w:rPr>
      </w:pPr>
      <w:r w:rsidRPr="00DE5D26">
        <w:rPr>
          <w:rFonts w:ascii="Arial" w:eastAsia="Calibri" w:hAnsi="Arial" w:cs="Arial"/>
          <w:sz w:val="20"/>
        </w:rPr>
        <w:t>30 de septiembre de 2020</w:t>
      </w:r>
    </w:p>
    <w:p w14:paraId="0885E5DA" w14:textId="77777777" w:rsidR="00D61BED" w:rsidRPr="001E2AEA" w:rsidRDefault="00D61BED" w:rsidP="00D61BED">
      <w:pPr>
        <w:tabs>
          <w:tab w:val="left" w:pos="3402"/>
        </w:tabs>
        <w:spacing w:after="0" w:line="240" w:lineRule="auto"/>
        <w:ind w:right="5436"/>
        <w:rPr>
          <w:rFonts w:ascii="Arial" w:eastAsia="Calibri" w:hAnsi="Arial" w:cs="Arial"/>
          <w:sz w:val="20"/>
        </w:rPr>
      </w:pPr>
      <w:r w:rsidRPr="00DE5D26">
        <w:rPr>
          <w:rFonts w:ascii="Arial" w:eastAsia="Calibri" w:hAnsi="Arial" w:cs="Arial"/>
          <w:sz w:val="20"/>
        </w:rPr>
        <w:t>Modalidad videoconferencia</w:t>
      </w:r>
    </w:p>
    <w:p w14:paraId="34480E6A" w14:textId="77777777" w:rsidR="007A4732" w:rsidRPr="00936488" w:rsidRDefault="007A4732" w:rsidP="007A4732">
      <w:pPr>
        <w:keepNext/>
        <w:tabs>
          <w:tab w:val="left" w:pos="426"/>
        </w:tabs>
        <w:spacing w:after="0" w:line="240" w:lineRule="auto"/>
        <w:outlineLvl w:val="4"/>
        <w:rPr>
          <w:rFonts w:ascii="Arial" w:hAnsi="Arial" w:cs="Arial"/>
          <w:b/>
          <w:bCs/>
        </w:rPr>
      </w:pPr>
    </w:p>
    <w:p w14:paraId="688F5B2F" w14:textId="76116F3D" w:rsidR="007A4732" w:rsidRPr="00936488" w:rsidRDefault="007A4732" w:rsidP="007A4732">
      <w:pPr>
        <w:spacing w:after="0" w:line="240" w:lineRule="auto"/>
        <w:jc w:val="right"/>
        <w:rPr>
          <w:rFonts w:ascii="Arial" w:hAnsi="Arial" w:cs="Arial"/>
        </w:rPr>
      </w:pPr>
    </w:p>
    <w:p w14:paraId="5EAA0B84" w14:textId="77777777" w:rsidR="007A4732" w:rsidRPr="00936488" w:rsidRDefault="007A4732" w:rsidP="007A4732">
      <w:pPr>
        <w:keepNext/>
        <w:tabs>
          <w:tab w:val="left" w:pos="426"/>
        </w:tabs>
        <w:spacing w:after="0" w:line="240" w:lineRule="auto"/>
        <w:jc w:val="right"/>
        <w:outlineLvl w:val="4"/>
        <w:rPr>
          <w:rFonts w:ascii="Arial" w:hAnsi="Arial" w:cs="Arial"/>
          <w:b/>
          <w:bCs/>
        </w:rPr>
      </w:pPr>
    </w:p>
    <w:p w14:paraId="3C88A0F1" w14:textId="77777777" w:rsidR="007A4732" w:rsidRPr="00936488" w:rsidRDefault="007A4732" w:rsidP="007A4732">
      <w:pPr>
        <w:keepNext/>
        <w:tabs>
          <w:tab w:val="left" w:pos="426"/>
        </w:tabs>
        <w:spacing w:after="0" w:line="240" w:lineRule="auto"/>
        <w:outlineLvl w:val="4"/>
        <w:rPr>
          <w:rFonts w:ascii="Arial" w:hAnsi="Arial" w:cs="Arial"/>
          <w:b/>
          <w:bCs/>
        </w:rPr>
      </w:pPr>
    </w:p>
    <w:p w14:paraId="60931D28" w14:textId="11F699FF" w:rsidR="007A4732" w:rsidRPr="00936488" w:rsidRDefault="007A4732" w:rsidP="007A4732">
      <w:pPr>
        <w:keepNext/>
        <w:tabs>
          <w:tab w:val="left" w:pos="426"/>
        </w:tabs>
        <w:spacing w:after="0" w:line="240" w:lineRule="auto"/>
        <w:jc w:val="center"/>
        <w:outlineLvl w:val="4"/>
        <w:rPr>
          <w:rFonts w:ascii="Arial" w:hAnsi="Arial" w:cs="Arial"/>
          <w:b/>
          <w:bCs/>
          <w:noProof/>
        </w:rPr>
      </w:pPr>
      <w:r w:rsidRPr="00936488">
        <w:rPr>
          <w:rFonts w:ascii="Arial" w:hAnsi="Arial" w:cs="Arial"/>
          <w:b/>
          <w:bCs/>
          <w:lang w:val="es-ES_tradnl"/>
        </w:rPr>
        <w:t>DECISIÓN</w:t>
      </w:r>
      <w:r w:rsidR="00F9152A">
        <w:rPr>
          <w:rFonts w:ascii="Arial" w:hAnsi="Arial" w:cs="Arial"/>
          <w:b/>
          <w:bCs/>
          <w:lang w:val="es-ES_tradnl"/>
        </w:rPr>
        <w:t xml:space="preserve"> 867</w:t>
      </w:r>
    </w:p>
    <w:p w14:paraId="06D27F0C" w14:textId="77777777" w:rsidR="007A4732" w:rsidRPr="00936488" w:rsidRDefault="007A4732" w:rsidP="007A4732">
      <w:pPr>
        <w:keepNext/>
        <w:tabs>
          <w:tab w:val="left" w:pos="426"/>
        </w:tabs>
        <w:spacing w:after="0" w:line="240" w:lineRule="auto"/>
        <w:ind w:left="5670"/>
        <w:jc w:val="both"/>
        <w:outlineLvl w:val="4"/>
        <w:rPr>
          <w:rFonts w:ascii="Arial" w:hAnsi="Arial" w:cs="Arial"/>
          <w:lang w:val="es-ES_tradnl"/>
        </w:rPr>
      </w:pPr>
    </w:p>
    <w:p w14:paraId="546097F8" w14:textId="77777777" w:rsidR="007A4732" w:rsidRPr="00936488" w:rsidRDefault="007A4732" w:rsidP="007A4732">
      <w:pPr>
        <w:spacing w:after="0" w:line="240" w:lineRule="auto"/>
        <w:ind w:left="5103"/>
        <w:jc w:val="both"/>
        <w:rPr>
          <w:rFonts w:ascii="Arial" w:hAnsi="Arial" w:cs="Arial"/>
          <w:lang w:val="es-ES_tradnl"/>
        </w:rPr>
      </w:pPr>
      <w:bookmarkStart w:id="1" w:name="_Hlk49268510"/>
      <w:r w:rsidRPr="00936488">
        <w:rPr>
          <w:rFonts w:ascii="Arial" w:hAnsi="Arial" w:cs="Arial"/>
          <w:lang w:val="es-ES_tradnl"/>
        </w:rPr>
        <w:t xml:space="preserve">Disposiciones sobre la documentación requerida para el </w:t>
      </w:r>
      <w:r w:rsidRPr="00936488">
        <w:rPr>
          <w:rFonts w:ascii="Arial" w:hAnsi="Arial" w:cs="Arial"/>
          <w:color w:val="000000"/>
          <w:lang w:val="es-ES_tradnl"/>
        </w:rPr>
        <w:t xml:space="preserve">reconocimiento del código de identificación de la NSO </w:t>
      </w:r>
      <w:r w:rsidRPr="00936488">
        <w:rPr>
          <w:rFonts w:ascii="Arial" w:hAnsi="Arial" w:cs="Arial"/>
          <w:lang w:val="es-ES_tradnl"/>
        </w:rPr>
        <w:t>de productos de higiene doméstica y productos absorbentes de higiene personal</w:t>
      </w:r>
      <w:bookmarkEnd w:id="1"/>
    </w:p>
    <w:p w14:paraId="18B2F02B" w14:textId="77777777" w:rsidR="007A4732" w:rsidRPr="00936488" w:rsidRDefault="007A4732" w:rsidP="007A4732">
      <w:pPr>
        <w:keepNext/>
        <w:tabs>
          <w:tab w:val="left" w:pos="426"/>
        </w:tabs>
        <w:spacing w:after="0" w:line="240" w:lineRule="auto"/>
        <w:ind w:left="5670"/>
        <w:jc w:val="both"/>
        <w:outlineLvl w:val="4"/>
        <w:rPr>
          <w:rFonts w:ascii="Arial" w:hAnsi="Arial" w:cs="Arial"/>
          <w:lang w:val="es-ES_tradnl"/>
        </w:rPr>
      </w:pPr>
      <w:r w:rsidRPr="00936488">
        <w:rPr>
          <w:rFonts w:ascii="Arial" w:hAnsi="Arial" w:cs="Arial"/>
          <w:lang w:val="es-ES_tradnl"/>
        </w:rPr>
        <w:t>.</w:t>
      </w:r>
    </w:p>
    <w:p w14:paraId="23B46AC1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</w:p>
    <w:p w14:paraId="5B702C61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/>
          <w:b/>
          <w:color w:val="000000"/>
          <w:lang w:val="es-ES_tradnl"/>
        </w:rPr>
      </w:pPr>
      <w:r w:rsidRPr="00936488">
        <w:rPr>
          <w:rFonts w:ascii="Arial" w:hAnsi="Arial"/>
          <w:b/>
          <w:color w:val="000000"/>
          <w:lang w:val="es-ES_tradnl"/>
        </w:rPr>
        <w:t>LA COMISIÓN DE LA COMUNIDAD ANDINA</w:t>
      </w:r>
    </w:p>
    <w:p w14:paraId="79635CE7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/>
          <w:color w:val="000000"/>
          <w:lang w:val="es-ES_tradnl"/>
        </w:rPr>
      </w:pPr>
    </w:p>
    <w:p w14:paraId="73EFF7AF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/>
          <w:color w:val="000000"/>
          <w:lang w:val="es-ES_tradnl"/>
        </w:rPr>
      </w:pPr>
      <w:r w:rsidRPr="00936488">
        <w:rPr>
          <w:rFonts w:ascii="Arial" w:hAnsi="Arial"/>
          <w:b/>
          <w:color w:val="000000"/>
          <w:lang w:val="es-ES_tradnl"/>
        </w:rPr>
        <w:t>VISTOS:</w:t>
      </w:r>
      <w:r w:rsidRPr="00936488">
        <w:rPr>
          <w:rFonts w:ascii="Arial" w:hAnsi="Arial"/>
          <w:color w:val="000000"/>
          <w:lang w:val="es-ES_tradnl"/>
        </w:rPr>
        <w:t xml:space="preserve"> Los artículos 3) literales b) y d), 22 y 72 del Acuerdo de Cartagena; las Decisiones 706 y 784 de la Comisión de la Comunidad Andina y la Resolución N° 1370; y,</w:t>
      </w:r>
    </w:p>
    <w:p w14:paraId="57FDF8D2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/>
          <w:color w:val="000000"/>
          <w:lang w:val="es-ES_tradnl"/>
        </w:rPr>
      </w:pPr>
    </w:p>
    <w:p w14:paraId="453F810E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/>
          <w:color w:val="000000"/>
          <w:lang w:val="es-ES_tradnl"/>
        </w:rPr>
      </w:pPr>
      <w:r w:rsidRPr="00936488">
        <w:rPr>
          <w:rFonts w:ascii="Arial" w:hAnsi="Arial"/>
          <w:b/>
          <w:color w:val="000000"/>
          <w:lang w:val="es-ES_tradnl"/>
        </w:rPr>
        <w:t>CONSIDERANDO:</w:t>
      </w:r>
      <w:r w:rsidRPr="00936488">
        <w:rPr>
          <w:rFonts w:ascii="Arial" w:hAnsi="Arial"/>
          <w:color w:val="000000"/>
          <w:lang w:val="es-ES_tradnl"/>
        </w:rPr>
        <w:t xml:space="preserve">  Que, la Decisión 706 </w:t>
      </w:r>
      <w:r w:rsidRPr="00936488">
        <w:rPr>
          <w:rFonts w:ascii="Arial" w:hAnsi="Arial" w:cs="Arial"/>
          <w:lang w:val="es-ES_tradnl"/>
        </w:rPr>
        <w:t xml:space="preserve">regula los regímenes sanitarios, de control de calidad y vigilancia sanitaria en relación con la producción, procesamiento, envasado, expendio, importación, almacenamiento y comercialización de los productos de higiene doméstica y productos absorbentes de higiene personal; </w:t>
      </w:r>
    </w:p>
    <w:p w14:paraId="3046DE16" w14:textId="77777777" w:rsidR="007A4732" w:rsidRPr="00936488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29C2D054" w14:textId="7C09A29A" w:rsidR="007A4732" w:rsidRPr="00936488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 w:rsidRPr="00936488">
        <w:rPr>
          <w:rFonts w:ascii="Arial" w:hAnsi="Arial" w:cs="Arial"/>
          <w:lang w:val="es-ES_tradnl"/>
        </w:rPr>
        <w:tab/>
        <w:t xml:space="preserve">Que, la citada Decisión señala que los productos de higiene doméstica y productos absorbentes de higiene personal requieren para su comercialización o expendio en la Subregión Andina de una Notificación Sanitaria Obligatoria (NSO), </w:t>
      </w:r>
      <w:r w:rsidRPr="00936488">
        <w:rPr>
          <w:rFonts w:ascii="Arial" w:hAnsi="Arial" w:cs="Arial"/>
          <w:color w:val="000000"/>
          <w:lang w:val="es-ES_tradnl"/>
        </w:rPr>
        <w:t xml:space="preserve">la cual deberá ser presentada a la Autoridad Nacional Competente </w:t>
      </w:r>
      <w:r w:rsidR="00BC2777">
        <w:rPr>
          <w:rFonts w:ascii="Arial" w:hAnsi="Arial" w:cs="Arial"/>
          <w:color w:val="000000"/>
          <w:lang w:val="es-ES_tradnl"/>
        </w:rPr>
        <w:t xml:space="preserve">(ANC) </w:t>
      </w:r>
      <w:r w:rsidRPr="00936488">
        <w:rPr>
          <w:rFonts w:ascii="Arial" w:hAnsi="Arial" w:cs="Arial"/>
          <w:color w:val="000000"/>
          <w:lang w:val="es-ES_tradnl"/>
        </w:rPr>
        <w:t>del primer País Miembro de comercialización;</w:t>
      </w:r>
    </w:p>
    <w:p w14:paraId="31BEF44B" w14:textId="77777777" w:rsidR="007A4732" w:rsidRPr="00936488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</w:p>
    <w:p w14:paraId="05AEA98E" w14:textId="46107A38" w:rsidR="007A4732" w:rsidRPr="00936488" w:rsidRDefault="007A4732" w:rsidP="007A473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  <w:r w:rsidRPr="00936488">
        <w:rPr>
          <w:rFonts w:ascii="Arial" w:hAnsi="Arial" w:cs="Arial"/>
          <w:color w:val="000000"/>
          <w:lang w:val="es-ES_tradnl"/>
        </w:rPr>
        <w:tab/>
        <w:t xml:space="preserve">Que, en el artículo 11 de la Decisión 706 dispone que </w:t>
      </w:r>
      <w:r w:rsidRPr="00936488">
        <w:rPr>
          <w:rFonts w:ascii="Arial" w:hAnsi="Arial" w:cs="Arial"/>
          <w:lang w:val="es-ES_tradnl"/>
        </w:rPr>
        <w:t>los productos de higiene doméstica y productos absorbentes de higiene personal notificados en un País Miembro, serán reconocidos automáticamente en los demás Países Miembros previa a su importación o comercialización, a solicitud del interesado. Para dichos efectos la</w:t>
      </w:r>
      <w:r w:rsidRPr="00936488">
        <w:rPr>
          <w:rFonts w:ascii="Arial" w:hAnsi="Arial" w:cs="Arial"/>
          <w:bCs/>
          <w:iCs/>
          <w:lang w:val="es-ES_tradnl"/>
        </w:rPr>
        <w:t xml:space="preserve"> </w:t>
      </w:r>
      <w:r w:rsidR="00BC2777">
        <w:rPr>
          <w:rFonts w:ascii="Arial" w:hAnsi="Arial" w:cs="Arial"/>
          <w:bCs/>
          <w:iCs/>
          <w:lang w:val="es-ES_tradnl"/>
        </w:rPr>
        <w:t>ANC</w:t>
      </w:r>
      <w:r w:rsidRPr="00936488">
        <w:rPr>
          <w:rFonts w:ascii="Arial" w:hAnsi="Arial" w:cs="Arial"/>
          <w:bCs/>
          <w:iCs/>
          <w:lang w:val="es-ES_tradnl"/>
        </w:rPr>
        <w:t xml:space="preserve"> requerirá al interesado, entre otros, la copia certificada de la NSO emitida por la autoridad del país de origen;</w:t>
      </w:r>
    </w:p>
    <w:p w14:paraId="18AB6AEE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</w:p>
    <w:p w14:paraId="0331E4BC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  <w:r w:rsidRPr="00936488">
        <w:rPr>
          <w:rFonts w:ascii="Arial" w:hAnsi="Arial" w:cs="Arial"/>
          <w:color w:val="000000"/>
          <w:lang w:val="es-ES_tradnl"/>
        </w:rPr>
        <w:tab/>
      </w:r>
      <w:r w:rsidRPr="00936488">
        <w:rPr>
          <w:rFonts w:ascii="Arial" w:hAnsi="Arial" w:cs="Arial"/>
          <w:color w:val="000000"/>
          <w:lang w:val="es-ES_tradnl"/>
        </w:rPr>
        <w:tab/>
        <w:t>Que, asimismo la Decisión 706 y la Resolución N° 1370</w:t>
      </w:r>
      <w:r w:rsidRPr="00936488">
        <w:rPr>
          <w:rFonts w:ascii="Arial" w:hAnsi="Arial" w:cs="Arial"/>
          <w:lang w:val="es-ES_tradnl"/>
        </w:rPr>
        <w:t>,</w:t>
      </w:r>
      <w:r w:rsidRPr="00936488">
        <w:rPr>
          <w:rFonts w:ascii="Arial" w:hAnsi="Arial" w:cs="Arial"/>
          <w:color w:val="000000"/>
          <w:lang w:val="es-ES_tradnl"/>
        </w:rPr>
        <w:t xml:space="preserve"> regulan los requisitos y procedimientos para la Notificación Sanitaria Obligatoria de </w:t>
      </w:r>
      <w:r w:rsidRPr="00936488">
        <w:rPr>
          <w:rFonts w:ascii="Arial" w:hAnsi="Arial" w:cs="Arial"/>
          <w:lang w:val="es-ES_tradnl"/>
        </w:rPr>
        <w:t>los productos de higiene doméstica y productos absorbentes de higiene personal</w:t>
      </w:r>
      <w:r w:rsidRPr="00936488">
        <w:rPr>
          <w:rFonts w:ascii="Arial" w:hAnsi="Arial" w:cs="Arial"/>
          <w:color w:val="000000"/>
          <w:lang w:val="es-ES_tradnl"/>
        </w:rPr>
        <w:t xml:space="preserve">, su renovación, el reconocimiento del código de identificación de la NSO </w:t>
      </w:r>
      <w:r w:rsidRPr="00936488">
        <w:rPr>
          <w:rFonts w:ascii="Arial" w:hAnsi="Arial" w:cs="Arial"/>
          <w:lang w:val="es-ES_tradnl"/>
        </w:rPr>
        <w:t xml:space="preserve">y para la </w:t>
      </w:r>
      <w:r w:rsidRPr="00936488">
        <w:rPr>
          <w:rFonts w:ascii="Arial" w:hAnsi="Arial" w:cs="Arial"/>
          <w:color w:val="000000"/>
          <w:lang w:val="es-ES_tradnl"/>
        </w:rPr>
        <w:t xml:space="preserve">información de cambios sobre la misma;  </w:t>
      </w:r>
    </w:p>
    <w:p w14:paraId="2C20C396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lang w:val="es-ES_tradnl"/>
        </w:rPr>
      </w:pPr>
    </w:p>
    <w:p w14:paraId="7FFC0950" w14:textId="77777777" w:rsidR="007A4732" w:rsidRPr="00936488" w:rsidRDefault="007A4732" w:rsidP="007A4732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napToGrid w:val="0"/>
        </w:rPr>
      </w:pPr>
      <w:r w:rsidRPr="00936488">
        <w:rPr>
          <w:rFonts w:ascii="Arial" w:hAnsi="Arial" w:cs="Arial"/>
        </w:rPr>
        <w:t>Que, la Organización Mundial de la Salud ha calificado, con fecha 11 de marzo de 2020, el brote de la COVID-19 como una pandemia al haberse extendido en más de cien países del mundo de manera simultánea;</w:t>
      </w:r>
    </w:p>
    <w:p w14:paraId="02FE3F46" w14:textId="77777777" w:rsidR="007A4732" w:rsidRPr="00936488" w:rsidRDefault="007A4732" w:rsidP="007A4732">
      <w:pPr>
        <w:spacing w:after="0" w:line="240" w:lineRule="auto"/>
        <w:ind w:firstLine="720"/>
        <w:jc w:val="both"/>
        <w:rPr>
          <w:rFonts w:ascii="Arial" w:hAnsi="Arial" w:cs="Arial"/>
          <w:snapToGrid w:val="0"/>
        </w:rPr>
      </w:pPr>
    </w:p>
    <w:p w14:paraId="6ECE019F" w14:textId="77777777" w:rsidR="007A4732" w:rsidRPr="00936488" w:rsidRDefault="007A4732" w:rsidP="007A4732">
      <w:pPr>
        <w:spacing w:after="0" w:line="240" w:lineRule="auto"/>
        <w:ind w:firstLine="720"/>
        <w:jc w:val="both"/>
        <w:rPr>
          <w:rFonts w:ascii="Arial" w:hAnsi="Arial" w:cs="Arial"/>
          <w:snapToGrid w:val="0"/>
          <w:lang w:val="es-ES_tradnl"/>
        </w:rPr>
      </w:pPr>
      <w:r w:rsidRPr="00936488">
        <w:rPr>
          <w:rFonts w:ascii="Arial" w:hAnsi="Arial" w:cs="Arial"/>
          <w:snapToGrid w:val="0"/>
          <w:lang w:val="es-ES_tradnl"/>
        </w:rPr>
        <w:t>Que, los Países Miembros así como terceros países que mantienen un fluido comercio con la Subregión Andina, con el objetivo de evitar la propagación de la COVID-19, han adoptado medidas excepcionales y temporales en sus respectivos territorios, tales como</w:t>
      </w:r>
      <w:r w:rsidRPr="000D0749">
        <w:rPr>
          <w:rFonts w:ascii="Arial" w:hAnsi="Arial" w:cs="Arial"/>
          <w:snapToGrid w:val="0"/>
          <w:lang w:val="es-ES_tradnl"/>
        </w:rPr>
        <w:t>,</w:t>
      </w:r>
      <w:r w:rsidRPr="00936488">
        <w:rPr>
          <w:rFonts w:ascii="Arial" w:hAnsi="Arial" w:cs="Arial"/>
          <w:snapToGrid w:val="0"/>
          <w:lang w:val="es-ES_tradnl"/>
        </w:rPr>
        <w:t xml:space="preserve"> la declaratoria de emergencia sanitaria, restricciones de movilidad de las personas, implementación de protocolos de seguridad sanitaria y el aislamiento preventivo obligatorio; </w:t>
      </w:r>
    </w:p>
    <w:p w14:paraId="70211C82" w14:textId="77777777" w:rsidR="007A4732" w:rsidRPr="00936488" w:rsidRDefault="007A4732" w:rsidP="007A4732">
      <w:pPr>
        <w:spacing w:after="0" w:line="240" w:lineRule="auto"/>
        <w:ind w:firstLine="720"/>
        <w:jc w:val="both"/>
        <w:rPr>
          <w:rFonts w:ascii="Arial" w:hAnsi="Arial" w:cs="Arial"/>
          <w:snapToGrid w:val="0"/>
          <w:lang w:val="es-ES_tradnl"/>
        </w:rPr>
      </w:pPr>
    </w:p>
    <w:p w14:paraId="414F9FC9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936488">
        <w:rPr>
          <w:rFonts w:ascii="Arial" w:hAnsi="Arial" w:cs="Arial"/>
          <w:lang w:val="es-ES_tradnl"/>
        </w:rPr>
        <w:tab/>
      </w:r>
      <w:r w:rsidRPr="00936488">
        <w:rPr>
          <w:rFonts w:ascii="Arial" w:hAnsi="Arial" w:cs="Arial"/>
          <w:lang w:val="es-ES_tradnl"/>
        </w:rPr>
        <w:tab/>
        <w:t xml:space="preserve">Que, los Países Miembros </w:t>
      </w:r>
      <w:r w:rsidRPr="00936488">
        <w:rPr>
          <w:rFonts w:ascii="Arial" w:hAnsi="Arial" w:cs="Arial"/>
        </w:rPr>
        <w:t xml:space="preserve">han considerado importante permitir que los interesados en solicitar un </w:t>
      </w:r>
      <w:r w:rsidRPr="00936488">
        <w:rPr>
          <w:rFonts w:ascii="Arial" w:hAnsi="Arial" w:cs="Arial"/>
          <w:color w:val="000000"/>
          <w:lang w:val="es-ES_tradnl"/>
        </w:rPr>
        <w:t xml:space="preserve">reconocimiento del código de identificación de la NSO </w:t>
      </w:r>
      <w:r w:rsidRPr="00936488">
        <w:rPr>
          <w:rFonts w:ascii="Arial" w:hAnsi="Arial" w:cs="Arial"/>
          <w:lang w:val="es-ES_tradnl"/>
        </w:rPr>
        <w:t xml:space="preserve">de productos de higiene doméstica y productos absorbentes de higiene personal, </w:t>
      </w:r>
      <w:r w:rsidRPr="00936488">
        <w:rPr>
          <w:rFonts w:ascii="Arial" w:hAnsi="Arial" w:cs="Arial"/>
        </w:rPr>
        <w:t>puedan presentar copia simple de</w:t>
      </w:r>
      <w:r w:rsidRPr="00936488">
        <w:rPr>
          <w:rFonts w:ascii="Arial" w:hAnsi="Arial" w:cs="Arial"/>
          <w:lang w:val="es-ES_tradnl"/>
        </w:rPr>
        <w:t xml:space="preserve"> la NSO del primer País Miembro de comercialización</w:t>
      </w:r>
      <w:r w:rsidRPr="00936488">
        <w:rPr>
          <w:rFonts w:ascii="Arial" w:hAnsi="Arial" w:cs="Arial"/>
        </w:rPr>
        <w:t>, tomando en consideración el bajo riesgo sanitario de estos productos y, la utilidad que tienen algunos de ellos para atender la referida emergencia sanitaria;</w:t>
      </w:r>
    </w:p>
    <w:p w14:paraId="26B1C5E7" w14:textId="77777777" w:rsidR="007A4732" w:rsidRPr="00936488" w:rsidRDefault="007A4732" w:rsidP="007A4732">
      <w:pPr>
        <w:pStyle w:val="Prrafodelista"/>
        <w:spacing w:after="0" w:line="240" w:lineRule="auto"/>
        <w:ind w:firstLine="567"/>
        <w:rPr>
          <w:rFonts w:ascii="Arial" w:hAnsi="Arial" w:cs="Arial"/>
          <w:lang w:val="es-ES_tradnl"/>
        </w:rPr>
      </w:pPr>
    </w:p>
    <w:p w14:paraId="0D01E744" w14:textId="68D3BC3F" w:rsidR="007A4732" w:rsidRPr="00936488" w:rsidRDefault="007A4732" w:rsidP="007A4732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 w:rsidRPr="00936488">
        <w:rPr>
          <w:rFonts w:ascii="Arial" w:hAnsi="Arial" w:cs="Arial"/>
          <w:lang w:val="es-ES_tradnl"/>
        </w:rPr>
        <w:t xml:space="preserve">Que, el Grupo de Expertos Gubernamentales para la Armonización de Legislaciones Sanitarias (Sanidad Humana), en su </w:t>
      </w:r>
      <w:r w:rsidR="005963BC" w:rsidRPr="00936488">
        <w:rPr>
          <w:rFonts w:ascii="Arial" w:hAnsi="Arial" w:cs="Arial"/>
          <w:lang w:val="es-ES_tradnl"/>
        </w:rPr>
        <w:t>XXI</w:t>
      </w:r>
      <w:r w:rsidR="004169FD">
        <w:rPr>
          <w:rFonts w:ascii="Arial" w:hAnsi="Arial" w:cs="Arial"/>
          <w:lang w:val="es-ES_tradnl"/>
        </w:rPr>
        <w:t>X</w:t>
      </w:r>
      <w:r w:rsidR="005963BC" w:rsidRPr="00936488">
        <w:rPr>
          <w:rFonts w:ascii="Arial" w:hAnsi="Arial" w:cs="Arial"/>
          <w:lang w:val="es-ES_tradnl"/>
        </w:rPr>
        <w:t xml:space="preserve"> R</w:t>
      </w:r>
      <w:r w:rsidRPr="00936488">
        <w:rPr>
          <w:rFonts w:ascii="Arial" w:hAnsi="Arial" w:cs="Arial"/>
          <w:lang w:val="es-ES_tradnl"/>
        </w:rPr>
        <w:t xml:space="preserve">eunión </w:t>
      </w:r>
      <w:r w:rsidR="005963BC" w:rsidRPr="00936488">
        <w:rPr>
          <w:rFonts w:ascii="Arial" w:hAnsi="Arial" w:cs="Arial"/>
          <w:lang w:val="es-ES_tradnl"/>
        </w:rPr>
        <w:t xml:space="preserve">celebrada </w:t>
      </w:r>
      <w:r w:rsidRPr="00936488">
        <w:rPr>
          <w:rFonts w:ascii="Arial" w:hAnsi="Arial" w:cs="Arial"/>
          <w:lang w:val="es-ES_tradnl"/>
        </w:rPr>
        <w:t>el 1</w:t>
      </w:r>
      <w:r w:rsidR="004169FD">
        <w:rPr>
          <w:rFonts w:ascii="Arial" w:hAnsi="Arial" w:cs="Arial"/>
          <w:lang w:val="es-ES_tradnl"/>
        </w:rPr>
        <w:t>4 de septiembre</w:t>
      </w:r>
      <w:r w:rsidRPr="00936488">
        <w:rPr>
          <w:rFonts w:ascii="Arial" w:hAnsi="Arial" w:cs="Arial"/>
          <w:lang w:val="es-ES_tradnl"/>
        </w:rPr>
        <w:t xml:space="preserve"> de 2020, emitió opinión favorable al proyecto normativo y recomendó su adopción mediante Decisión de la Comisión;</w:t>
      </w:r>
    </w:p>
    <w:p w14:paraId="1D11E5F6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14:paraId="52AFC211" w14:textId="77777777" w:rsidR="007A4732" w:rsidRPr="00936488" w:rsidRDefault="007A4732" w:rsidP="007A4732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936488">
        <w:rPr>
          <w:rFonts w:ascii="Arial" w:hAnsi="Arial" w:cs="Arial"/>
          <w:b/>
          <w:lang w:val="es-ES_tradnl"/>
        </w:rPr>
        <w:t>DECIDE:</w:t>
      </w:r>
    </w:p>
    <w:p w14:paraId="3BB4ECC1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6EB7524" w14:textId="22D3CFAA" w:rsidR="007A4732" w:rsidRPr="00936488" w:rsidRDefault="007A4732" w:rsidP="007A4732">
      <w:pPr>
        <w:spacing w:after="0" w:line="240" w:lineRule="auto"/>
        <w:jc w:val="both"/>
        <w:rPr>
          <w:rFonts w:ascii="Arial" w:hAnsi="Arial" w:cs="Arial"/>
          <w:lang w:val="es-ES_tradnl"/>
        </w:rPr>
      </w:pPr>
      <w:r w:rsidRPr="00936488">
        <w:rPr>
          <w:rFonts w:ascii="Arial" w:hAnsi="Arial" w:cs="Arial"/>
          <w:b/>
          <w:bCs/>
          <w:lang w:val="es-ES_tradnl"/>
        </w:rPr>
        <w:t>Artículo Único.-</w:t>
      </w:r>
      <w:r w:rsidRPr="00936488">
        <w:rPr>
          <w:rFonts w:ascii="Arial" w:hAnsi="Arial" w:cs="Arial"/>
          <w:lang w:val="es-ES_tradnl"/>
        </w:rPr>
        <w:t xml:space="preserve"> </w:t>
      </w:r>
      <w:r w:rsidRPr="00936488">
        <w:rPr>
          <w:rFonts w:ascii="Arial" w:hAnsi="Arial" w:cs="Arial"/>
        </w:rPr>
        <w:t>Las Autoridades Nacionales Competentes de los Países Miembros de la Comunidad Andina, de manera excepcional y hasta el 31 de diciembre de 2020, aceptarán que el interesado presente copia simple</w:t>
      </w:r>
      <w:r w:rsidR="00842F8A">
        <w:rPr>
          <w:rFonts w:ascii="Arial" w:hAnsi="Arial" w:cs="Arial"/>
        </w:rPr>
        <w:t xml:space="preserve"> física o digital</w:t>
      </w:r>
      <w:r w:rsidRPr="00936488">
        <w:rPr>
          <w:rFonts w:ascii="Arial" w:hAnsi="Arial" w:cs="Arial"/>
          <w:lang w:val="es-ES_tradnl"/>
        </w:rPr>
        <w:t xml:space="preserve"> de la Notificación Sanitaria Obligatoria del primer País Miembro de comercialización, para el </w:t>
      </w:r>
      <w:r w:rsidRPr="00936488">
        <w:rPr>
          <w:rFonts w:ascii="Arial" w:hAnsi="Arial" w:cs="Arial"/>
        </w:rPr>
        <w:t xml:space="preserve">trámite de una solicitud de reconocimiento de la Notificación Sanitaria Obligatoria de </w:t>
      </w:r>
      <w:r w:rsidRPr="00936488">
        <w:rPr>
          <w:rFonts w:ascii="Arial" w:hAnsi="Arial" w:cs="Arial"/>
          <w:lang w:val="es-ES_tradnl"/>
        </w:rPr>
        <w:t xml:space="preserve">un producto de higiene doméstica o un producto absorbente de higiene personal. </w:t>
      </w:r>
    </w:p>
    <w:p w14:paraId="31F9B56E" w14:textId="012D9FEC" w:rsidR="007A4732" w:rsidRPr="00936488" w:rsidRDefault="007A4732" w:rsidP="007A4732">
      <w:pPr>
        <w:pStyle w:val="xmsonormal"/>
        <w:jc w:val="both"/>
      </w:pPr>
    </w:p>
    <w:p w14:paraId="53B1FE26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36488">
        <w:rPr>
          <w:rFonts w:ascii="Arial" w:hAnsi="Arial" w:cs="Arial"/>
          <w:color w:val="000000" w:themeColor="text1"/>
        </w:rPr>
        <w:t>La presente Decisión entrará en vigencia a partir de la fecha de su publicación en la Gaceta Oficial del Acuerdo de Cartagena.</w:t>
      </w:r>
    </w:p>
    <w:p w14:paraId="6E6FD2B1" w14:textId="77777777" w:rsidR="007A4732" w:rsidRPr="00936488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14:paraId="52F2B6CD" w14:textId="057073A0" w:rsidR="007A4732" w:rsidRDefault="007A4732" w:rsidP="007A473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936488">
        <w:rPr>
          <w:rFonts w:ascii="Arial" w:hAnsi="Arial" w:cs="Arial"/>
          <w:iCs/>
          <w:color w:val="000000" w:themeColor="text1"/>
          <w:lang w:val="es-ES_tradnl"/>
        </w:rPr>
        <w:t xml:space="preserve">Dada en la ciudad de Lima, Perú, </w:t>
      </w:r>
      <w:r w:rsidR="00314C4B">
        <w:rPr>
          <w:rFonts w:ascii="Arial" w:hAnsi="Arial" w:cs="Arial"/>
          <w:iCs/>
          <w:color w:val="000000" w:themeColor="text1"/>
          <w:lang w:val="es-ES_tradnl"/>
        </w:rPr>
        <w:t>el 30 de septiembre</w:t>
      </w:r>
      <w:r w:rsidRPr="00936488">
        <w:rPr>
          <w:rFonts w:ascii="Arial" w:hAnsi="Arial" w:cs="Arial"/>
          <w:iCs/>
          <w:color w:val="000000" w:themeColor="text1"/>
          <w:lang w:val="es-ES_tradnl"/>
        </w:rPr>
        <w:t xml:space="preserve"> del año dos mil veinte.</w:t>
      </w:r>
    </w:p>
    <w:p w14:paraId="445BC2E5" w14:textId="77777777" w:rsidR="007A4732" w:rsidRPr="00032580" w:rsidRDefault="007A4732" w:rsidP="007A473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F509EAA" w14:textId="77777777" w:rsidR="007A4732" w:rsidRDefault="007A4732" w:rsidP="007A4732">
      <w:pPr>
        <w:spacing w:after="0" w:line="240" w:lineRule="auto"/>
        <w:rPr>
          <w:rFonts w:ascii="Arial" w:hAnsi="Arial" w:cs="Arial"/>
        </w:rPr>
      </w:pPr>
    </w:p>
    <w:p w14:paraId="22E3A093" w14:textId="77777777" w:rsidR="007A4732" w:rsidRDefault="007A4732" w:rsidP="007A4732">
      <w:pPr>
        <w:tabs>
          <w:tab w:val="left" w:pos="6521"/>
        </w:tabs>
        <w:spacing w:after="0" w:line="240" w:lineRule="auto"/>
        <w:jc w:val="center"/>
        <w:rPr>
          <w:rFonts w:ascii="Arial" w:hAnsi="Arial" w:cs="Arial"/>
        </w:rPr>
      </w:pPr>
    </w:p>
    <w:p w14:paraId="1193DF74" w14:textId="77777777" w:rsidR="007A4732" w:rsidRPr="005607A0" w:rsidRDefault="007A4732" w:rsidP="007A4732">
      <w:pPr>
        <w:spacing w:after="0" w:line="240" w:lineRule="auto"/>
        <w:jc w:val="right"/>
        <w:rPr>
          <w:rFonts w:ascii="Arial" w:hAnsi="Arial" w:cs="Arial"/>
        </w:rPr>
      </w:pPr>
    </w:p>
    <w:p w14:paraId="70F01385" w14:textId="77777777" w:rsidR="007A4732" w:rsidRDefault="007A4732" w:rsidP="007A473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14:paraId="47251C3E" w14:textId="77777777" w:rsidR="00E97713" w:rsidRDefault="00E97713"/>
    <w:sectPr w:rsidR="00E97713" w:rsidSect="00DB029D">
      <w:pgSz w:w="11906" w:h="16838" w:code="9"/>
      <w:pgMar w:top="1247" w:right="993" w:bottom="1021" w:left="1135" w:header="851" w:footer="567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32"/>
    <w:rsid w:val="000D0749"/>
    <w:rsid w:val="001A560F"/>
    <w:rsid w:val="001C2C33"/>
    <w:rsid w:val="00221931"/>
    <w:rsid w:val="00314C4B"/>
    <w:rsid w:val="00320738"/>
    <w:rsid w:val="00371E49"/>
    <w:rsid w:val="003C4B77"/>
    <w:rsid w:val="004169FD"/>
    <w:rsid w:val="0041795E"/>
    <w:rsid w:val="005963BC"/>
    <w:rsid w:val="007A4732"/>
    <w:rsid w:val="007E214E"/>
    <w:rsid w:val="00842F8A"/>
    <w:rsid w:val="008978D9"/>
    <w:rsid w:val="00936488"/>
    <w:rsid w:val="00B04292"/>
    <w:rsid w:val="00B46564"/>
    <w:rsid w:val="00BC2777"/>
    <w:rsid w:val="00BE4A6D"/>
    <w:rsid w:val="00D61BED"/>
    <w:rsid w:val="00E97713"/>
    <w:rsid w:val="00ED5EA8"/>
    <w:rsid w:val="00F06BB7"/>
    <w:rsid w:val="00F6550E"/>
    <w:rsid w:val="00F9152A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3B36"/>
  <w15:docId w15:val="{12702648-6F2F-46DD-B118-8B8BC5DC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732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w Parrafo numerado,titulo 3,Dot pt,No Spacing1,List Paragraph Char Char Char,Indicator Text,Numbered Para 1,Colorful List - Accent 11,Bullet 1,F5 List Paragraph,Bullet Points,List Paragraph 1,Ha,HOJA,Bolita,Párrafo de lista4,BOLADEF"/>
    <w:basedOn w:val="Normal"/>
    <w:link w:val="PrrafodelistaCar"/>
    <w:uiPriority w:val="34"/>
    <w:qFormat/>
    <w:rsid w:val="007A4732"/>
    <w:pPr>
      <w:ind w:left="720"/>
      <w:contextualSpacing/>
    </w:pPr>
  </w:style>
  <w:style w:type="character" w:customStyle="1" w:styleId="PrrafodelistaCar">
    <w:name w:val="Párrafo de lista Car"/>
    <w:aliases w:val="w Parrafo numerado Car,titulo 3 Car,Dot pt Car,No Spacing1 Car,List Paragraph Char Char Char Car,Indicator Text Car,Numbered Para 1 Car,Colorful List - Accent 11 Car,Bullet 1 Car,F5 List Paragraph Car,Bullet Points Car,Ha Car"/>
    <w:link w:val="Prrafodelista"/>
    <w:uiPriority w:val="34"/>
    <w:qFormat/>
    <w:locked/>
    <w:rsid w:val="007A4732"/>
    <w:rPr>
      <w:rFonts w:eastAsiaTheme="minorEastAsia"/>
      <w:lang w:eastAsia="es-PE"/>
    </w:rPr>
  </w:style>
  <w:style w:type="paragraph" w:customStyle="1" w:styleId="xmsonormal">
    <w:name w:val="x_msonormal"/>
    <w:basedOn w:val="Normal"/>
    <w:uiPriority w:val="99"/>
    <w:rsid w:val="007A4732"/>
    <w:pPr>
      <w:spacing w:after="0" w:line="240" w:lineRule="auto"/>
    </w:pPr>
    <w:rPr>
      <w:rFonts w:ascii="Calibri" w:eastAsiaTheme="minorHAnsi" w:hAnsi="Calibri" w:cs="Calibri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BC"/>
    <w:rPr>
      <w:rFonts w:ascii="Segoe UI" w:eastAsiaTheme="minorEastAsia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3FF0D713BBDD4C9DF02AFA21DD1FD3" ma:contentTypeVersion="18" ma:contentTypeDescription="Crear nuevo documento." ma:contentTypeScope="" ma:versionID="bee1dbb1f1889d2e503eeb46b1865add">
  <xsd:schema xmlns:xsd="http://www.w3.org/2001/XMLSchema" xmlns:xs="http://www.w3.org/2001/XMLSchema" xmlns:p="http://schemas.microsoft.com/office/2006/metadata/properties" xmlns:ns3="894ba07c-341b-4529-9a2f-16be0701b1a4" xmlns:ns4="b83da746-9bbc-4107-ab87-71758194d9c2" targetNamespace="http://schemas.microsoft.com/office/2006/metadata/properties" ma:root="true" ma:fieldsID="ae4125ef2d67926c40710908b9ae9627" ns3:_="" ns4:_="">
    <xsd:import namespace="894ba07c-341b-4529-9a2f-16be0701b1a4"/>
    <xsd:import namespace="b83da746-9bbc-4107-ab87-71758194d9c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ba07c-341b-4529-9a2f-16be0701b1a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da746-9bbc-4107-ab87-71758194d9c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894ba07c-341b-4529-9a2f-16be0701b1a4" xsi:nil="true"/>
    <MigrationWizIdPermissions xmlns="894ba07c-341b-4529-9a2f-16be0701b1a4" xsi:nil="true"/>
    <MigrationWizIdSecurityGroups xmlns="894ba07c-341b-4529-9a2f-16be0701b1a4" xsi:nil="true"/>
    <MigrationWizIdPermissionLevels xmlns="894ba07c-341b-4529-9a2f-16be0701b1a4" xsi:nil="true"/>
    <MigrationWizIdDocumentLibraryPermissions xmlns="894ba07c-341b-4529-9a2f-16be0701b1a4" xsi:nil="true"/>
  </documentManagement>
</p:properties>
</file>

<file path=customXml/itemProps1.xml><?xml version="1.0" encoding="utf-8"?>
<ds:datastoreItem xmlns:ds="http://schemas.openxmlformats.org/officeDocument/2006/customXml" ds:itemID="{489B4C73-58CC-449B-A77A-5BC7EF263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6C8CF-448A-463F-9F08-3C14D59AA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ba07c-341b-4529-9a2f-16be0701b1a4"/>
    <ds:schemaRef ds:uri="b83da746-9bbc-4107-ab87-71758194d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18A0D-7857-4717-99FF-1B2D6603F3C0}">
  <ds:schemaRefs>
    <ds:schemaRef ds:uri="http://schemas.microsoft.com/office/2006/metadata/properties"/>
    <ds:schemaRef ds:uri="http://schemas.microsoft.com/office/infopath/2007/PartnerControls"/>
    <ds:schemaRef ds:uri="894ba07c-341b-4529-9a2f-16be0701b1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disetica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SGCAN</dc:creator>
  <cp:lastModifiedBy>Miguel Hinostroza Villafuerte</cp:lastModifiedBy>
  <cp:revision>5</cp:revision>
  <dcterms:created xsi:type="dcterms:W3CDTF">2020-09-30T15:30:00Z</dcterms:created>
  <dcterms:modified xsi:type="dcterms:W3CDTF">2020-09-30T17:17:00Z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0x010100363FF0D713BBDD4C9DF02AFA21DD1FD3</vt:lpwstr>
  </property>
</Properties>
</file>