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25F" w:rsidRDefault="007D65E1" w:rsidP="00284CE3">
      <w:pPr>
        <w:tabs>
          <w:tab w:val="left" w:pos="3402"/>
        </w:tabs>
        <w:ind w:right="5436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>
        <w:rPr>
          <w:rFonts w:ascii="Arial" w:eastAsia="Calibri" w:hAnsi="Arial" w:cs="Arial"/>
          <w:noProof/>
          <w:sz w:val="16"/>
          <w:szCs w:val="16"/>
          <w:lang w:val="es-PE" w:eastAsia="es-PE"/>
        </w:rPr>
        <w:drawing>
          <wp:inline distT="0" distB="0" distL="0" distR="0">
            <wp:extent cx="1581150" cy="457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204" cy="45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5E1" w:rsidRDefault="007D65E1" w:rsidP="00284CE3">
      <w:pPr>
        <w:tabs>
          <w:tab w:val="left" w:pos="3402"/>
        </w:tabs>
        <w:ind w:right="5436"/>
        <w:jc w:val="both"/>
        <w:rPr>
          <w:rFonts w:ascii="Arial" w:eastAsia="Calibri" w:hAnsi="Arial" w:cs="Arial"/>
          <w:sz w:val="16"/>
          <w:szCs w:val="16"/>
          <w:lang w:val="es-ES_tradnl"/>
        </w:rPr>
      </w:pPr>
    </w:p>
    <w:p w:rsidR="007D65E1" w:rsidRDefault="007D65E1" w:rsidP="00284CE3">
      <w:pPr>
        <w:tabs>
          <w:tab w:val="left" w:pos="3402"/>
        </w:tabs>
        <w:ind w:right="5436"/>
        <w:jc w:val="both"/>
        <w:rPr>
          <w:rFonts w:ascii="Arial" w:eastAsia="Calibri" w:hAnsi="Arial" w:cs="Arial"/>
          <w:sz w:val="16"/>
          <w:szCs w:val="16"/>
          <w:lang w:val="es-ES_tradnl"/>
        </w:rPr>
      </w:pPr>
    </w:p>
    <w:p w:rsidR="004C5C26" w:rsidRPr="00A1429D" w:rsidRDefault="004C5C26" w:rsidP="00284CE3">
      <w:pPr>
        <w:tabs>
          <w:tab w:val="left" w:pos="3402"/>
        </w:tabs>
        <w:ind w:right="5436"/>
        <w:jc w:val="both"/>
        <w:rPr>
          <w:rFonts w:ascii="Arial" w:eastAsia="Calibri" w:hAnsi="Arial" w:cs="Arial"/>
          <w:lang w:val="es-ES_tradnl"/>
        </w:rPr>
      </w:pPr>
      <w:r w:rsidRPr="00A1429D">
        <w:rPr>
          <w:rFonts w:ascii="Arial" w:eastAsia="Calibri" w:hAnsi="Arial" w:cs="Arial"/>
          <w:lang w:val="es-ES_tradnl"/>
        </w:rPr>
        <w:t xml:space="preserve">PERIODO </w:t>
      </w:r>
      <w:r w:rsidR="008C4DAB" w:rsidRPr="00A1429D">
        <w:rPr>
          <w:rFonts w:ascii="Arial" w:eastAsia="Calibri" w:hAnsi="Arial" w:cs="Arial"/>
          <w:lang w:val="es-ES_tradnl"/>
        </w:rPr>
        <w:t>148</w:t>
      </w:r>
      <w:r w:rsidRPr="00A1429D">
        <w:rPr>
          <w:rFonts w:ascii="Arial" w:eastAsia="Calibri" w:hAnsi="Arial" w:cs="Arial"/>
          <w:lang w:val="es-ES_tradnl"/>
        </w:rPr>
        <w:t xml:space="preserve"> DE SESIONES </w:t>
      </w:r>
      <w:r w:rsidR="008C4DAB" w:rsidRPr="00A1429D">
        <w:rPr>
          <w:rFonts w:ascii="Arial" w:eastAsia="Calibri" w:hAnsi="Arial" w:cs="Arial"/>
          <w:lang w:val="es-ES_tradnl"/>
        </w:rPr>
        <w:t>EXTRA</w:t>
      </w:r>
      <w:r w:rsidRPr="00A1429D">
        <w:rPr>
          <w:rFonts w:ascii="Arial" w:eastAsia="Calibri" w:hAnsi="Arial" w:cs="Arial"/>
          <w:lang w:val="es-ES_tradnl"/>
        </w:rPr>
        <w:t>ORDINARIAS DE LA COMISION</w:t>
      </w:r>
    </w:p>
    <w:p w:rsidR="004C5C26" w:rsidRPr="007D65E1" w:rsidRDefault="008C4DAB" w:rsidP="00284CE3">
      <w:pPr>
        <w:tabs>
          <w:tab w:val="left" w:pos="3402"/>
        </w:tabs>
        <w:ind w:right="5436"/>
        <w:jc w:val="both"/>
        <w:rPr>
          <w:rFonts w:ascii="Arial" w:eastAsia="Calibri" w:hAnsi="Arial" w:cs="Arial"/>
          <w:lang w:val="es-ES_tradnl"/>
        </w:rPr>
      </w:pPr>
      <w:r w:rsidRPr="007D65E1">
        <w:rPr>
          <w:rFonts w:ascii="Arial" w:eastAsia="Calibri" w:hAnsi="Arial" w:cs="Arial"/>
          <w:lang w:val="es-ES_tradnl"/>
        </w:rPr>
        <w:t>26</w:t>
      </w:r>
      <w:r w:rsidR="004C5C26" w:rsidRPr="007D65E1">
        <w:rPr>
          <w:rFonts w:ascii="Arial" w:eastAsia="Calibri" w:hAnsi="Arial" w:cs="Arial"/>
          <w:lang w:val="es-ES_tradnl"/>
        </w:rPr>
        <w:t xml:space="preserve"> de </w:t>
      </w:r>
      <w:r w:rsidRPr="007D65E1">
        <w:rPr>
          <w:rFonts w:ascii="Arial" w:eastAsia="Calibri" w:hAnsi="Arial" w:cs="Arial"/>
          <w:lang w:val="es-ES_tradnl"/>
        </w:rPr>
        <w:t>julio</w:t>
      </w:r>
      <w:r w:rsidR="004C5C26" w:rsidRPr="007D65E1">
        <w:rPr>
          <w:rFonts w:ascii="Arial" w:eastAsia="Calibri" w:hAnsi="Arial" w:cs="Arial"/>
          <w:lang w:val="es-ES_tradnl"/>
        </w:rPr>
        <w:t xml:space="preserve"> </w:t>
      </w:r>
      <w:r w:rsidRPr="007D65E1">
        <w:rPr>
          <w:rFonts w:ascii="Arial" w:eastAsia="Calibri" w:hAnsi="Arial" w:cs="Arial"/>
          <w:lang w:val="es-ES_tradnl"/>
        </w:rPr>
        <w:t>de</w:t>
      </w:r>
      <w:r w:rsidR="004C5C26" w:rsidRPr="007D65E1">
        <w:rPr>
          <w:rFonts w:ascii="Arial" w:eastAsia="Calibri" w:hAnsi="Arial" w:cs="Arial"/>
          <w:lang w:val="es-ES_tradnl"/>
        </w:rPr>
        <w:t xml:space="preserve"> 2019</w:t>
      </w:r>
    </w:p>
    <w:p w:rsidR="004C5C26" w:rsidRPr="007D65E1" w:rsidRDefault="004C5C26" w:rsidP="00284CE3">
      <w:pPr>
        <w:tabs>
          <w:tab w:val="left" w:pos="3402"/>
        </w:tabs>
        <w:ind w:right="5436"/>
        <w:jc w:val="both"/>
        <w:rPr>
          <w:rFonts w:ascii="Arial" w:eastAsia="Calibri" w:hAnsi="Arial" w:cs="Arial"/>
          <w:lang w:val="es-ES_tradnl"/>
        </w:rPr>
      </w:pPr>
      <w:r w:rsidRPr="007D65E1">
        <w:rPr>
          <w:rFonts w:ascii="Arial" w:eastAsia="Calibri" w:hAnsi="Arial" w:cs="Arial"/>
          <w:lang w:val="es-ES_tradnl"/>
        </w:rPr>
        <w:t xml:space="preserve">LIMA </w:t>
      </w:r>
      <w:r w:rsidR="00284DFA">
        <w:rPr>
          <w:rFonts w:ascii="Arial" w:eastAsia="Calibri" w:hAnsi="Arial" w:cs="Arial"/>
          <w:lang w:val="es-ES_tradnl"/>
        </w:rPr>
        <w:t>-</w:t>
      </w:r>
      <w:r w:rsidRPr="007D65E1">
        <w:rPr>
          <w:rFonts w:ascii="Arial" w:eastAsia="Calibri" w:hAnsi="Arial" w:cs="Arial"/>
          <w:lang w:val="es-ES_tradnl"/>
        </w:rPr>
        <w:t xml:space="preserve"> PERU</w:t>
      </w:r>
    </w:p>
    <w:p w:rsidR="004C5C26" w:rsidRPr="007D65E1" w:rsidRDefault="004C5C26" w:rsidP="00284CE3">
      <w:pPr>
        <w:ind w:right="5436"/>
        <w:jc w:val="both"/>
        <w:rPr>
          <w:rFonts w:ascii="Arial" w:eastAsia="Calibri" w:hAnsi="Arial" w:cs="Arial"/>
          <w:lang w:val="es-ES_tradnl"/>
        </w:rPr>
      </w:pPr>
      <w:r w:rsidRPr="007D65E1">
        <w:rPr>
          <w:rFonts w:ascii="Arial" w:eastAsia="Calibri" w:hAnsi="Arial" w:cs="Arial"/>
          <w:lang w:val="es-ES_tradnl"/>
        </w:rPr>
        <w:t xml:space="preserve">Modalidad </w:t>
      </w:r>
      <w:r w:rsidR="008C4DAB" w:rsidRPr="007D65E1">
        <w:rPr>
          <w:rFonts w:ascii="Arial" w:eastAsia="Calibri" w:hAnsi="Arial" w:cs="Arial"/>
          <w:lang w:val="es-ES_tradnl"/>
        </w:rPr>
        <w:t>Videoconferencia</w:t>
      </w:r>
    </w:p>
    <w:p w:rsidR="004C5C26" w:rsidRPr="007D65E1" w:rsidRDefault="004C5C26" w:rsidP="00BA725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</w:pPr>
    </w:p>
    <w:p w:rsidR="00BA725F" w:rsidRPr="007D65E1" w:rsidRDefault="00BA725F" w:rsidP="00284CE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</w:pPr>
    </w:p>
    <w:p w:rsidR="00D63375" w:rsidRPr="007D65E1" w:rsidRDefault="003C6573" w:rsidP="00284CE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</w:pPr>
      <w:r w:rsidRPr="007D65E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DECISIÓ</w:t>
      </w:r>
      <w:r w:rsidR="00D63375" w:rsidRPr="007D65E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N</w:t>
      </w:r>
      <w:r w:rsidR="000B632F" w:rsidRPr="007D65E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 xml:space="preserve"> </w:t>
      </w:r>
      <w:bookmarkStart w:id="0" w:name="_GoBack"/>
      <w:bookmarkEnd w:id="0"/>
      <w:r w:rsidR="007D65E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>847</w:t>
      </w:r>
      <w:r w:rsidR="000B632F" w:rsidRPr="007D65E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_tradnl"/>
        </w:rPr>
        <w:t xml:space="preserve"> </w:t>
      </w:r>
    </w:p>
    <w:p w:rsidR="00D63375" w:rsidRPr="007D65E1" w:rsidRDefault="00D63375" w:rsidP="00284CE3">
      <w:pPr>
        <w:pStyle w:val="Encabezado"/>
        <w:tabs>
          <w:tab w:val="clear" w:pos="4252"/>
          <w:tab w:val="clear" w:pos="8504"/>
          <w:tab w:val="left" w:pos="425"/>
        </w:tabs>
        <w:jc w:val="both"/>
        <w:rPr>
          <w:rFonts w:cs="Arial"/>
          <w:snapToGrid w:val="0"/>
          <w:sz w:val="22"/>
          <w:szCs w:val="22"/>
          <w:lang w:val="es-ES_tradnl"/>
        </w:rPr>
      </w:pPr>
    </w:p>
    <w:p w:rsidR="00D63375" w:rsidRPr="007D65E1" w:rsidRDefault="00103CCF" w:rsidP="00275C1F">
      <w:pPr>
        <w:tabs>
          <w:tab w:val="left" w:pos="426"/>
        </w:tabs>
        <w:ind w:left="5529"/>
        <w:jc w:val="both"/>
        <w:rPr>
          <w:rFonts w:ascii="Arial" w:hAnsi="Arial" w:cs="Arial"/>
          <w:snapToGrid w:val="0"/>
          <w:sz w:val="22"/>
          <w:szCs w:val="22"/>
          <w:lang w:val="es-ES_tradnl"/>
        </w:rPr>
      </w:pPr>
      <w:r w:rsidRPr="007D65E1">
        <w:rPr>
          <w:rFonts w:ascii="Arial" w:hAnsi="Arial" w:cs="Arial"/>
          <w:sz w:val="22"/>
          <w:szCs w:val="22"/>
          <w:lang w:val="es-ES_tradnl"/>
        </w:rPr>
        <w:t>Prórroga</w:t>
      </w:r>
      <w:r w:rsidR="00840737" w:rsidRPr="007D65E1">
        <w:rPr>
          <w:rFonts w:ascii="Arial" w:hAnsi="Arial" w:cs="Arial"/>
          <w:sz w:val="22"/>
          <w:szCs w:val="22"/>
          <w:lang w:val="es-ES_tradnl"/>
        </w:rPr>
        <w:t xml:space="preserve"> del plazo de entrada en vigencia </w:t>
      </w:r>
      <w:r w:rsidR="009B29D8" w:rsidRPr="007D65E1">
        <w:rPr>
          <w:rFonts w:ascii="Arial" w:hAnsi="Arial" w:cs="Arial"/>
          <w:sz w:val="22"/>
          <w:szCs w:val="22"/>
          <w:lang w:val="es-ES_tradnl"/>
        </w:rPr>
        <w:t>de la Decisión 837</w:t>
      </w:r>
    </w:p>
    <w:p w:rsidR="00D63375" w:rsidRPr="007D65E1" w:rsidRDefault="00D63375" w:rsidP="00284CE3">
      <w:pPr>
        <w:tabs>
          <w:tab w:val="left" w:pos="567"/>
        </w:tabs>
        <w:rPr>
          <w:rFonts w:ascii="Arial" w:hAnsi="Arial" w:cs="Arial"/>
          <w:snapToGrid w:val="0"/>
          <w:sz w:val="22"/>
          <w:szCs w:val="22"/>
          <w:lang w:val="es-ES_tradnl"/>
        </w:rPr>
      </w:pPr>
    </w:p>
    <w:p w:rsidR="00D63375" w:rsidRPr="007D65E1" w:rsidRDefault="00D63375" w:rsidP="00284CE3">
      <w:pPr>
        <w:pStyle w:val="AvK"/>
        <w:tabs>
          <w:tab w:val="left" w:pos="426"/>
        </w:tabs>
        <w:rPr>
          <w:rFonts w:cs="Arial"/>
          <w:b/>
          <w:sz w:val="22"/>
          <w:szCs w:val="22"/>
        </w:rPr>
      </w:pPr>
      <w:r w:rsidRPr="007D65E1">
        <w:rPr>
          <w:rFonts w:cs="Arial"/>
          <w:snapToGrid w:val="0"/>
          <w:sz w:val="22"/>
          <w:szCs w:val="22"/>
          <w:lang w:val="es-ES_tradnl"/>
        </w:rPr>
        <w:tab/>
      </w:r>
      <w:r w:rsidRPr="007D65E1">
        <w:rPr>
          <w:rFonts w:cs="Arial"/>
          <w:b/>
          <w:sz w:val="22"/>
          <w:szCs w:val="22"/>
        </w:rPr>
        <w:t xml:space="preserve">LA COMISIÓN DE LA COMUNIDAD ANDINA, </w:t>
      </w:r>
    </w:p>
    <w:p w:rsidR="00D63375" w:rsidRPr="007D65E1" w:rsidRDefault="00D63375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:rsidR="00D63375" w:rsidRPr="007D65E1" w:rsidRDefault="00D63375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ab/>
      </w:r>
      <w:r w:rsidRPr="007D65E1">
        <w:rPr>
          <w:rFonts w:ascii="Arial" w:hAnsi="Arial" w:cs="Arial"/>
          <w:b/>
          <w:sz w:val="22"/>
          <w:szCs w:val="22"/>
          <w:lang w:val="es-PE"/>
        </w:rPr>
        <w:t>VISTOS: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Los </w:t>
      </w:r>
      <w:r w:rsidR="004112E3" w:rsidRPr="007D65E1">
        <w:rPr>
          <w:rFonts w:ascii="Arial" w:hAnsi="Arial" w:cs="Arial"/>
          <w:sz w:val="22"/>
          <w:szCs w:val="22"/>
          <w:lang w:val="es-PE"/>
        </w:rPr>
        <w:t>a</w:t>
      </w:r>
      <w:r w:rsidRPr="007D65E1">
        <w:rPr>
          <w:rFonts w:ascii="Arial" w:hAnsi="Arial" w:cs="Arial"/>
          <w:sz w:val="22"/>
          <w:szCs w:val="22"/>
          <w:lang w:val="es-PE"/>
        </w:rPr>
        <w:t>rtículos 3</w:t>
      </w:r>
      <w:r w:rsidR="00103CCF" w:rsidRPr="007D65E1">
        <w:rPr>
          <w:rFonts w:ascii="Arial" w:hAnsi="Arial" w:cs="Arial"/>
          <w:sz w:val="22"/>
          <w:szCs w:val="22"/>
          <w:lang w:val="es-PE"/>
        </w:rPr>
        <w:t>,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</w:t>
      </w:r>
      <w:r w:rsidR="00103CCF" w:rsidRPr="007D65E1">
        <w:rPr>
          <w:rFonts w:ascii="Arial" w:hAnsi="Arial" w:cs="Arial"/>
          <w:sz w:val="22"/>
          <w:szCs w:val="22"/>
          <w:lang w:val="es-PE"/>
        </w:rPr>
        <w:t>22, 26, 27,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54 </w:t>
      </w:r>
      <w:r w:rsidR="00103CCF" w:rsidRPr="007D65E1">
        <w:rPr>
          <w:rFonts w:ascii="Arial" w:hAnsi="Arial" w:cs="Arial"/>
          <w:sz w:val="22"/>
          <w:szCs w:val="22"/>
          <w:lang w:val="es-PE"/>
        </w:rPr>
        <w:t xml:space="preserve">y el capítulo XIII 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del Acuerdo de Cartagena, </w:t>
      </w:r>
      <w:r w:rsidR="00567C98" w:rsidRPr="007D65E1">
        <w:rPr>
          <w:rFonts w:ascii="Arial" w:hAnsi="Arial" w:cs="Arial"/>
          <w:sz w:val="22"/>
          <w:szCs w:val="22"/>
          <w:lang w:val="es-PE"/>
        </w:rPr>
        <w:t xml:space="preserve">y 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las Decisiones </w:t>
      </w:r>
      <w:r w:rsidR="00F86A8D" w:rsidRPr="007D65E1">
        <w:rPr>
          <w:rFonts w:ascii="Arial" w:hAnsi="Arial" w:cs="Arial"/>
          <w:sz w:val="22"/>
          <w:szCs w:val="22"/>
          <w:lang w:val="es-PE"/>
        </w:rPr>
        <w:t>399 y 837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de la Comisión de la Comunidad Andina;</w:t>
      </w:r>
    </w:p>
    <w:p w:rsidR="00D63375" w:rsidRPr="007D65E1" w:rsidRDefault="00D63375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:rsidR="00D63375" w:rsidRPr="007D65E1" w:rsidRDefault="00D63375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ab/>
      </w:r>
      <w:r w:rsidRPr="007D65E1">
        <w:rPr>
          <w:rFonts w:ascii="Arial" w:hAnsi="Arial" w:cs="Arial"/>
          <w:b/>
          <w:sz w:val="22"/>
          <w:szCs w:val="22"/>
          <w:lang w:val="es-PE"/>
        </w:rPr>
        <w:t>CONSIDERANDO: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Que</w:t>
      </w:r>
      <w:r w:rsidR="0063390C" w:rsidRPr="007D65E1">
        <w:rPr>
          <w:rFonts w:ascii="Arial" w:hAnsi="Arial" w:cs="Arial"/>
          <w:sz w:val="22"/>
          <w:szCs w:val="22"/>
          <w:lang w:val="es-PE"/>
        </w:rPr>
        <w:t>,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el literal i) del artículo 3 del Acuerdo de Cartagena </w:t>
      </w:r>
      <w:r w:rsidR="00956A2A" w:rsidRPr="007D65E1">
        <w:rPr>
          <w:rFonts w:ascii="Arial" w:hAnsi="Arial" w:cs="Arial"/>
          <w:sz w:val="22"/>
          <w:szCs w:val="22"/>
          <w:lang w:val="es-PE"/>
        </w:rPr>
        <w:t>señala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a la integración física como un </w:t>
      </w:r>
      <w:r w:rsidR="00956A2A" w:rsidRPr="007D65E1">
        <w:rPr>
          <w:rFonts w:ascii="Arial" w:hAnsi="Arial" w:cs="Arial"/>
          <w:sz w:val="22"/>
          <w:szCs w:val="22"/>
          <w:lang w:val="es-PE"/>
        </w:rPr>
        <w:t>mecanismo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para alcanzar los objetivos de la integración subregional andina;</w:t>
      </w:r>
    </w:p>
    <w:p w:rsidR="00D63375" w:rsidRPr="007D65E1" w:rsidRDefault="00D63375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:rsidR="00F86A8D" w:rsidRPr="007D65E1" w:rsidRDefault="004C449C" w:rsidP="00E66E6D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ab/>
      </w:r>
      <w:r w:rsidR="00E66E6D" w:rsidRPr="007D65E1">
        <w:rPr>
          <w:rFonts w:ascii="Arial" w:hAnsi="Arial" w:cs="Arial"/>
          <w:sz w:val="22"/>
          <w:szCs w:val="22"/>
          <w:lang w:val="es-PE"/>
        </w:rPr>
        <w:t>Q</w:t>
      </w:r>
      <w:r w:rsidR="00F86A8D" w:rsidRPr="007D65E1">
        <w:rPr>
          <w:rFonts w:ascii="Arial" w:hAnsi="Arial" w:cs="Arial"/>
          <w:sz w:val="22"/>
          <w:szCs w:val="22"/>
          <w:lang w:val="es-PE"/>
        </w:rPr>
        <w:t>ue</w:t>
      </w:r>
      <w:r w:rsidR="007B12E9" w:rsidRPr="007D65E1">
        <w:rPr>
          <w:rFonts w:ascii="Arial" w:hAnsi="Arial" w:cs="Arial"/>
          <w:sz w:val="22"/>
          <w:szCs w:val="22"/>
          <w:lang w:val="es-PE"/>
        </w:rPr>
        <w:t>,</w:t>
      </w:r>
      <w:r w:rsidR="00F86A8D" w:rsidRPr="007D65E1">
        <w:rPr>
          <w:rFonts w:ascii="Arial" w:hAnsi="Arial" w:cs="Arial"/>
          <w:sz w:val="22"/>
          <w:szCs w:val="22"/>
          <w:lang w:val="es-PE"/>
        </w:rPr>
        <w:t xml:space="preserve"> el transporte internacional de mercancías por carretera constituye un elemento fundamental </w:t>
      </w:r>
      <w:r w:rsidR="00956A2A" w:rsidRPr="007D65E1">
        <w:rPr>
          <w:rFonts w:ascii="Arial" w:hAnsi="Arial" w:cs="Arial"/>
          <w:sz w:val="22"/>
          <w:szCs w:val="22"/>
          <w:lang w:val="es-PE"/>
        </w:rPr>
        <w:t xml:space="preserve">para </w:t>
      </w:r>
      <w:r w:rsidR="00F86A8D" w:rsidRPr="007D65E1">
        <w:rPr>
          <w:rFonts w:ascii="Arial" w:hAnsi="Arial" w:cs="Arial"/>
          <w:sz w:val="22"/>
          <w:szCs w:val="22"/>
          <w:lang w:val="es-PE"/>
        </w:rPr>
        <w:t>el intercambio de bienes entre los Países Miembros</w:t>
      </w:r>
      <w:r w:rsidR="004112E3" w:rsidRPr="007D65E1">
        <w:rPr>
          <w:rFonts w:ascii="Arial" w:hAnsi="Arial" w:cs="Arial"/>
          <w:sz w:val="22"/>
          <w:szCs w:val="22"/>
          <w:lang w:val="es-PE"/>
        </w:rPr>
        <w:t xml:space="preserve"> de la Comunidad Andina</w:t>
      </w:r>
      <w:r w:rsidR="00F86A8D" w:rsidRPr="007D65E1">
        <w:rPr>
          <w:rFonts w:ascii="Arial" w:hAnsi="Arial" w:cs="Arial"/>
          <w:sz w:val="22"/>
          <w:szCs w:val="22"/>
          <w:lang w:val="es-PE"/>
        </w:rPr>
        <w:t>, generando importantes beneficios en materia económica e impulsa el comercio exterior intra y extra regional</w:t>
      </w:r>
      <w:r w:rsidR="007023F9" w:rsidRPr="007D65E1">
        <w:rPr>
          <w:rFonts w:ascii="Arial" w:hAnsi="Arial" w:cs="Arial"/>
          <w:sz w:val="22"/>
          <w:szCs w:val="22"/>
          <w:lang w:val="es-PE"/>
        </w:rPr>
        <w:t>;</w:t>
      </w:r>
    </w:p>
    <w:p w:rsidR="00D63375" w:rsidRPr="007D65E1" w:rsidRDefault="00D63375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:rsidR="007023F9" w:rsidRPr="007D65E1" w:rsidRDefault="00F86A8D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ab/>
        <w:t>Que</w:t>
      </w:r>
      <w:r w:rsidR="0063390C" w:rsidRPr="007D65E1">
        <w:rPr>
          <w:rFonts w:ascii="Arial" w:hAnsi="Arial" w:cs="Arial"/>
          <w:sz w:val="22"/>
          <w:szCs w:val="22"/>
          <w:lang w:val="es-PE"/>
        </w:rPr>
        <w:t>, mediante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la Decisión 837</w:t>
      </w:r>
      <w:r w:rsidR="00D63375" w:rsidRPr="007D65E1">
        <w:rPr>
          <w:rFonts w:ascii="Arial" w:hAnsi="Arial" w:cs="Arial"/>
          <w:sz w:val="22"/>
          <w:szCs w:val="22"/>
          <w:lang w:val="es-PE"/>
        </w:rPr>
        <w:t>, publicada en la Gaceta Ofici</w:t>
      </w:r>
      <w:r w:rsidRPr="007D65E1">
        <w:rPr>
          <w:rFonts w:ascii="Arial" w:hAnsi="Arial" w:cs="Arial"/>
          <w:sz w:val="22"/>
          <w:szCs w:val="22"/>
          <w:lang w:val="es-PE"/>
        </w:rPr>
        <w:t>al del Acuerdo de Cartagena el 29 de abril de 2019</w:t>
      </w:r>
      <w:r w:rsidR="0063390C" w:rsidRPr="007D65E1">
        <w:rPr>
          <w:rFonts w:ascii="Arial" w:hAnsi="Arial" w:cs="Arial"/>
          <w:sz w:val="22"/>
          <w:szCs w:val="22"/>
          <w:lang w:val="es-PE"/>
        </w:rPr>
        <w:t xml:space="preserve">, se </w:t>
      </w:r>
      <w:r w:rsidR="00956A2A" w:rsidRPr="007D65E1">
        <w:rPr>
          <w:rFonts w:ascii="Arial" w:hAnsi="Arial" w:cs="Arial"/>
          <w:sz w:val="22"/>
          <w:szCs w:val="22"/>
          <w:lang w:val="es-PE"/>
        </w:rPr>
        <w:t>sustituye</w:t>
      </w:r>
      <w:r w:rsidR="0063390C" w:rsidRPr="007D65E1">
        <w:rPr>
          <w:rFonts w:ascii="Arial" w:hAnsi="Arial" w:cs="Arial"/>
          <w:sz w:val="22"/>
          <w:szCs w:val="22"/>
          <w:lang w:val="es-PE"/>
        </w:rPr>
        <w:t xml:space="preserve"> la Decisión 399</w:t>
      </w:r>
      <w:r w:rsidR="007023F9" w:rsidRPr="007D65E1">
        <w:rPr>
          <w:rFonts w:ascii="Arial" w:hAnsi="Arial" w:cs="Arial"/>
          <w:sz w:val="22"/>
          <w:szCs w:val="22"/>
          <w:lang w:val="es-PE"/>
        </w:rPr>
        <w:t xml:space="preserve"> de la Comisión de la Comunidad Andina sobre Transporte I</w:t>
      </w:r>
      <w:r w:rsidR="000E1767" w:rsidRPr="007D65E1">
        <w:rPr>
          <w:rFonts w:ascii="Arial" w:hAnsi="Arial" w:cs="Arial"/>
          <w:sz w:val="22"/>
          <w:szCs w:val="22"/>
          <w:lang w:val="es-PE"/>
        </w:rPr>
        <w:t>nternacional de Mercancías por C</w:t>
      </w:r>
      <w:r w:rsidR="007023F9" w:rsidRPr="007D65E1">
        <w:rPr>
          <w:rFonts w:ascii="Arial" w:hAnsi="Arial" w:cs="Arial"/>
          <w:sz w:val="22"/>
          <w:szCs w:val="22"/>
          <w:lang w:val="es-PE"/>
        </w:rPr>
        <w:t>arretera;</w:t>
      </w:r>
    </w:p>
    <w:p w:rsidR="007023F9" w:rsidRPr="007D65E1" w:rsidRDefault="007023F9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:rsidR="00D63375" w:rsidRPr="007D65E1" w:rsidRDefault="007023F9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ab/>
        <w:t xml:space="preserve">Que, de acuerdo con lo dispuesto en el artículo 186 de la Decisión 837, </w:t>
      </w:r>
      <w:r w:rsidR="004112E3" w:rsidRPr="007D65E1">
        <w:rPr>
          <w:rFonts w:ascii="Arial" w:hAnsi="Arial" w:cs="Arial"/>
          <w:sz w:val="22"/>
          <w:szCs w:val="22"/>
          <w:lang w:val="es-PE"/>
        </w:rPr>
        <w:t>é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sta entrará </w:t>
      </w:r>
      <w:r w:rsidR="00F86A8D" w:rsidRPr="007D65E1">
        <w:rPr>
          <w:rFonts w:ascii="Arial" w:hAnsi="Arial" w:cs="Arial"/>
          <w:sz w:val="22"/>
          <w:szCs w:val="22"/>
          <w:lang w:val="es-PE"/>
        </w:rPr>
        <w:t xml:space="preserve">en vigencia </w:t>
      </w:r>
      <w:r w:rsidR="003D78A5" w:rsidRPr="007D65E1">
        <w:rPr>
          <w:rFonts w:ascii="Arial" w:hAnsi="Arial" w:cs="Arial"/>
          <w:sz w:val="22"/>
          <w:szCs w:val="22"/>
          <w:lang w:val="es-PE"/>
        </w:rPr>
        <w:t>e</w:t>
      </w:r>
      <w:r w:rsidR="00F86A8D" w:rsidRPr="007D65E1">
        <w:rPr>
          <w:rFonts w:ascii="Arial" w:hAnsi="Arial" w:cs="Arial"/>
          <w:sz w:val="22"/>
          <w:szCs w:val="22"/>
          <w:lang w:val="es-PE"/>
        </w:rPr>
        <w:t>n un período d</w:t>
      </w:r>
      <w:r w:rsidR="0088702A" w:rsidRPr="007D65E1">
        <w:rPr>
          <w:rFonts w:ascii="Arial" w:hAnsi="Arial" w:cs="Arial"/>
          <w:sz w:val="22"/>
          <w:szCs w:val="22"/>
          <w:lang w:val="es-PE"/>
        </w:rPr>
        <w:t xml:space="preserve">e 90 </w:t>
      </w:r>
      <w:r w:rsidR="00720124" w:rsidRPr="007D65E1">
        <w:rPr>
          <w:rFonts w:ascii="Arial" w:hAnsi="Arial" w:cs="Arial"/>
          <w:sz w:val="22"/>
          <w:szCs w:val="22"/>
          <w:lang w:val="es-PE"/>
        </w:rPr>
        <w:t>días después de su publicación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en la Gaceta Oficial del Acuerdo de Cartagena;</w:t>
      </w:r>
    </w:p>
    <w:p w:rsidR="0063390C" w:rsidRPr="007D65E1" w:rsidRDefault="0063390C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:rsidR="0088702A" w:rsidRPr="007D65E1" w:rsidRDefault="00D63375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ab/>
        <w:t>Que</w:t>
      </w:r>
      <w:r w:rsidR="007023F9" w:rsidRPr="007D65E1">
        <w:rPr>
          <w:rFonts w:ascii="Arial" w:hAnsi="Arial" w:cs="Arial"/>
          <w:sz w:val="22"/>
          <w:szCs w:val="22"/>
          <w:lang w:val="es-PE"/>
        </w:rPr>
        <w:t>,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</w:t>
      </w:r>
      <w:r w:rsidR="0088702A" w:rsidRPr="007D65E1">
        <w:rPr>
          <w:rFonts w:ascii="Arial" w:hAnsi="Arial" w:cs="Arial"/>
          <w:sz w:val="22"/>
          <w:szCs w:val="22"/>
          <w:lang w:val="es-PE"/>
        </w:rPr>
        <w:t>los Países Miembros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requiere</w:t>
      </w:r>
      <w:r w:rsidR="0088702A" w:rsidRPr="007D65E1">
        <w:rPr>
          <w:rFonts w:ascii="Arial" w:hAnsi="Arial" w:cs="Arial"/>
          <w:sz w:val="22"/>
          <w:szCs w:val="22"/>
          <w:lang w:val="es-PE"/>
        </w:rPr>
        <w:t>n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contar con un plazo adicional </w:t>
      </w:r>
      <w:r w:rsidR="007023F9" w:rsidRPr="007D65E1">
        <w:rPr>
          <w:rFonts w:ascii="Arial" w:hAnsi="Arial" w:cs="Arial"/>
          <w:sz w:val="22"/>
          <w:szCs w:val="22"/>
          <w:lang w:val="es-PE"/>
        </w:rPr>
        <w:t>al previsto en el referido artículo 186,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</w:t>
      </w:r>
      <w:r w:rsidR="0088702A" w:rsidRPr="007D65E1">
        <w:rPr>
          <w:rFonts w:ascii="Arial" w:hAnsi="Arial" w:cs="Arial"/>
          <w:sz w:val="22"/>
          <w:szCs w:val="22"/>
          <w:lang w:val="es-PE"/>
        </w:rPr>
        <w:t xml:space="preserve">a fin de adaptar sus procesos internos al nuevo modelo de gestión </w:t>
      </w:r>
      <w:r w:rsidR="00956A2A" w:rsidRPr="007D65E1">
        <w:rPr>
          <w:rFonts w:ascii="Arial" w:hAnsi="Arial" w:cs="Arial"/>
          <w:sz w:val="22"/>
          <w:szCs w:val="22"/>
          <w:lang w:val="es-PE"/>
        </w:rPr>
        <w:t>del transporte internacional de mercancías por carretera, establecido</w:t>
      </w:r>
      <w:r w:rsidR="0088702A" w:rsidRPr="007D65E1">
        <w:rPr>
          <w:rFonts w:ascii="Arial" w:hAnsi="Arial" w:cs="Arial"/>
          <w:sz w:val="22"/>
          <w:szCs w:val="22"/>
          <w:lang w:val="es-PE"/>
        </w:rPr>
        <w:t xml:space="preserve"> en la Decisión 837</w:t>
      </w:r>
      <w:r w:rsidR="007023F9" w:rsidRPr="007D65E1">
        <w:rPr>
          <w:rFonts w:ascii="Arial" w:hAnsi="Arial" w:cs="Arial"/>
          <w:sz w:val="22"/>
          <w:szCs w:val="22"/>
          <w:lang w:val="es-PE"/>
        </w:rPr>
        <w:t>; así como</w:t>
      </w:r>
      <w:r w:rsidR="0088702A" w:rsidRPr="007D65E1">
        <w:rPr>
          <w:rFonts w:ascii="Arial" w:hAnsi="Arial" w:cs="Arial"/>
          <w:sz w:val="22"/>
          <w:szCs w:val="22"/>
          <w:lang w:val="es-PE"/>
        </w:rPr>
        <w:t xml:space="preserve">, </w:t>
      </w:r>
      <w:r w:rsidR="007023F9" w:rsidRPr="007D65E1">
        <w:rPr>
          <w:rFonts w:ascii="Arial" w:hAnsi="Arial" w:cs="Arial"/>
          <w:sz w:val="22"/>
          <w:szCs w:val="22"/>
          <w:lang w:val="es-PE"/>
        </w:rPr>
        <w:t xml:space="preserve">para </w:t>
      </w:r>
      <w:r w:rsidR="0088702A" w:rsidRPr="007D65E1">
        <w:rPr>
          <w:rFonts w:ascii="Arial" w:hAnsi="Arial" w:cs="Arial"/>
          <w:sz w:val="22"/>
          <w:szCs w:val="22"/>
          <w:lang w:val="es-PE"/>
        </w:rPr>
        <w:t>desarrollar</w:t>
      </w:r>
      <w:r w:rsidR="004112E3" w:rsidRPr="007D65E1">
        <w:rPr>
          <w:rFonts w:ascii="Arial" w:hAnsi="Arial" w:cs="Arial"/>
          <w:sz w:val="22"/>
          <w:szCs w:val="22"/>
          <w:lang w:val="es-PE"/>
        </w:rPr>
        <w:t xml:space="preserve"> y aprobar</w:t>
      </w:r>
      <w:r w:rsidR="0088702A" w:rsidRPr="007D65E1">
        <w:rPr>
          <w:rFonts w:ascii="Arial" w:hAnsi="Arial" w:cs="Arial"/>
          <w:sz w:val="22"/>
          <w:szCs w:val="22"/>
          <w:lang w:val="es-PE"/>
        </w:rPr>
        <w:t xml:space="preserve"> la</w:t>
      </w:r>
      <w:r w:rsidR="00840737" w:rsidRPr="007D65E1">
        <w:rPr>
          <w:rFonts w:ascii="Arial" w:hAnsi="Arial" w:cs="Arial"/>
          <w:sz w:val="22"/>
          <w:szCs w:val="22"/>
          <w:lang w:val="es-PE"/>
        </w:rPr>
        <w:t xml:space="preserve"> </w:t>
      </w:r>
      <w:r w:rsidR="0088702A" w:rsidRPr="007D65E1">
        <w:rPr>
          <w:rFonts w:ascii="Arial" w:hAnsi="Arial" w:cs="Arial"/>
          <w:sz w:val="22"/>
          <w:szCs w:val="22"/>
          <w:lang w:val="es-PE"/>
        </w:rPr>
        <w:t>reglamentación</w:t>
      </w:r>
      <w:r w:rsidR="007023F9" w:rsidRPr="007D65E1">
        <w:rPr>
          <w:rFonts w:ascii="Arial" w:hAnsi="Arial" w:cs="Arial"/>
          <w:sz w:val="22"/>
          <w:szCs w:val="22"/>
          <w:lang w:val="es-PE"/>
        </w:rPr>
        <w:t xml:space="preserve"> correspondiente</w:t>
      </w:r>
      <w:r w:rsidR="00956A2A" w:rsidRPr="007D65E1">
        <w:rPr>
          <w:rFonts w:ascii="Arial" w:hAnsi="Arial" w:cs="Arial"/>
          <w:sz w:val="22"/>
          <w:szCs w:val="22"/>
          <w:lang w:val="es-PE"/>
        </w:rPr>
        <w:t xml:space="preserve"> y </w:t>
      </w:r>
      <w:r w:rsidR="0088702A" w:rsidRPr="007D65E1">
        <w:rPr>
          <w:rFonts w:ascii="Arial" w:hAnsi="Arial" w:cs="Arial"/>
          <w:sz w:val="22"/>
          <w:szCs w:val="22"/>
          <w:lang w:val="es-PE"/>
        </w:rPr>
        <w:t xml:space="preserve">el sistema de información y consultas para </w:t>
      </w:r>
      <w:r w:rsidR="00956A2A" w:rsidRPr="007D65E1">
        <w:rPr>
          <w:rFonts w:ascii="Arial" w:hAnsi="Arial" w:cs="Arial"/>
          <w:sz w:val="22"/>
          <w:szCs w:val="22"/>
          <w:lang w:val="es-PE"/>
        </w:rPr>
        <w:t>su</w:t>
      </w:r>
      <w:r w:rsidR="0088702A" w:rsidRPr="007D65E1">
        <w:rPr>
          <w:rFonts w:ascii="Arial" w:hAnsi="Arial" w:cs="Arial"/>
          <w:sz w:val="22"/>
          <w:szCs w:val="22"/>
          <w:lang w:val="es-PE"/>
        </w:rPr>
        <w:t xml:space="preserve"> implementación de la Decisión</w:t>
      </w:r>
      <w:r w:rsidR="00956A2A" w:rsidRPr="007D65E1">
        <w:rPr>
          <w:rFonts w:ascii="Arial" w:hAnsi="Arial" w:cs="Arial"/>
          <w:sz w:val="22"/>
          <w:szCs w:val="22"/>
          <w:lang w:val="es-PE"/>
        </w:rPr>
        <w:t xml:space="preserve"> señalada</w:t>
      </w:r>
      <w:r w:rsidR="007023F9" w:rsidRPr="007D65E1">
        <w:rPr>
          <w:rFonts w:ascii="Arial" w:hAnsi="Arial" w:cs="Arial"/>
          <w:sz w:val="22"/>
          <w:szCs w:val="22"/>
          <w:lang w:val="es-PE"/>
        </w:rPr>
        <w:t>;</w:t>
      </w:r>
    </w:p>
    <w:p w:rsidR="004112E3" w:rsidRPr="007D65E1" w:rsidRDefault="004112E3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:rsidR="004112E3" w:rsidRPr="007D65E1" w:rsidRDefault="004112E3" w:rsidP="004112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ab/>
        <w:t xml:space="preserve">Que, el </w:t>
      </w:r>
      <w:r w:rsidRPr="007D65E1">
        <w:rPr>
          <w:rFonts w:ascii="Arial" w:hAnsi="Arial" w:cs="Arial"/>
          <w:snapToGrid w:val="0"/>
          <w:sz w:val="22"/>
          <w:szCs w:val="22"/>
          <w:lang w:val="es-ES_tradnl"/>
        </w:rPr>
        <w:t>Comité Andino de Autoridades de Transporte Terrestre (CAATT)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en su reunión </w:t>
      </w:r>
      <w:r w:rsidR="00BA725F" w:rsidRPr="007D65E1">
        <w:rPr>
          <w:rFonts w:ascii="Arial" w:hAnsi="Arial" w:cs="Arial"/>
          <w:sz w:val="22"/>
          <w:szCs w:val="22"/>
          <w:lang w:val="es-PE"/>
        </w:rPr>
        <w:t>ordinaria número XVII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emitió opinión favorable al proyecto y recomendó su adopción mediante Decisión de la C</w:t>
      </w:r>
      <w:r w:rsidR="00956A2A" w:rsidRPr="007D65E1">
        <w:rPr>
          <w:rFonts w:ascii="Arial" w:hAnsi="Arial" w:cs="Arial"/>
          <w:sz w:val="22"/>
          <w:szCs w:val="22"/>
          <w:lang w:val="es-PE"/>
        </w:rPr>
        <w:t>omisión de la Comunidad Andina;</w:t>
      </w:r>
    </w:p>
    <w:p w:rsidR="00D63375" w:rsidRPr="007D65E1" w:rsidRDefault="0088702A" w:rsidP="00284CE3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 xml:space="preserve"> </w:t>
      </w:r>
    </w:p>
    <w:p w:rsidR="007D65E1" w:rsidRDefault="007D65E1" w:rsidP="00284CE3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7D65E1" w:rsidRDefault="007D65E1" w:rsidP="00284CE3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D63375" w:rsidRPr="007D65E1" w:rsidRDefault="00D63375" w:rsidP="00284CE3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7D65E1">
        <w:rPr>
          <w:rFonts w:ascii="Arial" w:hAnsi="Arial" w:cs="Arial"/>
          <w:b/>
          <w:sz w:val="22"/>
          <w:szCs w:val="22"/>
          <w:lang w:val="es-ES_tradnl"/>
        </w:rPr>
        <w:lastRenderedPageBreak/>
        <w:t>DECIDE:</w:t>
      </w:r>
    </w:p>
    <w:p w:rsidR="00D63375" w:rsidRPr="007D65E1" w:rsidRDefault="00D63375" w:rsidP="00284CE3">
      <w:pPr>
        <w:tabs>
          <w:tab w:val="left" w:pos="426"/>
        </w:tabs>
        <w:jc w:val="center"/>
        <w:rPr>
          <w:rFonts w:ascii="Arial" w:hAnsi="Arial" w:cs="Arial"/>
          <w:b/>
          <w:sz w:val="22"/>
          <w:szCs w:val="22"/>
          <w:lang w:val="es-ES_tradnl"/>
        </w:rPr>
      </w:pPr>
    </w:p>
    <w:p w:rsidR="000E41B9" w:rsidRPr="007D65E1" w:rsidRDefault="00D63375" w:rsidP="000E41B9">
      <w:pPr>
        <w:tabs>
          <w:tab w:val="left" w:pos="426"/>
        </w:tabs>
        <w:jc w:val="both"/>
        <w:rPr>
          <w:rFonts w:ascii="Arial" w:hAnsi="Arial" w:cs="Arial"/>
          <w:i/>
          <w:sz w:val="22"/>
          <w:szCs w:val="22"/>
          <w:lang w:val="es-PE"/>
        </w:rPr>
      </w:pPr>
      <w:r w:rsidRPr="007D65E1">
        <w:rPr>
          <w:rFonts w:ascii="Arial" w:hAnsi="Arial" w:cs="Arial"/>
          <w:b/>
          <w:sz w:val="22"/>
          <w:szCs w:val="22"/>
          <w:lang w:val="es-ES_tradnl"/>
        </w:rPr>
        <w:tab/>
      </w:r>
      <w:r w:rsidR="000E41B9" w:rsidRPr="007D65E1">
        <w:rPr>
          <w:rFonts w:ascii="Arial" w:hAnsi="Arial" w:cs="Arial"/>
          <w:b/>
          <w:i/>
          <w:sz w:val="22"/>
          <w:szCs w:val="22"/>
          <w:lang w:val="es-PE"/>
        </w:rPr>
        <w:t>Artículo Único. -</w:t>
      </w:r>
      <w:r w:rsidR="000E41B9" w:rsidRPr="007D65E1">
        <w:rPr>
          <w:rFonts w:ascii="Arial" w:hAnsi="Arial" w:cs="Arial"/>
          <w:i/>
          <w:sz w:val="22"/>
          <w:szCs w:val="22"/>
          <w:lang w:val="es-PE"/>
        </w:rPr>
        <w:t xml:space="preserve"> Prorrogar, el plazo establecido en el artículo 186 de la Decisión 837 hasta el 26 de octubre de 2019, fecha en la que entrará en vigencia la Decisión 837.</w:t>
      </w:r>
    </w:p>
    <w:p w:rsidR="000E41B9" w:rsidRPr="007D65E1" w:rsidRDefault="000E41B9" w:rsidP="000E41B9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PE"/>
        </w:rPr>
      </w:pPr>
    </w:p>
    <w:p w:rsidR="000E41B9" w:rsidRPr="007D65E1" w:rsidRDefault="000E41B9" w:rsidP="000E41B9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D65E1">
        <w:rPr>
          <w:rFonts w:ascii="Arial" w:hAnsi="Arial" w:cs="Arial"/>
          <w:sz w:val="22"/>
          <w:szCs w:val="22"/>
          <w:lang w:val="es-ES_tradnl"/>
        </w:rPr>
        <w:t>La presente Decisión entrará en vigencia en la fecha de su publicación en la Gaceta Oficial del Acuerdo de Cartagena.</w:t>
      </w:r>
    </w:p>
    <w:p w:rsidR="000E41B9" w:rsidRPr="007D65E1" w:rsidRDefault="000E41B9" w:rsidP="000E41B9">
      <w:pPr>
        <w:tabs>
          <w:tab w:val="left" w:pos="426"/>
        </w:tabs>
        <w:rPr>
          <w:rFonts w:ascii="Arial" w:hAnsi="Arial" w:cs="Arial"/>
          <w:i/>
          <w:sz w:val="22"/>
          <w:szCs w:val="22"/>
          <w:lang w:val="es-ES_tradnl" w:eastAsia="es-PE"/>
        </w:rPr>
      </w:pPr>
    </w:p>
    <w:p w:rsidR="000E41B9" w:rsidRPr="007D65E1" w:rsidRDefault="000E41B9" w:rsidP="000E41B9">
      <w:pPr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  <w:r w:rsidRPr="007D65E1">
        <w:rPr>
          <w:rFonts w:ascii="Arial" w:hAnsi="Arial" w:cs="Arial"/>
          <w:sz w:val="22"/>
          <w:szCs w:val="22"/>
          <w:lang w:val="es-PE"/>
        </w:rPr>
        <w:t>Dada en la ciudad de Lima, Perú, a los 2</w:t>
      </w:r>
      <w:r w:rsidR="008C4DAB" w:rsidRPr="007D65E1">
        <w:rPr>
          <w:rFonts w:ascii="Arial" w:hAnsi="Arial" w:cs="Arial"/>
          <w:sz w:val="22"/>
          <w:szCs w:val="22"/>
          <w:lang w:val="es-PE"/>
        </w:rPr>
        <w:t>6</w:t>
      </w:r>
      <w:r w:rsidRPr="007D65E1">
        <w:rPr>
          <w:rFonts w:ascii="Arial" w:hAnsi="Arial" w:cs="Arial"/>
          <w:sz w:val="22"/>
          <w:szCs w:val="22"/>
          <w:lang w:val="es-PE"/>
        </w:rPr>
        <w:t xml:space="preserve"> días del mes de julio del año dos mil diecinueve.</w:t>
      </w:r>
    </w:p>
    <w:p w:rsidR="000E41B9" w:rsidRPr="007D65E1" w:rsidRDefault="000E41B9" w:rsidP="000E41B9">
      <w:pPr>
        <w:pStyle w:val="AvK"/>
        <w:tabs>
          <w:tab w:val="left" w:pos="426"/>
        </w:tabs>
        <w:rPr>
          <w:rFonts w:cs="Arial"/>
          <w:sz w:val="22"/>
          <w:szCs w:val="22"/>
        </w:rPr>
      </w:pPr>
    </w:p>
    <w:p w:rsidR="001514E3" w:rsidRPr="007D65E1" w:rsidRDefault="0062102E" w:rsidP="000E41B9">
      <w:pPr>
        <w:tabs>
          <w:tab w:val="left" w:pos="426"/>
        </w:tabs>
        <w:jc w:val="both"/>
        <w:rPr>
          <w:rFonts w:ascii="Arial" w:hAnsi="Arial" w:cs="Arial"/>
          <w:color w:val="000000"/>
          <w:sz w:val="22"/>
          <w:szCs w:val="22"/>
          <w:lang w:val="es-PE"/>
        </w:rPr>
      </w:pPr>
    </w:p>
    <w:sectPr w:rsidR="001514E3" w:rsidRPr="007D65E1" w:rsidSect="00D1361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75"/>
    <w:rsid w:val="000B632F"/>
    <w:rsid w:val="000E1767"/>
    <w:rsid w:val="000E41B9"/>
    <w:rsid w:val="00103CCF"/>
    <w:rsid w:val="00275C1F"/>
    <w:rsid w:val="00284CE3"/>
    <w:rsid w:val="00284DFA"/>
    <w:rsid w:val="003349FE"/>
    <w:rsid w:val="00374BAB"/>
    <w:rsid w:val="00395476"/>
    <w:rsid w:val="003C6573"/>
    <w:rsid w:val="003D3327"/>
    <w:rsid w:val="003D78A5"/>
    <w:rsid w:val="004112E3"/>
    <w:rsid w:val="00412E5A"/>
    <w:rsid w:val="00437175"/>
    <w:rsid w:val="00492531"/>
    <w:rsid w:val="004A2F82"/>
    <w:rsid w:val="004A505D"/>
    <w:rsid w:val="004C449C"/>
    <w:rsid w:val="004C5C26"/>
    <w:rsid w:val="00504476"/>
    <w:rsid w:val="00514DD9"/>
    <w:rsid w:val="00567C98"/>
    <w:rsid w:val="005B6699"/>
    <w:rsid w:val="005C7FD3"/>
    <w:rsid w:val="00616C5F"/>
    <w:rsid w:val="0062102E"/>
    <w:rsid w:val="0063390C"/>
    <w:rsid w:val="006800E5"/>
    <w:rsid w:val="006B2D2D"/>
    <w:rsid w:val="006B3BFD"/>
    <w:rsid w:val="006B5222"/>
    <w:rsid w:val="007023F9"/>
    <w:rsid w:val="00720124"/>
    <w:rsid w:val="007460C6"/>
    <w:rsid w:val="007A31A4"/>
    <w:rsid w:val="007B12E9"/>
    <w:rsid w:val="007D033C"/>
    <w:rsid w:val="007D65E1"/>
    <w:rsid w:val="007E641F"/>
    <w:rsid w:val="00824E3A"/>
    <w:rsid w:val="00840737"/>
    <w:rsid w:val="00850493"/>
    <w:rsid w:val="008756CB"/>
    <w:rsid w:val="00875E20"/>
    <w:rsid w:val="0088064C"/>
    <w:rsid w:val="0088702A"/>
    <w:rsid w:val="008C4DAB"/>
    <w:rsid w:val="00956A2A"/>
    <w:rsid w:val="009A2C3B"/>
    <w:rsid w:val="009B29D8"/>
    <w:rsid w:val="009C70C7"/>
    <w:rsid w:val="00A1429D"/>
    <w:rsid w:val="00A80809"/>
    <w:rsid w:val="00BA725F"/>
    <w:rsid w:val="00BB73A8"/>
    <w:rsid w:val="00BE062E"/>
    <w:rsid w:val="00D63375"/>
    <w:rsid w:val="00DA3054"/>
    <w:rsid w:val="00DB3466"/>
    <w:rsid w:val="00DE6239"/>
    <w:rsid w:val="00E66E6D"/>
    <w:rsid w:val="00F35F85"/>
    <w:rsid w:val="00F86A8D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75B65BF-9EB1-40AA-936A-547555DD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A7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lang w:val="es-ES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vK">
    <w:name w:val="AvK"/>
    <w:basedOn w:val="Normal"/>
    <w:rsid w:val="00D63375"/>
    <w:pPr>
      <w:jc w:val="both"/>
    </w:pPr>
    <w:rPr>
      <w:rFonts w:ascii="Arial" w:hAnsi="Arial"/>
      <w:sz w:val="24"/>
      <w:lang w:val="es-ES"/>
    </w:rPr>
  </w:style>
  <w:style w:type="paragraph" w:styleId="Encabezado">
    <w:name w:val="header"/>
    <w:basedOn w:val="Normal"/>
    <w:link w:val="EncabezadoCar"/>
    <w:rsid w:val="00D63375"/>
    <w:pPr>
      <w:tabs>
        <w:tab w:val="center" w:pos="4252"/>
        <w:tab w:val="right" w:pos="8504"/>
      </w:tabs>
    </w:pPr>
    <w:rPr>
      <w:rFonts w:ascii="Arial" w:hAnsi="Arial"/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rsid w:val="00D63375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nhideWhenUsed/>
    <w:rsid w:val="00D63375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5C2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26"/>
    <w:rPr>
      <w:rFonts w:ascii="Segoe UI" w:eastAsia="Times New Roman" w:hAnsi="Segoe UI" w:cs="Segoe UI"/>
      <w:sz w:val="18"/>
      <w:szCs w:val="18"/>
      <w:lang w:val="en-U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E62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62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623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62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6239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Sangradetextonormal">
    <w:name w:val="Body Text Indent"/>
    <w:basedOn w:val="Normal"/>
    <w:link w:val="SangradetextonormalCar"/>
    <w:rsid w:val="004112E3"/>
    <w:pPr>
      <w:spacing w:line="264" w:lineRule="exact"/>
      <w:ind w:left="5670"/>
      <w:jc w:val="both"/>
    </w:pPr>
    <w:rPr>
      <w:rFonts w:ascii="Arial" w:hAnsi="Arial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4112E3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A72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A725F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A725F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s-ES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2DFB8-6DD0-4572-B612-673CC201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Edgard Jorge Espinoza Ramírez</dc:creator>
  <cp:lastModifiedBy>Jenny Alcantara Alcantara</cp:lastModifiedBy>
  <cp:revision>18</cp:revision>
  <dcterms:created xsi:type="dcterms:W3CDTF">2019-07-19T20:49:00Z</dcterms:created>
  <dcterms:modified xsi:type="dcterms:W3CDTF">2019-07-26T18:26:00Z</dcterms:modified>
</cp:coreProperties>
</file>