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F063D" w14:textId="7CBF46AC" w:rsidR="0012483F" w:rsidRDefault="0012483F" w:rsidP="005C2DC9">
      <w:pPr>
        <w:keepNext/>
        <w:keepLines/>
        <w:ind w:right="4397"/>
        <w:jc w:val="both"/>
        <w:outlineLvl w:val="4"/>
        <w:rPr>
          <w:rFonts w:ascii="Arial" w:eastAsiaTheme="majorEastAsia" w:hAnsi="Arial" w:cs="Arial"/>
          <w:sz w:val="16"/>
          <w:szCs w:val="16"/>
          <w:lang w:eastAsia="es-ES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1072B3F" wp14:editId="1B12E5FB">
            <wp:simplePos x="0" y="0"/>
            <wp:positionH relativeFrom="column">
              <wp:posOffset>0</wp:posOffset>
            </wp:positionH>
            <wp:positionV relativeFrom="paragraph">
              <wp:posOffset>119380</wp:posOffset>
            </wp:positionV>
            <wp:extent cx="2103120" cy="504190"/>
            <wp:effectExtent l="0" t="0" r="0" b="0"/>
            <wp:wrapSquare wrapText="bothSides"/>
            <wp:docPr id="1" name="0 Imagen" descr="LOGO_SG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GCA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41B362" w14:textId="77777777" w:rsidR="0012483F" w:rsidRDefault="0012483F" w:rsidP="005C2DC9">
      <w:pPr>
        <w:keepNext/>
        <w:keepLines/>
        <w:ind w:right="4397"/>
        <w:jc w:val="both"/>
        <w:outlineLvl w:val="4"/>
        <w:rPr>
          <w:rFonts w:ascii="Arial" w:eastAsiaTheme="majorEastAsia" w:hAnsi="Arial" w:cs="Arial"/>
          <w:sz w:val="16"/>
          <w:szCs w:val="16"/>
          <w:lang w:eastAsia="es-ES"/>
        </w:rPr>
      </w:pPr>
    </w:p>
    <w:p w14:paraId="0FA4E51A" w14:textId="77777777" w:rsidR="0012483F" w:rsidRDefault="0012483F" w:rsidP="005C2DC9">
      <w:pPr>
        <w:keepNext/>
        <w:keepLines/>
        <w:ind w:right="4397"/>
        <w:jc w:val="both"/>
        <w:outlineLvl w:val="4"/>
        <w:rPr>
          <w:rFonts w:ascii="Arial" w:eastAsiaTheme="majorEastAsia" w:hAnsi="Arial" w:cs="Arial"/>
          <w:sz w:val="16"/>
          <w:szCs w:val="16"/>
          <w:lang w:eastAsia="es-ES"/>
        </w:rPr>
      </w:pPr>
    </w:p>
    <w:p w14:paraId="4A2773B0" w14:textId="77777777" w:rsidR="0012483F" w:rsidRDefault="0012483F" w:rsidP="005C2DC9">
      <w:pPr>
        <w:keepNext/>
        <w:keepLines/>
        <w:ind w:right="4397"/>
        <w:jc w:val="both"/>
        <w:outlineLvl w:val="4"/>
        <w:rPr>
          <w:rFonts w:ascii="Arial" w:eastAsiaTheme="majorEastAsia" w:hAnsi="Arial" w:cs="Arial"/>
          <w:sz w:val="16"/>
          <w:szCs w:val="16"/>
          <w:lang w:eastAsia="es-ES"/>
        </w:rPr>
      </w:pPr>
    </w:p>
    <w:p w14:paraId="6FA9D082" w14:textId="77777777" w:rsidR="0012483F" w:rsidRDefault="0012483F" w:rsidP="005C2DC9">
      <w:pPr>
        <w:keepNext/>
        <w:keepLines/>
        <w:ind w:right="4397"/>
        <w:jc w:val="both"/>
        <w:outlineLvl w:val="4"/>
        <w:rPr>
          <w:rFonts w:ascii="Arial" w:eastAsiaTheme="majorEastAsia" w:hAnsi="Arial" w:cs="Arial"/>
          <w:sz w:val="16"/>
          <w:szCs w:val="16"/>
          <w:lang w:eastAsia="es-ES"/>
        </w:rPr>
      </w:pPr>
    </w:p>
    <w:p w14:paraId="7FA953D1" w14:textId="77777777" w:rsidR="0012483F" w:rsidRDefault="0012483F" w:rsidP="005C2DC9">
      <w:pPr>
        <w:keepNext/>
        <w:keepLines/>
        <w:ind w:right="4397"/>
        <w:jc w:val="both"/>
        <w:outlineLvl w:val="4"/>
        <w:rPr>
          <w:rFonts w:ascii="Arial" w:eastAsiaTheme="majorEastAsia" w:hAnsi="Arial" w:cs="Arial"/>
          <w:sz w:val="16"/>
          <w:szCs w:val="16"/>
          <w:lang w:eastAsia="es-ES"/>
        </w:rPr>
      </w:pPr>
    </w:p>
    <w:p w14:paraId="5F3B2E13" w14:textId="60B0F4B9" w:rsidR="00624FD1" w:rsidRPr="00980576" w:rsidRDefault="00624FD1" w:rsidP="005C2DC9">
      <w:pPr>
        <w:keepNext/>
        <w:keepLines/>
        <w:ind w:right="4397"/>
        <w:jc w:val="both"/>
        <w:outlineLvl w:val="4"/>
        <w:rPr>
          <w:rFonts w:ascii="Arial" w:eastAsiaTheme="majorEastAsia" w:hAnsi="Arial" w:cs="Arial"/>
          <w:sz w:val="16"/>
          <w:szCs w:val="16"/>
          <w:lang w:eastAsia="es-ES"/>
        </w:rPr>
      </w:pPr>
      <w:bookmarkStart w:id="0" w:name="_GoBack"/>
      <w:bookmarkEnd w:id="0"/>
      <w:r w:rsidRPr="00980576">
        <w:rPr>
          <w:rFonts w:ascii="Arial" w:eastAsiaTheme="majorEastAsia" w:hAnsi="Arial" w:cs="Arial"/>
          <w:sz w:val="16"/>
          <w:szCs w:val="16"/>
          <w:lang w:eastAsia="es-ES"/>
        </w:rPr>
        <w:t xml:space="preserve">XLV REUNIÓN DEL CONSEJO ANDINO DE MINISTROS DE RELACIONES EXTERIORES REUNIDO EN FORMA AMPLIADA CON LOS REPRESENTANTES TITULARES ANTE LA COMISIÓN DE LA COMUNIDAD ANDINA. </w:t>
      </w:r>
    </w:p>
    <w:p w14:paraId="7C636524" w14:textId="77777777" w:rsidR="00624FD1" w:rsidRPr="00980576" w:rsidRDefault="00624FD1" w:rsidP="005C2DC9">
      <w:pPr>
        <w:keepNext/>
        <w:keepLines/>
        <w:ind w:right="5159"/>
        <w:jc w:val="both"/>
        <w:outlineLvl w:val="4"/>
        <w:rPr>
          <w:rFonts w:ascii="Arial" w:eastAsiaTheme="majorEastAsia" w:hAnsi="Arial" w:cs="Arial"/>
          <w:sz w:val="16"/>
          <w:szCs w:val="16"/>
          <w:lang w:eastAsia="es-ES"/>
        </w:rPr>
      </w:pPr>
      <w:r w:rsidRPr="00980576">
        <w:rPr>
          <w:rFonts w:ascii="Arial" w:eastAsiaTheme="majorEastAsia" w:hAnsi="Arial" w:cs="Arial"/>
          <w:sz w:val="16"/>
          <w:szCs w:val="16"/>
          <w:lang w:eastAsia="es-ES"/>
        </w:rPr>
        <w:t>26 de mayo de 2019</w:t>
      </w:r>
    </w:p>
    <w:p w14:paraId="0C2C18E8" w14:textId="77777777" w:rsidR="00624FD1" w:rsidRPr="00980576" w:rsidRDefault="00624FD1" w:rsidP="005C2DC9">
      <w:pPr>
        <w:rPr>
          <w:rFonts w:ascii="Arial" w:hAnsi="Arial" w:cs="Arial"/>
          <w:sz w:val="16"/>
          <w:szCs w:val="16"/>
          <w:lang w:eastAsia="en-US"/>
        </w:rPr>
      </w:pPr>
      <w:r w:rsidRPr="00980576">
        <w:rPr>
          <w:rFonts w:ascii="Arial" w:hAnsi="Arial" w:cs="Arial"/>
          <w:sz w:val="16"/>
          <w:szCs w:val="16"/>
          <w:lang w:eastAsia="en-US"/>
        </w:rPr>
        <w:t>Lima - Perú</w:t>
      </w:r>
    </w:p>
    <w:p w14:paraId="12C43574" w14:textId="77777777" w:rsidR="00624FD1" w:rsidRPr="00980576" w:rsidRDefault="00624FD1" w:rsidP="005C2DC9">
      <w:pPr>
        <w:rPr>
          <w:rFonts w:ascii="Arial" w:hAnsi="Arial" w:cs="Arial"/>
        </w:rPr>
      </w:pPr>
      <w:r w:rsidRPr="00980576">
        <w:rPr>
          <w:rFonts w:ascii="Arial" w:hAnsi="Arial" w:cs="Arial"/>
        </w:rPr>
        <w:t xml:space="preserve"> </w:t>
      </w:r>
    </w:p>
    <w:p w14:paraId="0C436D53" w14:textId="72D1696A" w:rsidR="00624FD1" w:rsidRPr="00583CC0" w:rsidRDefault="005C3F0D" w:rsidP="005C2DC9">
      <w:pPr>
        <w:ind w:left="2124" w:firstLine="708"/>
        <w:rPr>
          <w:rFonts w:ascii="Arial" w:hAnsi="Arial" w:cs="Arial"/>
          <w:b/>
          <w:u w:val="single"/>
        </w:rPr>
      </w:pPr>
      <w:r w:rsidRPr="00583CC0">
        <w:rPr>
          <w:rFonts w:ascii="Arial" w:hAnsi="Arial" w:cs="Arial"/>
          <w:b/>
          <w:u w:val="single"/>
        </w:rPr>
        <w:t xml:space="preserve">DECISIÓN </w:t>
      </w:r>
      <w:r w:rsidR="00397E0B">
        <w:rPr>
          <w:rFonts w:ascii="Arial" w:hAnsi="Arial" w:cs="Arial"/>
          <w:b/>
          <w:u w:val="single"/>
        </w:rPr>
        <w:t>8</w:t>
      </w:r>
      <w:r w:rsidR="00F24A8E">
        <w:rPr>
          <w:rFonts w:ascii="Arial" w:hAnsi="Arial" w:cs="Arial"/>
          <w:b/>
          <w:u w:val="single"/>
        </w:rPr>
        <w:t>44</w:t>
      </w:r>
    </w:p>
    <w:p w14:paraId="11C5B5E3" w14:textId="77777777" w:rsidR="00624FD1" w:rsidRPr="00583CC0" w:rsidRDefault="00624FD1" w:rsidP="005C2DC9">
      <w:pPr>
        <w:rPr>
          <w:rFonts w:ascii="Arial" w:hAnsi="Arial" w:cs="Arial"/>
        </w:rPr>
      </w:pPr>
      <w:r w:rsidRPr="00583CC0">
        <w:rPr>
          <w:rFonts w:ascii="Arial" w:hAnsi="Arial" w:cs="Arial"/>
        </w:rPr>
        <w:t xml:space="preserve"> </w:t>
      </w:r>
    </w:p>
    <w:p w14:paraId="68DF89CC" w14:textId="07735C9C" w:rsidR="00667942" w:rsidRPr="00583CC0" w:rsidRDefault="00667942" w:rsidP="005C2DC9">
      <w:pPr>
        <w:ind w:left="4962" w:right="-1"/>
        <w:jc w:val="both"/>
        <w:rPr>
          <w:rFonts w:ascii="Arial" w:eastAsia="Arial" w:hAnsi="Arial" w:cs="Arial"/>
          <w:sz w:val="22"/>
        </w:rPr>
      </w:pPr>
      <w:r w:rsidRPr="00583CC0">
        <w:rPr>
          <w:rFonts w:ascii="Arial" w:eastAsia="Arial" w:hAnsi="Arial" w:cs="Arial"/>
          <w:sz w:val="22"/>
        </w:rPr>
        <w:t>Crea</w:t>
      </w:r>
      <w:r w:rsidR="001317EF" w:rsidRPr="00583CC0">
        <w:rPr>
          <w:rFonts w:ascii="Arial" w:eastAsia="Arial" w:hAnsi="Arial" w:cs="Arial"/>
          <w:sz w:val="22"/>
        </w:rPr>
        <w:t>ción</w:t>
      </w:r>
      <w:r w:rsidRPr="00583CC0">
        <w:rPr>
          <w:rFonts w:ascii="Arial" w:eastAsia="Arial" w:hAnsi="Arial" w:cs="Arial"/>
          <w:spacing w:val="-4"/>
          <w:sz w:val="22"/>
        </w:rPr>
        <w:t xml:space="preserve"> </w:t>
      </w:r>
      <w:r w:rsidR="001317EF" w:rsidRPr="00583CC0">
        <w:rPr>
          <w:rFonts w:ascii="Arial" w:eastAsia="Arial" w:hAnsi="Arial" w:cs="Arial"/>
          <w:spacing w:val="-4"/>
          <w:sz w:val="22"/>
        </w:rPr>
        <w:t>d</w:t>
      </w:r>
      <w:r w:rsidRPr="00583CC0">
        <w:rPr>
          <w:rFonts w:ascii="Arial" w:eastAsia="Arial" w:hAnsi="Arial" w:cs="Arial"/>
          <w:spacing w:val="-4"/>
          <w:sz w:val="22"/>
        </w:rPr>
        <w:t>e</w:t>
      </w:r>
      <w:r w:rsidRPr="00583CC0">
        <w:rPr>
          <w:rFonts w:ascii="Arial" w:eastAsia="Arial" w:hAnsi="Arial" w:cs="Arial"/>
          <w:sz w:val="22"/>
        </w:rPr>
        <w:t>l Observatorio Andino</w:t>
      </w:r>
      <w:r w:rsidRPr="00583CC0">
        <w:rPr>
          <w:rFonts w:ascii="Arial" w:eastAsia="Arial" w:hAnsi="Arial" w:cs="Arial"/>
          <w:w w:val="98"/>
          <w:sz w:val="22"/>
        </w:rPr>
        <w:t xml:space="preserve"> e</w:t>
      </w:r>
      <w:r w:rsidRPr="00583CC0">
        <w:rPr>
          <w:rFonts w:ascii="Arial" w:eastAsia="Arial" w:hAnsi="Arial" w:cs="Arial"/>
          <w:sz w:val="22"/>
        </w:rPr>
        <w:t>ncargado</w:t>
      </w:r>
      <w:r w:rsidRPr="00583CC0">
        <w:rPr>
          <w:rFonts w:ascii="Arial" w:eastAsia="Arial" w:hAnsi="Arial" w:cs="Arial"/>
          <w:spacing w:val="16"/>
          <w:sz w:val="22"/>
        </w:rPr>
        <w:t xml:space="preserve"> d</w:t>
      </w:r>
      <w:r w:rsidRPr="00583CC0">
        <w:rPr>
          <w:rFonts w:ascii="Arial" w:eastAsia="Arial" w:hAnsi="Arial" w:cs="Arial"/>
          <w:sz w:val="22"/>
        </w:rPr>
        <w:t>e</w:t>
      </w:r>
      <w:r w:rsidRPr="00583CC0">
        <w:rPr>
          <w:rFonts w:ascii="Arial" w:eastAsia="Arial" w:hAnsi="Arial" w:cs="Arial"/>
          <w:spacing w:val="-6"/>
          <w:sz w:val="22"/>
        </w:rPr>
        <w:t xml:space="preserve"> l</w:t>
      </w:r>
      <w:r w:rsidRPr="00583CC0">
        <w:rPr>
          <w:rFonts w:ascii="Arial" w:eastAsia="Arial" w:hAnsi="Arial" w:cs="Arial"/>
          <w:sz w:val="22"/>
        </w:rPr>
        <w:t>a Gestión de</w:t>
      </w:r>
      <w:r w:rsidRPr="00583CC0">
        <w:rPr>
          <w:rFonts w:ascii="Arial" w:eastAsia="Arial" w:hAnsi="Arial" w:cs="Arial"/>
          <w:spacing w:val="1"/>
          <w:sz w:val="22"/>
        </w:rPr>
        <w:t xml:space="preserve"> l</w:t>
      </w:r>
      <w:r w:rsidRPr="00583CC0">
        <w:rPr>
          <w:rFonts w:ascii="Arial" w:eastAsia="Arial" w:hAnsi="Arial" w:cs="Arial"/>
          <w:sz w:val="22"/>
        </w:rPr>
        <w:t>a</w:t>
      </w:r>
      <w:r w:rsidRPr="00583CC0">
        <w:rPr>
          <w:rFonts w:ascii="Arial" w:eastAsia="Arial" w:hAnsi="Arial" w:cs="Arial"/>
          <w:spacing w:val="-3"/>
          <w:sz w:val="22"/>
        </w:rPr>
        <w:t xml:space="preserve"> i</w:t>
      </w:r>
      <w:r w:rsidRPr="00583CC0">
        <w:rPr>
          <w:rFonts w:ascii="Arial" w:eastAsia="Arial" w:hAnsi="Arial" w:cs="Arial"/>
          <w:sz w:val="22"/>
        </w:rPr>
        <w:t>nformación</w:t>
      </w:r>
      <w:r w:rsidRPr="00583CC0">
        <w:rPr>
          <w:rFonts w:ascii="Arial" w:eastAsia="Arial" w:hAnsi="Arial" w:cs="Arial"/>
          <w:spacing w:val="14"/>
          <w:sz w:val="22"/>
        </w:rPr>
        <w:t xml:space="preserve"> o</w:t>
      </w:r>
      <w:r w:rsidRPr="00583CC0">
        <w:rPr>
          <w:rFonts w:ascii="Arial" w:eastAsia="Arial" w:hAnsi="Arial" w:cs="Arial"/>
          <w:sz w:val="22"/>
        </w:rPr>
        <w:t>ficial</w:t>
      </w:r>
      <w:r w:rsidRPr="00583CC0">
        <w:rPr>
          <w:rFonts w:ascii="Arial" w:eastAsia="Arial" w:hAnsi="Arial" w:cs="Arial"/>
          <w:spacing w:val="14"/>
          <w:sz w:val="22"/>
        </w:rPr>
        <w:t xml:space="preserve"> e</w:t>
      </w:r>
      <w:r w:rsidRPr="00583CC0">
        <w:rPr>
          <w:rFonts w:ascii="Arial" w:eastAsia="Arial" w:hAnsi="Arial" w:cs="Arial"/>
          <w:sz w:val="22"/>
        </w:rPr>
        <w:t>n</w:t>
      </w:r>
      <w:r w:rsidRPr="00583CC0">
        <w:rPr>
          <w:rFonts w:ascii="Arial" w:eastAsia="Arial" w:hAnsi="Arial" w:cs="Arial"/>
          <w:w w:val="101"/>
          <w:sz w:val="22"/>
        </w:rPr>
        <w:t xml:space="preserve"> m</w:t>
      </w:r>
      <w:r w:rsidRPr="00583CC0">
        <w:rPr>
          <w:rFonts w:ascii="Arial" w:eastAsia="Arial" w:hAnsi="Arial" w:cs="Arial"/>
          <w:sz w:val="22"/>
        </w:rPr>
        <w:t>ateria</w:t>
      </w:r>
      <w:r w:rsidRPr="00583CC0">
        <w:rPr>
          <w:rFonts w:ascii="Arial" w:eastAsia="Arial" w:hAnsi="Arial" w:cs="Arial"/>
          <w:spacing w:val="-1"/>
          <w:sz w:val="22"/>
        </w:rPr>
        <w:t xml:space="preserve"> d</w:t>
      </w:r>
      <w:r w:rsidR="001317EF" w:rsidRPr="00583CC0">
        <w:rPr>
          <w:rFonts w:ascii="Arial" w:eastAsia="Arial" w:hAnsi="Arial" w:cs="Arial"/>
          <w:sz w:val="22"/>
        </w:rPr>
        <w:t>e Mercurio</w:t>
      </w:r>
    </w:p>
    <w:p w14:paraId="62B64A1F" w14:textId="77777777" w:rsidR="00667942" w:rsidRPr="00583CC0" w:rsidRDefault="00667942" w:rsidP="005C2DC9">
      <w:pPr>
        <w:jc w:val="both"/>
        <w:rPr>
          <w:rFonts w:ascii="Arial" w:eastAsia="Calibri" w:hAnsi="Arial" w:cs="Arial"/>
          <w:lang w:val="es-ES_tradnl"/>
        </w:rPr>
      </w:pPr>
    </w:p>
    <w:p w14:paraId="06468080" w14:textId="77777777" w:rsidR="00667942" w:rsidRPr="00583CC0" w:rsidRDefault="00667942" w:rsidP="005C2DC9">
      <w:pPr>
        <w:widowControl w:val="0"/>
        <w:tabs>
          <w:tab w:val="left" w:pos="425"/>
        </w:tabs>
        <w:autoSpaceDE w:val="0"/>
        <w:autoSpaceDN w:val="0"/>
        <w:jc w:val="both"/>
        <w:rPr>
          <w:rFonts w:ascii="Arial" w:hAnsi="Arial" w:cs="Arial"/>
        </w:rPr>
      </w:pPr>
      <w:r w:rsidRPr="00583CC0">
        <w:rPr>
          <w:rFonts w:ascii="Arial" w:hAnsi="Arial" w:cs="Arial"/>
        </w:rPr>
        <w:t>EL CONSEJO ANDINO DE MINISTROS DE RELACIONES EXTERIORES, REUNIDO EN FORMA AMPLIADA CON LOS REPRESENTANTES TITULARES ANTE LA COMISIÓN DE LA COMUNIDAD ANDINA,</w:t>
      </w:r>
    </w:p>
    <w:p w14:paraId="59BC5DEE" w14:textId="77777777" w:rsidR="00667942" w:rsidRPr="00583CC0" w:rsidRDefault="00667942" w:rsidP="005C2DC9">
      <w:pPr>
        <w:widowControl w:val="0"/>
        <w:tabs>
          <w:tab w:val="left" w:pos="425"/>
        </w:tabs>
        <w:autoSpaceDE w:val="0"/>
        <w:autoSpaceDN w:val="0"/>
        <w:jc w:val="both"/>
        <w:rPr>
          <w:rFonts w:ascii="Arial" w:hAnsi="Arial" w:cs="Arial"/>
          <w:bCs/>
        </w:rPr>
      </w:pPr>
    </w:p>
    <w:p w14:paraId="2A6C4C7A" w14:textId="7130FF59" w:rsidR="00667942" w:rsidRPr="00583CC0" w:rsidRDefault="00667942" w:rsidP="005C2DC9">
      <w:pPr>
        <w:widowControl w:val="0"/>
        <w:tabs>
          <w:tab w:val="left" w:pos="425"/>
        </w:tabs>
        <w:autoSpaceDE w:val="0"/>
        <w:autoSpaceDN w:val="0"/>
        <w:jc w:val="both"/>
        <w:rPr>
          <w:rFonts w:ascii="Arial" w:hAnsi="Arial" w:cs="Arial"/>
        </w:rPr>
      </w:pPr>
      <w:r w:rsidRPr="00583CC0">
        <w:rPr>
          <w:rFonts w:ascii="Arial" w:hAnsi="Arial" w:cs="Arial"/>
          <w:bCs/>
        </w:rPr>
        <w:tab/>
      </w:r>
      <w:r w:rsidRPr="00583CC0">
        <w:rPr>
          <w:rFonts w:ascii="Arial" w:hAnsi="Arial" w:cs="Arial"/>
          <w:b/>
          <w:bCs/>
        </w:rPr>
        <w:t>VISTOS:</w:t>
      </w:r>
      <w:r w:rsidRPr="00583CC0">
        <w:rPr>
          <w:rFonts w:ascii="Arial" w:hAnsi="Arial" w:cs="Arial"/>
          <w:bCs/>
        </w:rPr>
        <w:t xml:space="preserve"> </w:t>
      </w:r>
      <w:r w:rsidRPr="00583CC0">
        <w:rPr>
          <w:rFonts w:ascii="Arial" w:hAnsi="Arial" w:cs="Arial"/>
        </w:rPr>
        <w:t xml:space="preserve">Los artículos 3, 128 y 129 del Acuerdo de Cartagena, y la Decisión 774; </w:t>
      </w:r>
    </w:p>
    <w:p w14:paraId="17BEB612" w14:textId="77777777" w:rsidR="00667942" w:rsidRPr="00583CC0" w:rsidRDefault="00667942" w:rsidP="005C2DC9">
      <w:pPr>
        <w:widowControl w:val="0"/>
        <w:tabs>
          <w:tab w:val="left" w:pos="425"/>
        </w:tabs>
        <w:autoSpaceDE w:val="0"/>
        <w:autoSpaceDN w:val="0"/>
        <w:jc w:val="both"/>
        <w:rPr>
          <w:rFonts w:ascii="Arial" w:hAnsi="Arial" w:cs="Arial"/>
        </w:rPr>
      </w:pPr>
    </w:p>
    <w:p w14:paraId="0A5B8A8A" w14:textId="31E07C7C" w:rsidR="00667942" w:rsidRPr="001B339B" w:rsidRDefault="00667942" w:rsidP="005C2DC9">
      <w:pPr>
        <w:widowControl w:val="0"/>
        <w:tabs>
          <w:tab w:val="left" w:pos="425"/>
        </w:tabs>
        <w:autoSpaceDE w:val="0"/>
        <w:autoSpaceDN w:val="0"/>
        <w:jc w:val="both"/>
        <w:rPr>
          <w:rFonts w:ascii="Arial" w:hAnsi="Arial" w:cs="Arial"/>
        </w:rPr>
      </w:pPr>
      <w:r w:rsidRPr="00583CC0">
        <w:rPr>
          <w:rFonts w:ascii="Arial" w:hAnsi="Arial" w:cs="Arial"/>
          <w:bCs/>
        </w:rPr>
        <w:tab/>
      </w:r>
      <w:r w:rsidRPr="00583CC0">
        <w:rPr>
          <w:rFonts w:ascii="Arial" w:hAnsi="Arial" w:cs="Arial"/>
          <w:b/>
          <w:bCs/>
        </w:rPr>
        <w:t>CONSIDERANDO:</w:t>
      </w:r>
      <w:r w:rsidRPr="00583CC0">
        <w:rPr>
          <w:rFonts w:ascii="Arial" w:hAnsi="Arial" w:cs="Arial"/>
          <w:bCs/>
        </w:rPr>
        <w:t xml:space="preserve"> </w:t>
      </w:r>
      <w:r w:rsidRPr="00583CC0">
        <w:rPr>
          <w:rFonts w:ascii="Arial" w:hAnsi="Arial" w:cs="Arial"/>
        </w:rPr>
        <w:t>Que, para alcanzar los objetivos de desarrollo equilibrado</w:t>
      </w:r>
      <w:r w:rsidR="005E7F9E" w:rsidRPr="00583CC0">
        <w:rPr>
          <w:rFonts w:ascii="Arial" w:hAnsi="Arial" w:cs="Arial"/>
        </w:rPr>
        <w:t xml:space="preserve"> y</w:t>
      </w:r>
      <w:r w:rsidRPr="00583CC0">
        <w:rPr>
          <w:rFonts w:ascii="Arial" w:hAnsi="Arial" w:cs="Arial"/>
        </w:rPr>
        <w:t xml:space="preserve"> armónico mediante la integración y la cooperación económica y social, con la finalidad de procurar</w:t>
      </w:r>
      <w:r w:rsidRPr="0080098D">
        <w:rPr>
          <w:rFonts w:ascii="Arial" w:hAnsi="Arial" w:cs="Arial"/>
        </w:rPr>
        <w:t xml:space="preserve"> un mejoramiento persistente en el nivel d</w:t>
      </w:r>
      <w:r w:rsidR="00A77239" w:rsidRPr="0080098D">
        <w:rPr>
          <w:rFonts w:ascii="Arial" w:hAnsi="Arial" w:cs="Arial"/>
        </w:rPr>
        <w:t>e vida de los habitantes de la S</w:t>
      </w:r>
      <w:r w:rsidRPr="0080098D">
        <w:rPr>
          <w:rFonts w:ascii="Arial" w:hAnsi="Arial" w:cs="Arial"/>
        </w:rPr>
        <w:t>ubregión, el Acuerdo de Cartagena prevé la armonización gradual de políticas económicas y sociales, la aproximación de las legislaciones nacionales, y acciones para el</w:t>
      </w:r>
      <w:r w:rsidRPr="001B339B">
        <w:rPr>
          <w:rFonts w:ascii="Arial" w:hAnsi="Arial" w:cs="Arial"/>
        </w:rPr>
        <w:t xml:space="preserve"> aprovechamiento y preservación de los recursos naturales y del medio ambiente; </w:t>
      </w:r>
    </w:p>
    <w:p w14:paraId="74DE73DF" w14:textId="77777777" w:rsidR="00667942" w:rsidRPr="001B339B" w:rsidRDefault="00667942" w:rsidP="005C2DC9">
      <w:pPr>
        <w:jc w:val="both"/>
        <w:rPr>
          <w:rFonts w:ascii="Arial" w:eastAsia="Calibri" w:hAnsi="Arial" w:cs="Arial"/>
          <w:lang w:val="es-ES_tradnl"/>
        </w:rPr>
      </w:pPr>
    </w:p>
    <w:p w14:paraId="15102481" w14:textId="77777777" w:rsidR="00667942" w:rsidRPr="001B339B" w:rsidRDefault="00667942" w:rsidP="005C2DC9">
      <w:pPr>
        <w:jc w:val="both"/>
        <w:rPr>
          <w:rFonts w:ascii="Arial" w:hAnsi="Arial" w:cs="Arial"/>
        </w:rPr>
      </w:pPr>
      <w:r w:rsidRPr="001B339B">
        <w:rPr>
          <w:rFonts w:ascii="Arial" w:hAnsi="Arial" w:cs="Arial"/>
        </w:rPr>
        <w:t>Que, los Países Miembros emprenderán acciones conjuntas que permitan un mayor aprovechamiento de sus recursos naturales renovables y no renovables y la conservación y mejoramiento del medio ambiente;</w:t>
      </w:r>
      <w:r w:rsidRPr="001B339B">
        <w:rPr>
          <w:rFonts w:ascii="Arial" w:hAnsi="Arial" w:cs="Arial"/>
          <w:b/>
        </w:rPr>
        <w:t xml:space="preserve"> </w:t>
      </w:r>
    </w:p>
    <w:p w14:paraId="27553152" w14:textId="77777777" w:rsidR="00667942" w:rsidRPr="001B339B" w:rsidRDefault="00667942" w:rsidP="005C2DC9">
      <w:pPr>
        <w:jc w:val="both"/>
        <w:rPr>
          <w:rFonts w:ascii="Arial" w:hAnsi="Arial" w:cs="Arial"/>
        </w:rPr>
      </w:pPr>
    </w:p>
    <w:p w14:paraId="0A51E312" w14:textId="77777777" w:rsidR="00667942" w:rsidRPr="001B339B" w:rsidRDefault="00667942" w:rsidP="005C2DC9">
      <w:pPr>
        <w:jc w:val="both"/>
        <w:rPr>
          <w:rFonts w:ascii="Arial" w:eastAsia="Calibri" w:hAnsi="Arial" w:cs="Arial"/>
          <w:lang w:val="es-ES_tradnl"/>
        </w:rPr>
      </w:pPr>
      <w:r w:rsidRPr="001B339B">
        <w:rPr>
          <w:rFonts w:ascii="Arial" w:eastAsia="Calibri" w:hAnsi="Arial" w:cs="Arial"/>
        </w:rPr>
        <w:t>Que</w:t>
      </w:r>
      <w:r w:rsidRPr="001B339B">
        <w:rPr>
          <w:rFonts w:ascii="Arial" w:eastAsia="Calibri" w:hAnsi="Arial" w:cs="Arial"/>
          <w:lang w:val="es-ES_tradnl"/>
        </w:rPr>
        <w:t xml:space="preserve">, la Decisión 774 señala que la actividad minera ilegalmente desarrollada provoca graves daños, en muchos casos irreversibles, a la salud de la población, al medio ambiente y los recursos naturales, ocasionando, entre otros, la pérdida de la cobertura vegetal y el suelo fértil, la contaminación de recursos hídricos, la alteración de ecosistemas naturales y graves afectaciones a la biodiversidad; </w:t>
      </w:r>
    </w:p>
    <w:p w14:paraId="0280D992" w14:textId="77777777" w:rsidR="00667942" w:rsidRPr="001B339B" w:rsidRDefault="00667942" w:rsidP="005C2DC9">
      <w:pPr>
        <w:jc w:val="both"/>
        <w:rPr>
          <w:rFonts w:ascii="Arial" w:eastAsia="Calibri" w:hAnsi="Arial" w:cs="Arial"/>
        </w:rPr>
      </w:pPr>
    </w:p>
    <w:p w14:paraId="24277A13" w14:textId="0025CA3D" w:rsidR="00667942" w:rsidRPr="001B339B" w:rsidRDefault="00667942" w:rsidP="005C2DC9">
      <w:pPr>
        <w:jc w:val="both"/>
        <w:rPr>
          <w:rFonts w:ascii="Arial" w:eastAsia="Calibri" w:hAnsi="Arial" w:cs="Arial"/>
          <w:lang w:val="es-ES_tradnl"/>
        </w:rPr>
      </w:pPr>
      <w:r w:rsidRPr="001B339B">
        <w:rPr>
          <w:rFonts w:ascii="Arial" w:eastAsia="Calibri" w:hAnsi="Arial" w:cs="Arial"/>
        </w:rPr>
        <w:t xml:space="preserve">Que, la citada </w:t>
      </w:r>
      <w:r w:rsidR="00DF666C" w:rsidRPr="001B339B">
        <w:rPr>
          <w:rFonts w:ascii="Arial" w:eastAsia="Calibri" w:hAnsi="Arial" w:cs="Arial"/>
        </w:rPr>
        <w:t>D</w:t>
      </w:r>
      <w:r w:rsidRPr="001B339B">
        <w:rPr>
          <w:rFonts w:ascii="Arial" w:eastAsia="Calibri" w:hAnsi="Arial" w:cs="Arial"/>
        </w:rPr>
        <w:t>ecisión busca optimizar el control y vigilancia de la importación, exportación, transporte, procesamiento, comercialización y cualquier otro tipo de transacción, a nivel andino y con terceros países, de minerales y sus productos provenientes de la minería ilegal, así como de maquinarias, equipos, insumos e hidrocarburos que puedan ser utilizados en la misma;</w:t>
      </w:r>
      <w:r w:rsidRPr="001B339B">
        <w:rPr>
          <w:rFonts w:ascii="Arial" w:hAnsi="Arial" w:cs="Arial"/>
          <w:b/>
        </w:rPr>
        <w:t xml:space="preserve"> </w:t>
      </w:r>
    </w:p>
    <w:p w14:paraId="1983020D" w14:textId="77777777" w:rsidR="00667942" w:rsidRPr="001B339B" w:rsidRDefault="00667942" w:rsidP="005C2DC9">
      <w:pPr>
        <w:jc w:val="both"/>
        <w:rPr>
          <w:rFonts w:ascii="Arial" w:eastAsia="Calibri" w:hAnsi="Arial" w:cs="Arial"/>
        </w:rPr>
      </w:pPr>
    </w:p>
    <w:p w14:paraId="51F25A5A" w14:textId="44CC3B82" w:rsidR="00667942" w:rsidRPr="001B339B" w:rsidRDefault="00667942" w:rsidP="005C2DC9">
      <w:pPr>
        <w:jc w:val="both"/>
        <w:rPr>
          <w:rFonts w:ascii="Arial" w:eastAsia="Calibri" w:hAnsi="Arial" w:cs="Arial"/>
          <w:lang w:val="es-ES_tradnl"/>
        </w:rPr>
      </w:pPr>
      <w:r w:rsidRPr="001B339B">
        <w:rPr>
          <w:rFonts w:ascii="Arial" w:eastAsia="Calibri" w:hAnsi="Arial" w:cs="Arial"/>
          <w:lang w:val="es-ES_tradnl"/>
        </w:rPr>
        <w:t xml:space="preserve">Que, esta misma </w:t>
      </w:r>
      <w:r w:rsidR="00DF666C" w:rsidRPr="001B339B">
        <w:rPr>
          <w:rFonts w:ascii="Arial" w:eastAsia="Calibri" w:hAnsi="Arial" w:cs="Arial"/>
          <w:lang w:val="es-ES_tradnl"/>
        </w:rPr>
        <w:t>D</w:t>
      </w:r>
      <w:r w:rsidRPr="001B339B">
        <w:rPr>
          <w:rFonts w:ascii="Arial" w:eastAsia="Calibri" w:hAnsi="Arial" w:cs="Arial"/>
          <w:lang w:val="es-ES_tradnl"/>
        </w:rPr>
        <w:t>ecisión aprobó la Política Andina de Lucha contra la Minería Ilegal</w:t>
      </w:r>
      <w:r w:rsidR="00DF666C" w:rsidRPr="001B339B">
        <w:rPr>
          <w:rFonts w:ascii="Arial" w:eastAsia="Calibri" w:hAnsi="Arial" w:cs="Arial"/>
          <w:lang w:val="es-ES_tradnl"/>
        </w:rPr>
        <w:t>,</w:t>
      </w:r>
      <w:r w:rsidRPr="001B339B">
        <w:rPr>
          <w:rFonts w:ascii="Arial" w:eastAsia="Calibri" w:hAnsi="Arial" w:cs="Arial"/>
          <w:lang w:val="es-ES_tradnl"/>
        </w:rPr>
        <w:t xml:space="preserve"> estableciendo objetivos para enfrentar actividades conexas que atentan contra la seguridad, la economía, los recursos naturales, el medio ambiente y la salud humana, optimizando controles y vigilancia;</w:t>
      </w:r>
      <w:r w:rsidRPr="001B339B">
        <w:rPr>
          <w:rFonts w:ascii="Arial" w:hAnsi="Arial" w:cs="Arial"/>
          <w:b/>
        </w:rPr>
        <w:t xml:space="preserve"> </w:t>
      </w:r>
    </w:p>
    <w:p w14:paraId="59812049" w14:textId="77777777" w:rsidR="00667942" w:rsidRPr="001B339B" w:rsidRDefault="00667942" w:rsidP="005C2DC9">
      <w:pPr>
        <w:jc w:val="both"/>
        <w:rPr>
          <w:rFonts w:ascii="Arial" w:eastAsia="Calibri" w:hAnsi="Arial" w:cs="Arial"/>
          <w:lang w:val="es-ES_tradnl"/>
        </w:rPr>
      </w:pPr>
    </w:p>
    <w:p w14:paraId="49C07872" w14:textId="77777777" w:rsidR="00667942" w:rsidRPr="001B339B" w:rsidRDefault="00667942" w:rsidP="005C2DC9">
      <w:pPr>
        <w:jc w:val="both"/>
        <w:rPr>
          <w:rFonts w:ascii="Arial" w:eastAsia="Calibri" w:hAnsi="Arial" w:cs="Arial"/>
          <w:lang w:val="es-ES_tradnl"/>
        </w:rPr>
      </w:pPr>
      <w:r w:rsidRPr="001B339B">
        <w:rPr>
          <w:rFonts w:ascii="Arial" w:eastAsia="Calibri" w:hAnsi="Arial" w:cs="Arial"/>
          <w:lang w:val="es-ES_tradnl"/>
        </w:rPr>
        <w:t xml:space="preserve">Que, la señalada norma comunitaria establece medidas de cooperación y medidas de prevención y control entre los Países Miembros, entre ellas, el intercambio de experiencias sobre procesos para la formalización, o regularización de la minería en pequeña escala, artesanal o tradicional; </w:t>
      </w:r>
    </w:p>
    <w:p w14:paraId="77D984C7" w14:textId="77777777" w:rsidR="00667942" w:rsidRPr="001B339B" w:rsidRDefault="00667942" w:rsidP="005C2DC9">
      <w:pPr>
        <w:jc w:val="both"/>
        <w:rPr>
          <w:rFonts w:ascii="Arial" w:eastAsia="Calibri" w:hAnsi="Arial" w:cs="Arial"/>
        </w:rPr>
      </w:pPr>
    </w:p>
    <w:p w14:paraId="6EC7BE8D" w14:textId="77777777" w:rsidR="00667942" w:rsidRPr="001B339B" w:rsidRDefault="00667942" w:rsidP="005C2DC9">
      <w:pPr>
        <w:jc w:val="both"/>
        <w:rPr>
          <w:rFonts w:ascii="Arial" w:eastAsia="Calibri" w:hAnsi="Arial" w:cs="Arial"/>
          <w:lang w:val="es-ES_tradnl"/>
        </w:rPr>
      </w:pPr>
      <w:r w:rsidRPr="001B339B">
        <w:rPr>
          <w:rFonts w:ascii="Arial" w:eastAsia="Calibri" w:hAnsi="Arial" w:cs="Arial"/>
          <w:lang w:val="es-ES_tradnl"/>
        </w:rPr>
        <w:t>Que, la Decisión 774 estableció que</w:t>
      </w:r>
      <w:r w:rsidR="00A9313B" w:rsidRPr="001B339B">
        <w:rPr>
          <w:rFonts w:ascii="Arial" w:eastAsia="Calibri" w:hAnsi="Arial" w:cs="Arial"/>
          <w:lang w:val="es-ES_tradnl"/>
        </w:rPr>
        <w:t>,</w:t>
      </w:r>
      <w:r w:rsidRPr="001B339B">
        <w:rPr>
          <w:rFonts w:ascii="Arial" w:eastAsia="Calibri" w:hAnsi="Arial" w:cs="Arial"/>
          <w:lang w:val="es-ES_tradnl"/>
        </w:rPr>
        <w:t xml:space="preserve"> en el ámbito de las investigaciones que se lleven a cabo, y previo requerimiento debidamente justificado, los Países Miembros intercambiarán información sobre personas naturales o jurídicas que comercialicen, importen o exporten minerales, maquinaria, equipos, insumos e hidrocarburos utilizados en la minería ilegal; </w:t>
      </w:r>
    </w:p>
    <w:p w14:paraId="7FE61597" w14:textId="77777777" w:rsidR="00667942" w:rsidRPr="001B339B" w:rsidRDefault="00667942" w:rsidP="005C2DC9">
      <w:pPr>
        <w:jc w:val="both"/>
        <w:rPr>
          <w:rFonts w:ascii="Arial" w:eastAsia="Calibri" w:hAnsi="Arial" w:cs="Arial"/>
          <w:lang w:val="es-ES_tradnl"/>
        </w:rPr>
      </w:pPr>
    </w:p>
    <w:p w14:paraId="38D73120" w14:textId="77777777" w:rsidR="00667942" w:rsidRPr="001B339B" w:rsidRDefault="00667942" w:rsidP="005C2DC9">
      <w:pPr>
        <w:jc w:val="both"/>
        <w:rPr>
          <w:rFonts w:ascii="Arial" w:hAnsi="Arial" w:cs="Arial"/>
          <w:b/>
        </w:rPr>
      </w:pPr>
      <w:r w:rsidRPr="001B339B">
        <w:rPr>
          <w:rFonts w:ascii="Arial" w:eastAsia="Calibri" w:hAnsi="Arial" w:cs="Arial"/>
          <w:lang w:val="es-ES_tradnl"/>
        </w:rPr>
        <w:t>Que, el mercurio es un</w:t>
      </w:r>
      <w:r w:rsidRPr="001B339B">
        <w:rPr>
          <w:rFonts w:ascii="Arial" w:eastAsia="Calibri" w:hAnsi="Arial" w:cs="Arial"/>
          <w:b/>
          <w:lang w:val="es-ES_tradnl"/>
        </w:rPr>
        <w:t xml:space="preserve"> </w:t>
      </w:r>
      <w:r w:rsidRPr="001B339B">
        <w:rPr>
          <w:rFonts w:ascii="Arial" w:eastAsia="Calibri" w:hAnsi="Arial" w:cs="Arial"/>
          <w:lang w:val="es-ES_tradnl"/>
        </w:rPr>
        <w:t>insumo químico utilizado en la minería ilegal, que causa preocupación mundial debido a su impacto negativo en el medio ambiente y sus importantes efectos adversos para la salud humana; principalmente a las poblaciones vulnerables;</w:t>
      </w:r>
      <w:r w:rsidRPr="001B339B">
        <w:rPr>
          <w:rFonts w:ascii="Arial" w:hAnsi="Arial" w:cs="Arial"/>
          <w:b/>
        </w:rPr>
        <w:t xml:space="preserve"> </w:t>
      </w:r>
    </w:p>
    <w:p w14:paraId="3284686D" w14:textId="77777777" w:rsidR="00667942" w:rsidRPr="001B339B" w:rsidRDefault="00667942" w:rsidP="005C2DC9">
      <w:pPr>
        <w:jc w:val="both"/>
        <w:rPr>
          <w:rFonts w:ascii="Arial" w:eastAsia="Calibri" w:hAnsi="Arial" w:cs="Arial"/>
          <w:lang w:val="es-ES_tradnl"/>
        </w:rPr>
      </w:pPr>
    </w:p>
    <w:p w14:paraId="1CA6E23C" w14:textId="1EA46502" w:rsidR="00667942" w:rsidRPr="001B339B" w:rsidRDefault="00667942" w:rsidP="005C2DC9">
      <w:pPr>
        <w:jc w:val="both"/>
        <w:rPr>
          <w:rFonts w:ascii="Arial" w:eastAsia="Calibri" w:hAnsi="Arial" w:cs="Arial"/>
          <w:lang w:val="es-ES_tradnl"/>
        </w:rPr>
      </w:pPr>
      <w:r w:rsidRPr="001B339B">
        <w:rPr>
          <w:rFonts w:ascii="Arial" w:eastAsia="Calibri" w:hAnsi="Arial" w:cs="Arial"/>
          <w:lang w:val="es-ES_tradnl"/>
        </w:rPr>
        <w:t>Que, en esa perspectiva, se hace necesario crear un Observatorio Andino encargado de la gestión de la información oficial en materia de Mercurio, que brinde a las autoridades de los Países Miembros de la Comunidad Andina, una alternativa de información actualizada de fácil acceso y comprensión, con la finalidad de que los Países Miembros puedan emitir políticas públicas aplicadas a la producción</w:t>
      </w:r>
      <w:r w:rsidR="007B02A6" w:rsidRPr="001B339B">
        <w:rPr>
          <w:rFonts w:ascii="Arial" w:eastAsia="Calibri" w:hAnsi="Arial" w:cs="Arial"/>
          <w:lang w:val="es-ES_tradnl"/>
        </w:rPr>
        <w:t>,</w:t>
      </w:r>
      <w:r w:rsidRPr="001B339B">
        <w:rPr>
          <w:rFonts w:ascii="Arial" w:eastAsia="Calibri" w:hAnsi="Arial" w:cs="Arial"/>
          <w:lang w:val="es-ES_tradnl"/>
        </w:rPr>
        <w:t xml:space="preserve"> importación, exportación, comercialización, transporte</w:t>
      </w:r>
      <w:r w:rsidR="002419FE">
        <w:rPr>
          <w:rFonts w:ascii="Arial" w:eastAsia="Calibri" w:hAnsi="Arial" w:cs="Arial"/>
          <w:lang w:val="es-ES_tradnl"/>
        </w:rPr>
        <w:t>,</w:t>
      </w:r>
      <w:r w:rsidRPr="001B339B">
        <w:rPr>
          <w:rFonts w:ascii="Arial" w:eastAsia="Calibri" w:hAnsi="Arial" w:cs="Arial"/>
          <w:lang w:val="es-ES_tradnl"/>
        </w:rPr>
        <w:t xml:space="preserve"> el uso</w:t>
      </w:r>
      <w:r w:rsidR="002419FE">
        <w:rPr>
          <w:rFonts w:ascii="Arial" w:eastAsia="Calibri" w:hAnsi="Arial" w:cs="Arial"/>
          <w:lang w:val="es-ES_tradnl"/>
        </w:rPr>
        <w:t xml:space="preserve"> y control</w:t>
      </w:r>
      <w:r w:rsidRPr="001B339B">
        <w:rPr>
          <w:rFonts w:ascii="Arial" w:eastAsia="Calibri" w:hAnsi="Arial" w:cs="Arial"/>
          <w:lang w:val="es-ES_tradnl"/>
        </w:rPr>
        <w:t xml:space="preserve"> del mercurio</w:t>
      </w:r>
      <w:r w:rsidR="009D1B76" w:rsidRPr="001B339B">
        <w:rPr>
          <w:rFonts w:ascii="Arial" w:eastAsia="Calibri" w:hAnsi="Arial" w:cs="Arial"/>
          <w:lang w:val="es-ES_tradnl"/>
        </w:rPr>
        <w:t>;</w:t>
      </w:r>
      <w:r w:rsidRPr="001B339B">
        <w:rPr>
          <w:rFonts w:ascii="Arial" w:eastAsia="Calibri" w:hAnsi="Arial" w:cs="Arial"/>
          <w:lang w:val="es-ES_tradnl"/>
        </w:rPr>
        <w:t xml:space="preserve"> </w:t>
      </w:r>
    </w:p>
    <w:p w14:paraId="4941D9F5" w14:textId="77777777" w:rsidR="00667942" w:rsidRPr="001B339B" w:rsidRDefault="00667942" w:rsidP="005C2DC9">
      <w:pPr>
        <w:jc w:val="both"/>
        <w:rPr>
          <w:rFonts w:ascii="Arial" w:eastAsia="Calibri" w:hAnsi="Arial" w:cs="Arial"/>
          <w:lang w:val="es-ES_tradnl"/>
        </w:rPr>
      </w:pPr>
      <w:r w:rsidRPr="001B339B">
        <w:rPr>
          <w:rFonts w:ascii="Arial" w:eastAsia="Calibri" w:hAnsi="Arial" w:cs="Arial"/>
          <w:lang w:val="es-ES_tradnl"/>
        </w:rPr>
        <w:t xml:space="preserve"> </w:t>
      </w:r>
    </w:p>
    <w:p w14:paraId="7E5374C0" w14:textId="23C3B480" w:rsidR="00667942" w:rsidRPr="001B339B" w:rsidRDefault="00667942" w:rsidP="005C2DC9">
      <w:pPr>
        <w:jc w:val="both"/>
        <w:rPr>
          <w:rFonts w:ascii="Arial" w:hAnsi="Arial" w:cs="Arial"/>
        </w:rPr>
      </w:pPr>
      <w:r w:rsidRPr="001B339B">
        <w:rPr>
          <w:rFonts w:ascii="Arial" w:eastAsia="Arial" w:hAnsi="Arial" w:cs="Arial"/>
        </w:rPr>
        <w:t xml:space="preserve">Que, el Comité Andino Ad-Hoc de Minería Ilegal (CAMI) en su XI Reunión Ordinaria de fecha 8 de mayo de 2019, </w:t>
      </w:r>
      <w:r w:rsidRPr="001B339B">
        <w:rPr>
          <w:rFonts w:ascii="Arial" w:hAnsi="Arial" w:cs="Arial"/>
          <w:snapToGrid w:val="0"/>
        </w:rPr>
        <w:t xml:space="preserve">emitió opinión favorable al proyecto; y </w:t>
      </w:r>
      <w:r w:rsidRPr="001B339B">
        <w:rPr>
          <w:rFonts w:ascii="Arial" w:hAnsi="Arial" w:cs="Arial"/>
        </w:rPr>
        <w:t>recomendó su aprobación por parte del Consejo Andino de Ministros de Relaciones Exteriores, reunidos en forma Ampliada con los Representantes Titulares ante la Comisión de la Comunidad Andina</w:t>
      </w:r>
      <w:r w:rsidR="009D1B76" w:rsidRPr="001B339B">
        <w:rPr>
          <w:rFonts w:ascii="Arial" w:hAnsi="Arial" w:cs="Arial"/>
        </w:rPr>
        <w:t>;</w:t>
      </w:r>
      <w:r w:rsidRPr="001B339B">
        <w:rPr>
          <w:rFonts w:ascii="Arial" w:hAnsi="Arial" w:cs="Arial"/>
        </w:rPr>
        <w:t xml:space="preserve"> </w:t>
      </w:r>
    </w:p>
    <w:p w14:paraId="62B2E767" w14:textId="77777777" w:rsidR="00F87E6D" w:rsidRPr="001B339B" w:rsidRDefault="00F87E6D" w:rsidP="005C2DC9">
      <w:pPr>
        <w:jc w:val="both"/>
        <w:rPr>
          <w:rFonts w:ascii="Arial" w:hAnsi="Arial" w:cs="Arial"/>
        </w:rPr>
      </w:pPr>
    </w:p>
    <w:p w14:paraId="04644BCA" w14:textId="77777777" w:rsidR="00667942" w:rsidRPr="001B339B" w:rsidRDefault="00667942" w:rsidP="005C2DC9">
      <w:pPr>
        <w:tabs>
          <w:tab w:val="left" w:pos="425"/>
        </w:tabs>
        <w:jc w:val="center"/>
        <w:rPr>
          <w:rFonts w:ascii="Arial" w:hAnsi="Arial" w:cs="Arial"/>
          <w:b/>
          <w:bCs/>
        </w:rPr>
      </w:pPr>
      <w:r w:rsidRPr="001B339B">
        <w:rPr>
          <w:rFonts w:ascii="Arial" w:hAnsi="Arial" w:cs="Arial"/>
          <w:b/>
          <w:bCs/>
        </w:rPr>
        <w:t>DECIDE:</w:t>
      </w:r>
    </w:p>
    <w:p w14:paraId="16BC310B" w14:textId="77777777" w:rsidR="00667942" w:rsidRPr="001B339B" w:rsidRDefault="00667942" w:rsidP="005C2DC9">
      <w:pPr>
        <w:tabs>
          <w:tab w:val="left" w:pos="425"/>
        </w:tabs>
        <w:jc w:val="center"/>
        <w:rPr>
          <w:rFonts w:ascii="Arial" w:hAnsi="Arial" w:cs="Arial"/>
          <w:b/>
          <w:bCs/>
        </w:rPr>
      </w:pPr>
    </w:p>
    <w:p w14:paraId="4CB2305D" w14:textId="18114EFC" w:rsidR="00667942" w:rsidRPr="001B339B" w:rsidRDefault="00667942" w:rsidP="005C2DC9">
      <w:pPr>
        <w:autoSpaceDE w:val="0"/>
        <w:autoSpaceDN w:val="0"/>
        <w:adjustRightInd w:val="0"/>
        <w:jc w:val="both"/>
        <w:rPr>
          <w:rFonts w:ascii="Arial" w:eastAsia="Arial" w:hAnsi="Arial" w:cs="Arial"/>
        </w:rPr>
      </w:pPr>
      <w:r w:rsidRPr="001B339B">
        <w:rPr>
          <w:rFonts w:ascii="Arial" w:eastAsia="Arial" w:hAnsi="Arial" w:cs="Arial"/>
          <w:b/>
        </w:rPr>
        <w:t>Artículo 1.-</w:t>
      </w:r>
      <w:r w:rsidRPr="001B339B">
        <w:rPr>
          <w:rFonts w:ascii="Arial" w:eastAsia="Arial" w:hAnsi="Arial" w:cs="Arial"/>
        </w:rPr>
        <w:t xml:space="preserve"> Crear el “Observatorio Andino encargado de la gestión de la información oficial en materia de Mercurio”, que procure el intercambio de información, objetiva, confiable, actualizada y comparable sobre la producción, importación, exportación, comercialización, transporte y uso del mercurio existente en cada País Miembro de la Comunidad Andina.</w:t>
      </w:r>
    </w:p>
    <w:p w14:paraId="6AF6308E" w14:textId="77777777" w:rsidR="00667942" w:rsidRPr="001B339B" w:rsidRDefault="00667942" w:rsidP="005C2DC9">
      <w:pPr>
        <w:autoSpaceDE w:val="0"/>
        <w:autoSpaceDN w:val="0"/>
        <w:adjustRightInd w:val="0"/>
        <w:jc w:val="both"/>
        <w:rPr>
          <w:rFonts w:ascii="Arial" w:eastAsia="Arial" w:hAnsi="Arial" w:cs="Arial"/>
        </w:rPr>
      </w:pPr>
    </w:p>
    <w:p w14:paraId="01B1B073" w14:textId="3B132054" w:rsidR="00667942" w:rsidRPr="001B339B" w:rsidRDefault="00667942" w:rsidP="005C2DC9">
      <w:pPr>
        <w:autoSpaceDE w:val="0"/>
        <w:autoSpaceDN w:val="0"/>
        <w:adjustRightInd w:val="0"/>
        <w:jc w:val="both"/>
        <w:rPr>
          <w:rFonts w:ascii="Arial" w:eastAsia="Arial" w:hAnsi="Arial" w:cs="Arial"/>
        </w:rPr>
      </w:pPr>
      <w:r w:rsidRPr="001B339B">
        <w:rPr>
          <w:rFonts w:ascii="Arial" w:eastAsia="Arial" w:hAnsi="Arial" w:cs="Arial"/>
          <w:b/>
        </w:rPr>
        <w:t>Artículo 2.-</w:t>
      </w:r>
      <w:r w:rsidRPr="001B339B">
        <w:rPr>
          <w:rFonts w:ascii="Arial" w:eastAsia="Arial" w:hAnsi="Arial" w:cs="Arial"/>
        </w:rPr>
        <w:t xml:space="preserve"> </w:t>
      </w:r>
      <w:r w:rsidRPr="001B339B">
        <w:rPr>
          <w:rFonts w:ascii="Arial" w:hAnsi="Arial" w:cs="Arial"/>
        </w:rPr>
        <w:t>El Observatorio Andino encargado de la gestión de la información oficial en materia de Mercurio tiene como objetivo general brindar a las autoridades competentes de los Países Miembros una alternativa de información actualizada de fácil acceso y comprensión, con la finalidad de que los Países Miembros puedan formular o actualizar políticas públicas aplicadas a la producción, importación, exportación, comercialización, transporte y otros</w:t>
      </w:r>
      <w:r w:rsidR="007B02A6" w:rsidRPr="001B339B">
        <w:rPr>
          <w:rFonts w:ascii="Arial" w:hAnsi="Arial" w:cs="Arial"/>
        </w:rPr>
        <w:t>,</w:t>
      </w:r>
      <w:r w:rsidRPr="001B339B">
        <w:rPr>
          <w:rFonts w:ascii="Arial" w:hAnsi="Arial" w:cs="Arial"/>
        </w:rPr>
        <w:t xml:space="preserve"> relacionados con el uso </w:t>
      </w:r>
      <w:r w:rsidR="007F2BBB">
        <w:rPr>
          <w:rFonts w:ascii="Arial" w:hAnsi="Arial" w:cs="Arial"/>
        </w:rPr>
        <w:t xml:space="preserve">y el control </w:t>
      </w:r>
      <w:r w:rsidRPr="001B339B">
        <w:rPr>
          <w:rFonts w:ascii="Arial" w:hAnsi="Arial" w:cs="Arial"/>
        </w:rPr>
        <w:t>del mercurio.</w:t>
      </w:r>
    </w:p>
    <w:p w14:paraId="18CADECE" w14:textId="77777777" w:rsidR="00667942" w:rsidRPr="001B339B" w:rsidRDefault="00667942" w:rsidP="005C2DC9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s-ES_tradnl"/>
        </w:rPr>
      </w:pPr>
    </w:p>
    <w:p w14:paraId="39D25310" w14:textId="77777777" w:rsidR="00667942" w:rsidRPr="001B339B" w:rsidRDefault="005C2DC9" w:rsidP="005C2DC9">
      <w:pPr>
        <w:autoSpaceDE w:val="0"/>
        <w:autoSpaceDN w:val="0"/>
        <w:adjustRightInd w:val="0"/>
        <w:jc w:val="both"/>
        <w:rPr>
          <w:rFonts w:ascii="Arial" w:eastAsia="Arial" w:hAnsi="Arial" w:cs="Arial"/>
        </w:rPr>
      </w:pPr>
      <w:r w:rsidRPr="001B339B">
        <w:rPr>
          <w:rFonts w:ascii="Arial" w:eastAsia="Arial" w:hAnsi="Arial" w:cs="Arial"/>
          <w:b/>
        </w:rPr>
        <w:t>Artículo 3.</w:t>
      </w:r>
      <w:r w:rsidR="00667942" w:rsidRPr="001B339B">
        <w:rPr>
          <w:rFonts w:ascii="Arial" w:eastAsia="Arial" w:hAnsi="Arial" w:cs="Arial"/>
          <w:b/>
        </w:rPr>
        <w:t>-</w:t>
      </w:r>
      <w:r w:rsidR="00667942" w:rsidRPr="001B339B">
        <w:rPr>
          <w:rFonts w:ascii="Arial" w:eastAsia="Arial" w:hAnsi="Arial" w:cs="Arial"/>
        </w:rPr>
        <w:t xml:space="preserve"> El Observatorio está conformado por </w:t>
      </w:r>
      <w:r w:rsidR="0091714B" w:rsidRPr="001B339B">
        <w:rPr>
          <w:rFonts w:ascii="Arial" w:eastAsia="Arial" w:hAnsi="Arial" w:cs="Arial"/>
        </w:rPr>
        <w:t xml:space="preserve">los funcionarios designados por </w:t>
      </w:r>
      <w:r w:rsidR="00667942" w:rsidRPr="001B339B">
        <w:rPr>
          <w:rFonts w:ascii="Arial" w:eastAsia="Arial" w:hAnsi="Arial" w:cs="Arial"/>
        </w:rPr>
        <w:t>la Secretaria General de la Comunidad Andina y los expertos designados por cada uno de los Países Miembros.</w:t>
      </w:r>
    </w:p>
    <w:p w14:paraId="54C96F91" w14:textId="77777777" w:rsidR="005C2DC9" w:rsidRPr="001B339B" w:rsidRDefault="005C2DC9" w:rsidP="005C2DC9">
      <w:pPr>
        <w:autoSpaceDE w:val="0"/>
        <w:autoSpaceDN w:val="0"/>
        <w:adjustRightInd w:val="0"/>
        <w:jc w:val="both"/>
        <w:rPr>
          <w:rFonts w:ascii="Arial" w:eastAsia="Arial" w:hAnsi="Arial" w:cs="Arial"/>
        </w:rPr>
      </w:pPr>
    </w:p>
    <w:p w14:paraId="4EC9F6F3" w14:textId="77777777" w:rsidR="00667942" w:rsidRPr="001B339B" w:rsidRDefault="00667942" w:rsidP="005C2DC9">
      <w:pPr>
        <w:autoSpaceDE w:val="0"/>
        <w:autoSpaceDN w:val="0"/>
        <w:adjustRightInd w:val="0"/>
        <w:jc w:val="both"/>
        <w:rPr>
          <w:rFonts w:ascii="Arial" w:eastAsia="Arial" w:hAnsi="Arial" w:cs="Arial"/>
        </w:rPr>
      </w:pPr>
      <w:r w:rsidRPr="001B339B">
        <w:rPr>
          <w:rFonts w:ascii="Arial" w:eastAsia="Arial" w:hAnsi="Arial" w:cs="Arial"/>
        </w:rPr>
        <w:t xml:space="preserve">La Secretaría General de la Comunidad Andina dirige y administra el Observatorio, en ese sentido, recaba y transmite la información proporcionada por los Países Miembros. </w:t>
      </w:r>
    </w:p>
    <w:p w14:paraId="3513A9FC" w14:textId="77777777" w:rsidR="00667942" w:rsidRPr="001B339B" w:rsidRDefault="00667942" w:rsidP="005C2DC9">
      <w:pPr>
        <w:autoSpaceDE w:val="0"/>
        <w:autoSpaceDN w:val="0"/>
        <w:adjustRightInd w:val="0"/>
        <w:jc w:val="both"/>
        <w:rPr>
          <w:rFonts w:ascii="Arial" w:eastAsia="Arial" w:hAnsi="Arial" w:cs="Arial"/>
        </w:rPr>
      </w:pPr>
    </w:p>
    <w:p w14:paraId="4E6CFCFE" w14:textId="3F00A73C" w:rsidR="00667942" w:rsidRPr="001B339B" w:rsidRDefault="00667942" w:rsidP="005C2DC9">
      <w:pPr>
        <w:autoSpaceDE w:val="0"/>
        <w:autoSpaceDN w:val="0"/>
        <w:adjustRightInd w:val="0"/>
        <w:jc w:val="both"/>
        <w:rPr>
          <w:rFonts w:ascii="Arial" w:eastAsia="Arial" w:hAnsi="Arial" w:cs="Arial"/>
        </w:rPr>
      </w:pPr>
      <w:r w:rsidRPr="001B339B">
        <w:rPr>
          <w:rFonts w:ascii="Arial" w:eastAsia="Arial" w:hAnsi="Arial" w:cs="Arial"/>
        </w:rPr>
        <w:t>La Secretaría General de la CAN conjuntamente con los expertos de los Países Miembros analizarán la información recabada y emitirán informes,</w:t>
      </w:r>
      <w:r w:rsidR="001B339B" w:rsidRPr="001B339B">
        <w:rPr>
          <w:rFonts w:ascii="Arial" w:eastAsia="Arial" w:hAnsi="Arial" w:cs="Arial"/>
        </w:rPr>
        <w:t xml:space="preserve"> </w:t>
      </w:r>
      <w:r w:rsidRPr="001B339B">
        <w:rPr>
          <w:rFonts w:ascii="Arial" w:eastAsia="Arial" w:hAnsi="Arial" w:cs="Arial"/>
        </w:rPr>
        <w:t xml:space="preserve">los cuales deberán contener recomendaciones. </w:t>
      </w:r>
    </w:p>
    <w:p w14:paraId="46326AF3" w14:textId="77777777" w:rsidR="00667942" w:rsidRPr="001B339B" w:rsidRDefault="00667942" w:rsidP="005C2DC9">
      <w:pPr>
        <w:autoSpaceDE w:val="0"/>
        <w:autoSpaceDN w:val="0"/>
        <w:adjustRightInd w:val="0"/>
        <w:jc w:val="both"/>
        <w:rPr>
          <w:rFonts w:ascii="Arial" w:eastAsia="Arial" w:hAnsi="Arial" w:cs="Arial"/>
        </w:rPr>
      </w:pPr>
    </w:p>
    <w:p w14:paraId="173DBB7B" w14:textId="77777777" w:rsidR="00667942" w:rsidRPr="001B339B" w:rsidRDefault="00667942" w:rsidP="005C2DC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B339B">
        <w:rPr>
          <w:rFonts w:ascii="Arial" w:eastAsia="Arial" w:hAnsi="Arial" w:cs="Arial"/>
        </w:rPr>
        <w:t>Los Países Miembros designarán dos expertos, un titular y un suplente, los cuales deberán ser acreditados ante la Secretaría General.</w:t>
      </w:r>
    </w:p>
    <w:p w14:paraId="364E10EF" w14:textId="77777777" w:rsidR="00667942" w:rsidRPr="001B339B" w:rsidRDefault="00667942" w:rsidP="005C2DC9">
      <w:pPr>
        <w:autoSpaceDE w:val="0"/>
        <w:autoSpaceDN w:val="0"/>
        <w:adjustRightInd w:val="0"/>
        <w:jc w:val="both"/>
        <w:rPr>
          <w:rFonts w:ascii="Arial" w:eastAsia="Arial" w:hAnsi="Arial" w:cs="Arial"/>
        </w:rPr>
      </w:pPr>
    </w:p>
    <w:p w14:paraId="6BEC83F4" w14:textId="77777777" w:rsidR="00667942" w:rsidRPr="001B339B" w:rsidRDefault="005C2DC9" w:rsidP="005C2DC9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s-ES_tradnl"/>
        </w:rPr>
      </w:pPr>
      <w:r w:rsidRPr="001B339B">
        <w:rPr>
          <w:rFonts w:ascii="Arial" w:eastAsia="Calibri" w:hAnsi="Arial" w:cs="Arial"/>
          <w:b/>
          <w:lang w:val="es-ES_tradnl"/>
        </w:rPr>
        <w:t>Artículo 4.</w:t>
      </w:r>
      <w:r w:rsidR="00667942" w:rsidRPr="001B339B">
        <w:rPr>
          <w:rFonts w:ascii="Arial" w:eastAsia="Calibri" w:hAnsi="Arial" w:cs="Arial"/>
          <w:b/>
          <w:lang w:val="es-ES_tradnl"/>
        </w:rPr>
        <w:t xml:space="preserve">- </w:t>
      </w:r>
      <w:r w:rsidR="00667942" w:rsidRPr="001B339B">
        <w:rPr>
          <w:rFonts w:ascii="Arial" w:eastAsia="Calibri" w:hAnsi="Arial" w:cs="Arial"/>
          <w:lang w:val="es-ES_tradnl"/>
        </w:rPr>
        <w:t>El Observatorio realizará las siguientes funciones:</w:t>
      </w:r>
    </w:p>
    <w:p w14:paraId="6B8F0D64" w14:textId="77777777" w:rsidR="00667942" w:rsidRPr="001B339B" w:rsidRDefault="00667942" w:rsidP="005C2DC9">
      <w:pPr>
        <w:autoSpaceDE w:val="0"/>
        <w:autoSpaceDN w:val="0"/>
        <w:adjustRightInd w:val="0"/>
        <w:jc w:val="both"/>
        <w:rPr>
          <w:rFonts w:ascii="Arial" w:eastAsia="Arial" w:hAnsi="Arial" w:cs="Arial"/>
          <w:lang w:val="es-ES_tradnl"/>
        </w:rPr>
      </w:pPr>
    </w:p>
    <w:p w14:paraId="6A01A8F1" w14:textId="77777777" w:rsidR="00667942" w:rsidRPr="001B339B" w:rsidRDefault="00667942" w:rsidP="007B02A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1B339B">
        <w:rPr>
          <w:rFonts w:ascii="Arial" w:eastAsia="Calibri" w:hAnsi="Arial" w:cs="Arial"/>
          <w:sz w:val="24"/>
          <w:szCs w:val="24"/>
          <w:lang w:val="es-ES_tradnl"/>
        </w:rPr>
        <w:t>Recopilar y hacer seguimiento de la información sobre la producción, importación, exportación, comercialización, transporte y el uso del mercurio.</w:t>
      </w:r>
    </w:p>
    <w:p w14:paraId="5CBB09E1" w14:textId="77777777" w:rsidR="00667942" w:rsidRPr="001B339B" w:rsidRDefault="00667942" w:rsidP="007B02A6">
      <w:pPr>
        <w:pStyle w:val="Prrafodelista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Calibri" w:hAnsi="Arial" w:cs="Arial"/>
          <w:sz w:val="24"/>
          <w:szCs w:val="24"/>
          <w:lang w:val="es-ES_tradnl"/>
        </w:rPr>
      </w:pPr>
    </w:p>
    <w:p w14:paraId="0E76DEE6" w14:textId="77777777" w:rsidR="00667942" w:rsidRPr="001B339B" w:rsidRDefault="00667942" w:rsidP="007B02A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1B339B">
        <w:rPr>
          <w:rFonts w:ascii="Arial" w:eastAsia="Calibri" w:hAnsi="Arial" w:cs="Arial"/>
          <w:sz w:val="24"/>
          <w:szCs w:val="24"/>
          <w:lang w:val="es-ES_tradnl"/>
        </w:rPr>
        <w:t>Analizar la información proporcionada por los Países Miembros;</w:t>
      </w:r>
      <w:r w:rsidRPr="001B339B">
        <w:rPr>
          <w:rFonts w:ascii="Arial" w:hAnsi="Arial" w:cs="Arial"/>
          <w:sz w:val="24"/>
          <w:szCs w:val="24"/>
        </w:rPr>
        <w:t xml:space="preserve"> </w:t>
      </w:r>
      <w:r w:rsidRPr="001B339B">
        <w:rPr>
          <w:rFonts w:ascii="Arial" w:eastAsia="Calibri" w:hAnsi="Arial" w:cs="Arial"/>
          <w:sz w:val="24"/>
          <w:szCs w:val="24"/>
          <w:lang w:val="es-ES_tradnl"/>
        </w:rPr>
        <w:t>así como la información proporcionada por organizaciones intergubernamentales y otras fuentes que tengan conocimientos especializados en mercurio, que sean de interés del Observatorio.</w:t>
      </w:r>
    </w:p>
    <w:p w14:paraId="0151CF16" w14:textId="77777777" w:rsidR="00667942" w:rsidRPr="001B339B" w:rsidRDefault="00667942" w:rsidP="007B02A6">
      <w:pPr>
        <w:pStyle w:val="Prrafodelista"/>
        <w:spacing w:after="0" w:line="240" w:lineRule="auto"/>
        <w:ind w:left="567" w:hanging="567"/>
        <w:rPr>
          <w:rFonts w:ascii="Arial" w:eastAsia="Calibri" w:hAnsi="Arial" w:cs="Arial"/>
          <w:sz w:val="24"/>
          <w:szCs w:val="24"/>
          <w:lang w:val="es-ES_tradnl"/>
        </w:rPr>
      </w:pPr>
    </w:p>
    <w:p w14:paraId="3A8234F1" w14:textId="2ACB2C9C" w:rsidR="00667942" w:rsidRPr="001B339B" w:rsidRDefault="00667942" w:rsidP="007B02A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1B339B">
        <w:rPr>
          <w:rFonts w:ascii="Arial" w:eastAsia="Calibri" w:hAnsi="Arial" w:cs="Arial"/>
          <w:sz w:val="24"/>
          <w:szCs w:val="24"/>
          <w:lang w:val="es-ES_tradnl"/>
        </w:rPr>
        <w:t xml:space="preserve">Intercambiar y actualizar información normativa y </w:t>
      </w:r>
      <w:r w:rsidRPr="0080098D">
        <w:rPr>
          <w:rFonts w:ascii="Arial" w:eastAsia="Calibri" w:hAnsi="Arial" w:cs="Arial"/>
          <w:sz w:val="24"/>
          <w:szCs w:val="24"/>
          <w:lang w:val="es-ES_tradnl"/>
        </w:rPr>
        <w:t>técnica</w:t>
      </w:r>
      <w:r w:rsidR="000A5DF3" w:rsidRPr="0080098D">
        <w:rPr>
          <w:rFonts w:ascii="Arial" w:eastAsia="Calibri" w:hAnsi="Arial" w:cs="Arial"/>
          <w:sz w:val="24"/>
          <w:szCs w:val="24"/>
          <w:lang w:val="es-ES_tradnl"/>
        </w:rPr>
        <w:t>,</w:t>
      </w:r>
      <w:r w:rsidRPr="001B339B">
        <w:rPr>
          <w:rFonts w:ascii="Arial" w:eastAsia="Calibri" w:hAnsi="Arial" w:cs="Arial"/>
          <w:sz w:val="24"/>
          <w:szCs w:val="24"/>
          <w:lang w:val="es-ES_tradnl"/>
        </w:rPr>
        <w:t xml:space="preserve"> para la disposición final del mercurio, y sobre la cantidad de mercurio incautado o decomisado.</w:t>
      </w:r>
    </w:p>
    <w:p w14:paraId="3035D300" w14:textId="77777777" w:rsidR="00667942" w:rsidRPr="001B339B" w:rsidRDefault="00667942" w:rsidP="007B02A6">
      <w:pPr>
        <w:pStyle w:val="Prrafodelista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Calibri" w:hAnsi="Arial" w:cs="Arial"/>
          <w:sz w:val="24"/>
          <w:szCs w:val="24"/>
          <w:lang w:val="es-ES_tradnl"/>
        </w:rPr>
      </w:pPr>
    </w:p>
    <w:p w14:paraId="1BEC76F3" w14:textId="339B43FD" w:rsidR="00667942" w:rsidRPr="001B339B" w:rsidRDefault="00667942" w:rsidP="007B02A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1B339B">
        <w:rPr>
          <w:rFonts w:ascii="Arial" w:eastAsia="Calibri" w:hAnsi="Arial" w:cs="Arial"/>
          <w:sz w:val="24"/>
          <w:szCs w:val="24"/>
          <w:lang w:val="es-ES_tradnl"/>
        </w:rPr>
        <w:t>Elaborar informes semestrales sobre la información proporcionada por los Países Miembros</w:t>
      </w:r>
      <w:r w:rsidR="00427B43">
        <w:rPr>
          <w:rFonts w:ascii="Arial" w:eastAsia="Calibri" w:hAnsi="Arial" w:cs="Arial"/>
          <w:sz w:val="24"/>
          <w:szCs w:val="24"/>
          <w:lang w:val="es-ES_tradnl"/>
        </w:rPr>
        <w:t>,</w:t>
      </w:r>
      <w:r w:rsidR="001B339B" w:rsidRPr="001B339B">
        <w:rPr>
          <w:rFonts w:ascii="Arial" w:eastAsia="Arial" w:hAnsi="Arial" w:cs="Arial"/>
          <w:sz w:val="24"/>
          <w:szCs w:val="24"/>
        </w:rPr>
        <w:t xml:space="preserve"> los cuales deberán contener recomendaciones</w:t>
      </w:r>
      <w:r w:rsidRPr="001B339B">
        <w:rPr>
          <w:rFonts w:ascii="Arial" w:eastAsia="Arial" w:hAnsi="Arial" w:cs="Arial"/>
          <w:sz w:val="24"/>
          <w:szCs w:val="24"/>
          <w:lang w:val="es-PE" w:eastAsia="es-PE"/>
        </w:rPr>
        <w:t>. E</w:t>
      </w:r>
      <w:r w:rsidRPr="001B339B">
        <w:rPr>
          <w:rFonts w:ascii="Arial" w:eastAsia="Calibri" w:hAnsi="Arial" w:cs="Arial"/>
          <w:sz w:val="24"/>
          <w:szCs w:val="24"/>
          <w:lang w:val="es-ES_tradnl"/>
        </w:rPr>
        <w:t xml:space="preserve">l Comité Andino Ad-Hoc de Minería Ilegal </w:t>
      </w:r>
      <w:r w:rsidR="00665624" w:rsidRPr="001B339B">
        <w:rPr>
          <w:rFonts w:ascii="Arial" w:eastAsia="Calibri" w:hAnsi="Arial" w:cs="Arial"/>
          <w:sz w:val="24"/>
          <w:szCs w:val="24"/>
          <w:lang w:val="es-ES_tradnl"/>
        </w:rPr>
        <w:t>(</w:t>
      </w:r>
      <w:r w:rsidRPr="001B339B">
        <w:rPr>
          <w:rFonts w:ascii="Arial" w:eastAsia="Calibri" w:hAnsi="Arial" w:cs="Arial"/>
          <w:sz w:val="24"/>
          <w:szCs w:val="24"/>
          <w:lang w:val="es-ES_tradnl"/>
        </w:rPr>
        <w:t>CAMI</w:t>
      </w:r>
      <w:r w:rsidR="00665624" w:rsidRPr="001B339B">
        <w:rPr>
          <w:rFonts w:ascii="Arial" w:eastAsia="Calibri" w:hAnsi="Arial" w:cs="Arial"/>
          <w:sz w:val="24"/>
          <w:szCs w:val="24"/>
          <w:lang w:val="es-ES_tradnl"/>
        </w:rPr>
        <w:t>)</w:t>
      </w:r>
      <w:r w:rsidRPr="001B339B">
        <w:rPr>
          <w:rFonts w:ascii="Arial" w:eastAsia="Calibri" w:hAnsi="Arial" w:cs="Arial"/>
          <w:sz w:val="24"/>
          <w:szCs w:val="24"/>
          <w:lang w:val="es-ES_tradnl"/>
        </w:rPr>
        <w:t xml:space="preserve"> y l</w:t>
      </w:r>
      <w:r w:rsidRPr="001B339B">
        <w:rPr>
          <w:rFonts w:ascii="Arial" w:eastAsia="Arial" w:hAnsi="Arial" w:cs="Arial"/>
          <w:sz w:val="24"/>
          <w:szCs w:val="24"/>
          <w:lang w:val="es-PE" w:eastAsia="es-PE"/>
        </w:rPr>
        <w:t>os Países Miembros</w:t>
      </w:r>
      <w:r w:rsidRPr="001B339B">
        <w:rPr>
          <w:rFonts w:ascii="Arial" w:eastAsia="Calibri" w:hAnsi="Arial" w:cs="Arial"/>
          <w:sz w:val="24"/>
          <w:szCs w:val="24"/>
          <w:lang w:val="es-ES_tradnl"/>
        </w:rPr>
        <w:t xml:space="preserve">, podrán solicitar al Observatorio un informe específico sobre un tema relacionado al mercurio. </w:t>
      </w:r>
    </w:p>
    <w:p w14:paraId="599C1AD9" w14:textId="77777777" w:rsidR="00667942" w:rsidRPr="001B339B" w:rsidRDefault="00667942" w:rsidP="007B02A6">
      <w:pPr>
        <w:pStyle w:val="Prrafodelista"/>
        <w:spacing w:after="0" w:line="240" w:lineRule="auto"/>
        <w:ind w:left="567" w:hanging="567"/>
        <w:rPr>
          <w:rFonts w:ascii="Arial" w:eastAsia="Calibri" w:hAnsi="Arial" w:cs="Arial"/>
          <w:sz w:val="24"/>
          <w:szCs w:val="24"/>
          <w:lang w:val="es-ES_tradnl"/>
        </w:rPr>
      </w:pPr>
    </w:p>
    <w:p w14:paraId="54BED71D" w14:textId="77777777" w:rsidR="00667942" w:rsidRPr="001B339B" w:rsidRDefault="00667942" w:rsidP="007B02A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1B339B">
        <w:rPr>
          <w:rFonts w:ascii="Arial" w:eastAsia="Calibri" w:hAnsi="Arial" w:cs="Arial"/>
          <w:sz w:val="24"/>
          <w:szCs w:val="24"/>
          <w:lang w:val="es-ES_tradnl"/>
        </w:rPr>
        <w:t>Formular recomendaciones que se podrán referir, entre otros aspectos, a fortalecer y desarrollar el Observatorio, ampliando la información o variables a ser brindadas por los Países Miembros, los insumos a ser reportados u otros aspectos que consideren pertinentes.</w:t>
      </w:r>
    </w:p>
    <w:p w14:paraId="384F5D09" w14:textId="77777777" w:rsidR="00667942" w:rsidRPr="001B339B" w:rsidRDefault="00667942" w:rsidP="007B02A6">
      <w:pPr>
        <w:pStyle w:val="Prrafodelista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Calibri" w:hAnsi="Arial" w:cs="Arial"/>
          <w:sz w:val="24"/>
          <w:szCs w:val="24"/>
          <w:lang w:val="es-ES_tradnl"/>
        </w:rPr>
      </w:pPr>
    </w:p>
    <w:p w14:paraId="57B0F284" w14:textId="77777777" w:rsidR="00667942" w:rsidRPr="001B339B" w:rsidRDefault="00667942" w:rsidP="007B02A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1B339B">
        <w:rPr>
          <w:rFonts w:ascii="Arial" w:eastAsia="Calibri" w:hAnsi="Arial" w:cs="Arial"/>
          <w:sz w:val="24"/>
          <w:szCs w:val="24"/>
          <w:lang w:val="es-ES_tradnl"/>
        </w:rPr>
        <w:t>Formular recomendaciones sobre políticas públicas aplicadas a la producción, importación, exportación, comercialización, transporte, y otros relacionados con el uso y control del mercurio, que permitan la toma de decisiones y el desarrollo de programas y proyectos vinculados a la reducción o eliminación del uso del mercurio en la minería, de manera coordinada entre los Países Miembros.</w:t>
      </w:r>
    </w:p>
    <w:p w14:paraId="3A54A066" w14:textId="77777777" w:rsidR="00667942" w:rsidRPr="001B339B" w:rsidRDefault="00667942" w:rsidP="007B02A6">
      <w:pPr>
        <w:pStyle w:val="Prrafodelista"/>
        <w:spacing w:after="0" w:line="240" w:lineRule="auto"/>
        <w:ind w:left="567" w:hanging="567"/>
        <w:rPr>
          <w:rFonts w:ascii="Arial" w:eastAsia="Calibri" w:hAnsi="Arial" w:cs="Arial"/>
          <w:sz w:val="24"/>
          <w:szCs w:val="24"/>
          <w:lang w:val="es-ES_tradnl"/>
        </w:rPr>
      </w:pPr>
    </w:p>
    <w:p w14:paraId="5B9A38DA" w14:textId="77777777" w:rsidR="00667942" w:rsidRPr="001B339B" w:rsidRDefault="00667942" w:rsidP="007B02A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Calibri" w:hAnsi="Arial" w:cs="Arial"/>
          <w:sz w:val="24"/>
          <w:szCs w:val="24"/>
          <w:lang w:val="es-ES_tradnl"/>
        </w:rPr>
      </w:pPr>
      <w:r w:rsidRPr="001B339B">
        <w:rPr>
          <w:rFonts w:ascii="Arial" w:eastAsia="Calibri" w:hAnsi="Arial" w:cs="Arial"/>
          <w:sz w:val="24"/>
          <w:szCs w:val="24"/>
          <w:lang w:val="es-ES_tradnl"/>
        </w:rPr>
        <w:t>Procurar la capacitación de los funcionarios de los Países Miembros sobre las temáticas que se identifiquen en el desarrollo de la presente Decisión.</w:t>
      </w:r>
    </w:p>
    <w:p w14:paraId="4683EE31" w14:textId="77777777" w:rsidR="00667942" w:rsidRPr="001B339B" w:rsidRDefault="00667942" w:rsidP="005C2DC9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s-ES_tradnl"/>
        </w:rPr>
      </w:pPr>
    </w:p>
    <w:p w14:paraId="4E55B653" w14:textId="77777777" w:rsidR="00667942" w:rsidRPr="001B339B" w:rsidRDefault="00667942" w:rsidP="005C2DC9">
      <w:pPr>
        <w:autoSpaceDE w:val="0"/>
        <w:autoSpaceDN w:val="0"/>
        <w:adjustRightInd w:val="0"/>
        <w:jc w:val="both"/>
        <w:rPr>
          <w:rFonts w:ascii="Arial" w:eastAsia="Arial" w:hAnsi="Arial" w:cs="Arial"/>
        </w:rPr>
      </w:pPr>
      <w:r w:rsidRPr="001B339B">
        <w:rPr>
          <w:rFonts w:ascii="Arial" w:eastAsia="Calibri" w:hAnsi="Arial" w:cs="Arial"/>
          <w:b/>
          <w:lang w:val="es-ES_tradnl"/>
        </w:rPr>
        <w:t xml:space="preserve">Artículo 5.- </w:t>
      </w:r>
      <w:r w:rsidRPr="001B339B">
        <w:rPr>
          <w:rFonts w:ascii="Arial" w:eastAsia="Calibri" w:hAnsi="Arial" w:cs="Arial"/>
          <w:lang w:val="es-ES_tradnl"/>
        </w:rPr>
        <w:t xml:space="preserve">Para </w:t>
      </w:r>
      <w:r w:rsidRPr="001B339B">
        <w:rPr>
          <w:rFonts w:ascii="Arial" w:eastAsia="Arial" w:hAnsi="Arial" w:cs="Arial"/>
        </w:rPr>
        <w:t xml:space="preserve">la gestión de la información sobre el mercurio, a que se refiere </w:t>
      </w:r>
      <w:r w:rsidRPr="001B339B">
        <w:rPr>
          <w:rFonts w:ascii="Arial" w:eastAsia="Calibri" w:hAnsi="Arial" w:cs="Arial"/>
          <w:lang w:val="es-ES_tradnl"/>
        </w:rPr>
        <w:t xml:space="preserve">el artículo 1 de la presente Decisión, cada País Miembro deberá remitir a la </w:t>
      </w:r>
      <w:r w:rsidRPr="001B339B">
        <w:rPr>
          <w:rFonts w:ascii="Arial" w:eastAsia="Calibri" w:hAnsi="Arial" w:cs="Arial"/>
          <w:lang w:val="es-ES_tradnl"/>
        </w:rPr>
        <w:lastRenderedPageBreak/>
        <w:t xml:space="preserve">Secretaría General de la Comunidad Andina, la información oficial disponible y actualizada </w:t>
      </w:r>
      <w:r w:rsidRPr="001B339B">
        <w:rPr>
          <w:rFonts w:ascii="Arial" w:eastAsia="Arial" w:hAnsi="Arial" w:cs="Arial"/>
        </w:rPr>
        <w:t>sobre la producción, importación, exportación, comercialización, transporte y uso del mercurio.</w:t>
      </w:r>
    </w:p>
    <w:p w14:paraId="494076E7" w14:textId="77777777" w:rsidR="00667942" w:rsidRPr="001B339B" w:rsidRDefault="00667942" w:rsidP="005C2DC9">
      <w:pPr>
        <w:autoSpaceDE w:val="0"/>
        <w:autoSpaceDN w:val="0"/>
        <w:adjustRightInd w:val="0"/>
        <w:jc w:val="both"/>
        <w:rPr>
          <w:rFonts w:ascii="Arial" w:eastAsia="Arial" w:hAnsi="Arial" w:cs="Arial"/>
        </w:rPr>
      </w:pPr>
    </w:p>
    <w:p w14:paraId="491E5336" w14:textId="77777777" w:rsidR="00667942" w:rsidRPr="001B339B" w:rsidRDefault="00667942" w:rsidP="005C2DC9">
      <w:pPr>
        <w:autoSpaceDE w:val="0"/>
        <w:autoSpaceDN w:val="0"/>
        <w:adjustRightInd w:val="0"/>
        <w:jc w:val="both"/>
        <w:rPr>
          <w:rFonts w:ascii="Arial" w:eastAsia="Arial" w:hAnsi="Arial" w:cs="Arial"/>
        </w:rPr>
      </w:pPr>
      <w:r w:rsidRPr="001B339B">
        <w:rPr>
          <w:rFonts w:ascii="Arial" w:eastAsia="Arial" w:hAnsi="Arial" w:cs="Arial"/>
        </w:rPr>
        <w:t xml:space="preserve">La Secretaría General recopilará la información proporcionada por los Países Miembros y la remitirá a los integrantes del Observatorio. </w:t>
      </w:r>
    </w:p>
    <w:p w14:paraId="2B6B098C" w14:textId="77777777" w:rsidR="00667942" w:rsidRPr="001B339B" w:rsidRDefault="00667942" w:rsidP="005C2DC9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s-ES_tradnl"/>
        </w:rPr>
      </w:pPr>
    </w:p>
    <w:p w14:paraId="445A0BE9" w14:textId="34DFAE5E" w:rsidR="00667942" w:rsidRPr="001B339B" w:rsidRDefault="00667942" w:rsidP="005C2DC9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s-ES_tradnl"/>
        </w:rPr>
      </w:pPr>
      <w:r w:rsidRPr="001B339B">
        <w:rPr>
          <w:rFonts w:ascii="Arial" w:eastAsia="Calibri" w:hAnsi="Arial" w:cs="Arial"/>
          <w:lang w:val="es-ES_tradnl"/>
        </w:rPr>
        <w:t>Una vez recibida la información, la Secretaría General de la Comunidad Andina, dentro del plazo de 5 días calendario</w:t>
      </w:r>
      <w:r w:rsidR="004B7DF8" w:rsidRPr="001B339B">
        <w:rPr>
          <w:rFonts w:ascii="Arial" w:eastAsia="Calibri" w:hAnsi="Arial" w:cs="Arial"/>
          <w:lang w:val="es-ES_tradnl"/>
        </w:rPr>
        <w:t>,</w:t>
      </w:r>
      <w:r w:rsidRPr="001B339B">
        <w:rPr>
          <w:rFonts w:ascii="Arial" w:eastAsia="Calibri" w:hAnsi="Arial" w:cs="Arial"/>
          <w:lang w:val="es-ES_tradnl"/>
        </w:rPr>
        <w:t xml:space="preserve"> convocará a una reunión a los integrantes del Observatorio, con la finalidad de analizar la información recibida. La Secretaría General conjuntamente con los expertos de los Países Miembros emitirán un informe cada semestre.</w:t>
      </w:r>
    </w:p>
    <w:p w14:paraId="4D87D17F" w14:textId="77777777" w:rsidR="00667942" w:rsidRPr="001B339B" w:rsidRDefault="00667942" w:rsidP="005C2DC9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s-ES_tradnl"/>
        </w:rPr>
      </w:pPr>
    </w:p>
    <w:p w14:paraId="6E7CC588" w14:textId="58C00FCE" w:rsidR="00667942" w:rsidRPr="001B339B" w:rsidRDefault="00667942" w:rsidP="005C2DC9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s-ES_tradnl"/>
        </w:rPr>
      </w:pPr>
      <w:r w:rsidRPr="001B339B">
        <w:rPr>
          <w:rFonts w:ascii="Arial" w:eastAsia="Calibri" w:hAnsi="Arial" w:cs="Arial"/>
          <w:lang w:val="es-ES_tradnl"/>
        </w:rPr>
        <w:t>La implementación de este sistema no generará costos de personal, ni de equipamiento.</w:t>
      </w:r>
    </w:p>
    <w:p w14:paraId="43B2EECA" w14:textId="77777777" w:rsidR="00667942" w:rsidRPr="001B339B" w:rsidRDefault="00667942" w:rsidP="005C2DC9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s-ES_tradnl"/>
        </w:rPr>
      </w:pPr>
    </w:p>
    <w:p w14:paraId="427F82F1" w14:textId="77777777" w:rsidR="00667942" w:rsidRPr="001B339B" w:rsidRDefault="005C2DC9" w:rsidP="00E1729F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lang w:val="es-ES_tradnl"/>
        </w:rPr>
      </w:pPr>
      <w:r w:rsidRPr="001B339B">
        <w:rPr>
          <w:rFonts w:ascii="Arial" w:eastAsia="Calibri" w:hAnsi="Arial" w:cs="Arial"/>
          <w:b/>
          <w:lang w:val="es-ES_tradnl"/>
        </w:rPr>
        <w:t>Artículo 6.</w:t>
      </w:r>
      <w:r w:rsidR="00667942" w:rsidRPr="001B339B">
        <w:rPr>
          <w:rFonts w:ascii="Arial" w:eastAsia="Calibri" w:hAnsi="Arial" w:cs="Arial"/>
          <w:b/>
          <w:lang w:val="es-ES_tradnl"/>
        </w:rPr>
        <w:t>-</w:t>
      </w:r>
      <w:r w:rsidR="00667942" w:rsidRPr="001B339B">
        <w:rPr>
          <w:rFonts w:ascii="Arial" w:eastAsia="Calibri" w:hAnsi="Arial" w:cs="Arial"/>
          <w:lang w:val="es-ES_tradnl"/>
        </w:rPr>
        <w:t xml:space="preserve"> Las variables a ser informadas por cada País Miembro serán establecidas en la reglamentación de la presente Decisión. </w:t>
      </w:r>
    </w:p>
    <w:p w14:paraId="30CF1CF0" w14:textId="77777777" w:rsidR="00667942" w:rsidRPr="001B339B" w:rsidRDefault="00667942" w:rsidP="005C2DC9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val="es-ES_tradnl"/>
        </w:rPr>
      </w:pPr>
    </w:p>
    <w:p w14:paraId="1495DE4F" w14:textId="54758B03" w:rsidR="00667942" w:rsidRPr="001B339B" w:rsidRDefault="005C2DC9" w:rsidP="005C2DC9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s-ES_tradnl"/>
        </w:rPr>
      </w:pPr>
      <w:r w:rsidRPr="001B339B">
        <w:rPr>
          <w:rFonts w:ascii="Arial" w:eastAsia="Calibri" w:hAnsi="Arial" w:cs="Arial"/>
          <w:b/>
          <w:lang w:val="es-ES_tradnl"/>
        </w:rPr>
        <w:t>Artículo 7.</w:t>
      </w:r>
      <w:r w:rsidR="00667942" w:rsidRPr="001B339B">
        <w:rPr>
          <w:rFonts w:ascii="Arial" w:eastAsia="Calibri" w:hAnsi="Arial" w:cs="Arial"/>
          <w:b/>
          <w:lang w:val="es-ES_tradnl"/>
        </w:rPr>
        <w:t>-</w:t>
      </w:r>
      <w:r w:rsidR="00667942" w:rsidRPr="001B339B">
        <w:rPr>
          <w:rFonts w:ascii="Arial" w:eastAsia="Calibri" w:hAnsi="Arial" w:cs="Arial"/>
          <w:lang w:val="es-ES_tradnl"/>
        </w:rPr>
        <w:t xml:space="preserve"> Dentro de los 90 días calendario contados a partir del día siguiente de la entrada en vigencia de la presente Decisión, la Secretaría General de la Comunidad Andina, a propuesta del Comité Andino Ad-Hoc de Minería Ilegal (CAMI), reglamentará la presente Decisión mediante Resolución. Asimismo, a propuesta del CAMI, la Secretaría General adoptará las resoluciones que sean necesarias para la implementación de la presente Decisión.</w:t>
      </w:r>
    </w:p>
    <w:p w14:paraId="547E3C3D" w14:textId="77777777" w:rsidR="00667942" w:rsidRPr="001B339B" w:rsidRDefault="00667942" w:rsidP="005C2DC9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s-ES_tradnl"/>
        </w:rPr>
      </w:pPr>
    </w:p>
    <w:p w14:paraId="09D9CB34" w14:textId="7DCA0329" w:rsidR="00667942" w:rsidRPr="001B339B" w:rsidRDefault="00667942" w:rsidP="00E1729F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s-ES_tradnl"/>
        </w:rPr>
      </w:pPr>
      <w:r w:rsidRPr="001B339B">
        <w:rPr>
          <w:rFonts w:ascii="Arial" w:eastAsia="Calibri" w:hAnsi="Arial" w:cs="Arial"/>
          <w:b/>
          <w:lang w:val="es-ES_tradnl"/>
        </w:rPr>
        <w:t>Artículo 8.-</w:t>
      </w:r>
      <w:r w:rsidRPr="001B339B">
        <w:rPr>
          <w:rFonts w:ascii="Arial" w:eastAsia="Calibri" w:hAnsi="Arial" w:cs="Arial"/>
          <w:lang w:val="es-ES_tradnl"/>
        </w:rPr>
        <w:t xml:space="preserve"> El informe con las recomendaciones del Observatorio será remitido al Comité Andino Ad-Hoc de Minería Ilegal (CAMI) </w:t>
      </w:r>
      <w:r w:rsidR="00F87E6D" w:rsidRPr="001B339B">
        <w:rPr>
          <w:rFonts w:ascii="Arial" w:eastAsia="Calibri" w:hAnsi="Arial" w:cs="Arial"/>
          <w:lang w:val="es-ES_tradnl"/>
        </w:rPr>
        <w:t>que,</w:t>
      </w:r>
      <w:r w:rsidRPr="001B339B">
        <w:rPr>
          <w:rFonts w:ascii="Arial" w:eastAsia="Calibri" w:hAnsi="Arial" w:cs="Arial"/>
          <w:lang w:val="es-ES_tradnl"/>
        </w:rPr>
        <w:t xml:space="preserve"> de considerarlo pertinente</w:t>
      </w:r>
      <w:r w:rsidR="004B7DF8" w:rsidRPr="001B339B">
        <w:rPr>
          <w:rFonts w:ascii="Arial" w:eastAsia="Calibri" w:hAnsi="Arial" w:cs="Arial"/>
          <w:lang w:val="es-ES_tradnl"/>
        </w:rPr>
        <w:t>,</w:t>
      </w:r>
      <w:r w:rsidRPr="001B339B">
        <w:rPr>
          <w:rFonts w:ascii="Arial" w:eastAsia="Calibri" w:hAnsi="Arial" w:cs="Arial"/>
          <w:lang w:val="es-ES_tradnl"/>
        </w:rPr>
        <w:t xml:space="preserve"> podrá formular y elevar un proyecto de Decisión al Consejo Andino de Ministro de Relaciones Exteriores (CAMRE). </w:t>
      </w:r>
    </w:p>
    <w:p w14:paraId="0355319B" w14:textId="77777777" w:rsidR="00667942" w:rsidRPr="001B339B" w:rsidRDefault="00667942" w:rsidP="005C2DC9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s-ES_tradnl"/>
        </w:rPr>
      </w:pPr>
    </w:p>
    <w:p w14:paraId="765CC51F" w14:textId="77777777" w:rsidR="00667942" w:rsidRPr="001B339B" w:rsidRDefault="00667942" w:rsidP="005C2DC9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s-ES_tradnl"/>
        </w:rPr>
      </w:pPr>
      <w:r w:rsidRPr="001B339B">
        <w:rPr>
          <w:rFonts w:ascii="Arial" w:eastAsia="Calibri" w:hAnsi="Arial" w:cs="Arial"/>
          <w:lang w:val="es-ES_tradnl"/>
        </w:rPr>
        <w:t>La presente Decisión entrará en vigencia a partir de la fecha de su publicación en la Gaceta Oficial del Acuerdo de Cartagena.</w:t>
      </w:r>
    </w:p>
    <w:p w14:paraId="600330D8" w14:textId="77777777" w:rsidR="00667942" w:rsidRPr="001B339B" w:rsidRDefault="00667942" w:rsidP="005C2DC9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s-ES_tradnl"/>
        </w:rPr>
      </w:pPr>
    </w:p>
    <w:p w14:paraId="7575C5AD" w14:textId="77777777" w:rsidR="00667942" w:rsidRPr="001B339B" w:rsidRDefault="00667942" w:rsidP="005C2DC9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s-ES_tradnl"/>
        </w:rPr>
      </w:pPr>
      <w:r w:rsidRPr="001B339B">
        <w:rPr>
          <w:rFonts w:ascii="Arial" w:eastAsia="Calibri" w:hAnsi="Arial" w:cs="Arial"/>
          <w:lang w:val="es-ES_tradnl"/>
        </w:rPr>
        <w:t>Dada en la ciudad de Lima, Perú, a los veintiséis días del mes de mayo del año dos mil diecinueve.</w:t>
      </w:r>
    </w:p>
    <w:p w14:paraId="422D7DAD" w14:textId="77777777" w:rsidR="00667942" w:rsidRPr="001B339B" w:rsidRDefault="00667942" w:rsidP="005C2DC9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s-ES_tradnl"/>
        </w:rPr>
      </w:pPr>
      <w:r w:rsidRPr="001B339B">
        <w:rPr>
          <w:rFonts w:ascii="Arial" w:eastAsia="Calibri" w:hAnsi="Arial" w:cs="Arial"/>
          <w:lang w:val="es-ES_tradnl"/>
        </w:rPr>
        <w:t xml:space="preserve"> </w:t>
      </w:r>
    </w:p>
    <w:p w14:paraId="663B2B30" w14:textId="77777777" w:rsidR="00667942" w:rsidRPr="001B339B" w:rsidRDefault="00667942" w:rsidP="005C2DC9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es-ES_tradnl"/>
        </w:rPr>
      </w:pPr>
    </w:p>
    <w:p w14:paraId="06F4CC5F" w14:textId="77777777" w:rsidR="00740BF9" w:rsidRPr="001B339B" w:rsidRDefault="00740BF9" w:rsidP="005C2DC9">
      <w:pPr>
        <w:ind w:left="4956"/>
        <w:jc w:val="both"/>
        <w:rPr>
          <w:rFonts w:ascii="Arial" w:hAnsi="Arial" w:cs="Arial"/>
        </w:rPr>
      </w:pPr>
    </w:p>
    <w:sectPr w:rsidR="00740BF9" w:rsidRPr="001B339B" w:rsidSect="00B3468C">
      <w:headerReference w:type="default" r:id="rId9"/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71F46" w14:textId="77777777" w:rsidR="009475B0" w:rsidRDefault="009475B0">
      <w:r>
        <w:separator/>
      </w:r>
    </w:p>
  </w:endnote>
  <w:endnote w:type="continuationSeparator" w:id="0">
    <w:p w14:paraId="20962B4B" w14:textId="77777777" w:rsidR="009475B0" w:rsidRDefault="00947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(Cuerpo en alfa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E4DAD" w14:textId="77777777" w:rsidR="009475B0" w:rsidRDefault="009475B0">
      <w:r>
        <w:separator/>
      </w:r>
    </w:p>
  </w:footnote>
  <w:footnote w:type="continuationSeparator" w:id="0">
    <w:p w14:paraId="2EC925AF" w14:textId="77777777" w:rsidR="009475B0" w:rsidRDefault="00947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E97BF" w14:textId="77777777" w:rsidR="000A0B21" w:rsidRDefault="009475B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E0B6D"/>
    <w:multiLevelType w:val="hybridMultilevel"/>
    <w:tmpl w:val="BF76B17A"/>
    <w:lvl w:ilvl="0" w:tplc="458A15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103"/>
    <w:rsid w:val="000A5DF3"/>
    <w:rsid w:val="000C4EED"/>
    <w:rsid w:val="000C4FF8"/>
    <w:rsid w:val="001025A2"/>
    <w:rsid w:val="0012199D"/>
    <w:rsid w:val="0012483F"/>
    <w:rsid w:val="001317EF"/>
    <w:rsid w:val="00146C12"/>
    <w:rsid w:val="001579E8"/>
    <w:rsid w:val="001B339B"/>
    <w:rsid w:val="001C16BA"/>
    <w:rsid w:val="001F5881"/>
    <w:rsid w:val="002034C2"/>
    <w:rsid w:val="00214224"/>
    <w:rsid w:val="002419FE"/>
    <w:rsid w:val="00264E65"/>
    <w:rsid w:val="00283068"/>
    <w:rsid w:val="002B7223"/>
    <w:rsid w:val="002D5B4D"/>
    <w:rsid w:val="002E3CF9"/>
    <w:rsid w:val="002E4839"/>
    <w:rsid w:val="0035568C"/>
    <w:rsid w:val="00397E0B"/>
    <w:rsid w:val="00414563"/>
    <w:rsid w:val="00427674"/>
    <w:rsid w:val="00427B43"/>
    <w:rsid w:val="00475E1B"/>
    <w:rsid w:val="00476103"/>
    <w:rsid w:val="00480983"/>
    <w:rsid w:val="00481A1B"/>
    <w:rsid w:val="00493BB4"/>
    <w:rsid w:val="004B7DF8"/>
    <w:rsid w:val="004E53D5"/>
    <w:rsid w:val="00542528"/>
    <w:rsid w:val="00557C33"/>
    <w:rsid w:val="00581F45"/>
    <w:rsid w:val="00583CC0"/>
    <w:rsid w:val="005B0BD5"/>
    <w:rsid w:val="005C2DC9"/>
    <w:rsid w:val="005C3F0D"/>
    <w:rsid w:val="005E7F9E"/>
    <w:rsid w:val="005F0C4C"/>
    <w:rsid w:val="005F59DD"/>
    <w:rsid w:val="006226BF"/>
    <w:rsid w:val="0062464D"/>
    <w:rsid w:val="00624FD1"/>
    <w:rsid w:val="00651152"/>
    <w:rsid w:val="006578F6"/>
    <w:rsid w:val="00665624"/>
    <w:rsid w:val="00667942"/>
    <w:rsid w:val="0068027A"/>
    <w:rsid w:val="00682BD7"/>
    <w:rsid w:val="006924C2"/>
    <w:rsid w:val="006A46CB"/>
    <w:rsid w:val="006A7BE4"/>
    <w:rsid w:val="006B0505"/>
    <w:rsid w:val="006B5659"/>
    <w:rsid w:val="006F579B"/>
    <w:rsid w:val="00707489"/>
    <w:rsid w:val="00740BF9"/>
    <w:rsid w:val="007B02A6"/>
    <w:rsid w:val="007F2BBB"/>
    <w:rsid w:val="007F5E6C"/>
    <w:rsid w:val="0080098D"/>
    <w:rsid w:val="0083390B"/>
    <w:rsid w:val="00863E33"/>
    <w:rsid w:val="008C1CE6"/>
    <w:rsid w:val="008E0B06"/>
    <w:rsid w:val="0091714B"/>
    <w:rsid w:val="009475B0"/>
    <w:rsid w:val="00947799"/>
    <w:rsid w:val="0096326B"/>
    <w:rsid w:val="00966EC1"/>
    <w:rsid w:val="00980576"/>
    <w:rsid w:val="00984D28"/>
    <w:rsid w:val="009A2E59"/>
    <w:rsid w:val="009D1B76"/>
    <w:rsid w:val="009D77D5"/>
    <w:rsid w:val="00A27F09"/>
    <w:rsid w:val="00A77239"/>
    <w:rsid w:val="00A9313B"/>
    <w:rsid w:val="00AD2420"/>
    <w:rsid w:val="00BC6C4D"/>
    <w:rsid w:val="00BE1A84"/>
    <w:rsid w:val="00BF1449"/>
    <w:rsid w:val="00C02827"/>
    <w:rsid w:val="00C46719"/>
    <w:rsid w:val="00C51161"/>
    <w:rsid w:val="00C65EFD"/>
    <w:rsid w:val="00CF0C53"/>
    <w:rsid w:val="00CF412F"/>
    <w:rsid w:val="00D07109"/>
    <w:rsid w:val="00D67F16"/>
    <w:rsid w:val="00D834B0"/>
    <w:rsid w:val="00D95699"/>
    <w:rsid w:val="00DA613A"/>
    <w:rsid w:val="00DD3FC9"/>
    <w:rsid w:val="00DE09F2"/>
    <w:rsid w:val="00DE426E"/>
    <w:rsid w:val="00DF666C"/>
    <w:rsid w:val="00E1729F"/>
    <w:rsid w:val="00E719EA"/>
    <w:rsid w:val="00EA3ED4"/>
    <w:rsid w:val="00EE4DB2"/>
    <w:rsid w:val="00F24A8E"/>
    <w:rsid w:val="00F30483"/>
    <w:rsid w:val="00F5140E"/>
    <w:rsid w:val="00F75A0F"/>
    <w:rsid w:val="00F8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0B3B7"/>
  <w15:docId w15:val="{ECB63AF2-67A9-43B1-89A6-635CE0F4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 (Cuerpo en alfa"/>
        <w:sz w:val="22"/>
        <w:szCs w:val="24"/>
        <w:lang w:val="es-P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103"/>
    <w:rPr>
      <w:rFonts w:ascii="Times New Roman" w:eastAsia="Times New Roman" w:hAnsi="Times New Roman" w:cs="Times New Roman"/>
      <w:sz w:val="24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76103"/>
    <w:pPr>
      <w:tabs>
        <w:tab w:val="center" w:pos="4252"/>
        <w:tab w:val="right" w:pos="8504"/>
      </w:tabs>
      <w:jc w:val="both"/>
    </w:pPr>
    <w:rPr>
      <w:rFonts w:ascii="Arial" w:hAnsi="Arial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476103"/>
    <w:rPr>
      <w:rFonts w:eastAsia="Times New Roman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199D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199D"/>
    <w:rPr>
      <w:rFonts w:ascii="Times New Roman" w:eastAsia="Times New Roman" w:hAnsi="Times New Roman" w:cs="Times New Roman"/>
      <w:sz w:val="18"/>
      <w:szCs w:val="18"/>
      <w:lang w:eastAsia="es-PE"/>
    </w:rPr>
  </w:style>
  <w:style w:type="paragraph" w:styleId="Piedepgina">
    <w:name w:val="footer"/>
    <w:basedOn w:val="Normal"/>
    <w:link w:val="PiedepginaCar"/>
    <w:uiPriority w:val="99"/>
    <w:semiHidden/>
    <w:unhideWhenUsed/>
    <w:rsid w:val="00624F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24FD1"/>
    <w:rPr>
      <w:rFonts w:ascii="Times New Roman" w:eastAsia="Times New Roman" w:hAnsi="Times New Roman" w:cs="Times New Roman"/>
      <w:sz w:val="24"/>
      <w:lang w:eastAsia="es-PE"/>
    </w:rPr>
  </w:style>
  <w:style w:type="character" w:styleId="Nmerodepgina">
    <w:name w:val="page number"/>
    <w:basedOn w:val="Fuentedeprrafopredeter"/>
    <w:rsid w:val="00624FD1"/>
  </w:style>
  <w:style w:type="paragraph" w:styleId="Prrafodelista">
    <w:name w:val="List Paragraph"/>
    <w:basedOn w:val="Normal"/>
    <w:uiPriority w:val="34"/>
    <w:qFormat/>
    <w:rsid w:val="006679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7B02A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02A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B02A6"/>
    <w:rPr>
      <w:rFonts w:ascii="Times New Roman" w:eastAsia="Times New Roman" w:hAnsi="Times New Roman" w:cs="Times New Roman"/>
      <w:sz w:val="20"/>
      <w:szCs w:val="20"/>
      <w:lang w:eastAsia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02A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B02A6"/>
    <w:rPr>
      <w:rFonts w:ascii="Times New Roman" w:eastAsia="Times New Roman" w:hAnsi="Times New Roman" w:cs="Times New Roman"/>
      <w:b/>
      <w:bCs/>
      <w:sz w:val="20"/>
      <w:szCs w:val="20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47929-6EE9-4F7B-B834-11181B56D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ABOG. PATRICIA OBLITAS VILLEGAS</dc:creator>
  <cp:lastModifiedBy>Miguel Hinostroza Villafuerte</cp:lastModifiedBy>
  <cp:revision>10</cp:revision>
  <cp:lastPrinted>2019-03-15T16:29:00Z</cp:lastPrinted>
  <dcterms:created xsi:type="dcterms:W3CDTF">2019-05-28T13:36:00Z</dcterms:created>
  <dcterms:modified xsi:type="dcterms:W3CDTF">2019-05-28T22:01:00Z</dcterms:modified>
</cp:coreProperties>
</file>