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C8" w:rsidRPr="00BC5179" w:rsidRDefault="007E24C8" w:rsidP="007E24C8">
      <w:pPr>
        <w:ind w:right="5017"/>
        <w:rPr>
          <w:rFonts w:ascii="Arial" w:hAnsi="Arial" w:cs="Arial"/>
          <w:lang w:val="es-PE"/>
        </w:rPr>
      </w:pPr>
      <w:r w:rsidRPr="00BC5179">
        <w:rPr>
          <w:rFonts w:ascii="Arial" w:hAnsi="Arial" w:cs="Arial"/>
          <w:lang w:val="es-PE"/>
        </w:rPr>
        <w:t xml:space="preserve">PERIODO </w:t>
      </w:r>
      <w:r>
        <w:rPr>
          <w:rFonts w:ascii="Arial" w:hAnsi="Arial" w:cs="Arial"/>
          <w:lang w:val="es-PE"/>
        </w:rPr>
        <w:t>CIE</w:t>
      </w:r>
      <w:r w:rsidRPr="00BC5179">
        <w:rPr>
          <w:rFonts w:ascii="Arial" w:hAnsi="Arial" w:cs="Arial"/>
          <w:lang w:val="es-PE"/>
        </w:rPr>
        <w:t xml:space="preserve">NTO </w:t>
      </w:r>
      <w:r>
        <w:rPr>
          <w:rFonts w:ascii="Arial" w:hAnsi="Arial" w:cs="Arial"/>
          <w:lang w:val="es-PE"/>
        </w:rPr>
        <w:t>CUARENTA Y UNO</w:t>
      </w:r>
      <w:r w:rsidRPr="00BC5179">
        <w:rPr>
          <w:rFonts w:ascii="Arial" w:hAnsi="Arial" w:cs="Arial"/>
          <w:lang w:val="es-PE"/>
        </w:rPr>
        <w:t xml:space="preserve"> DE SESIONES</w:t>
      </w:r>
    </w:p>
    <w:p w:rsidR="007E24C8" w:rsidRPr="00BC5179" w:rsidRDefault="007E24C8" w:rsidP="007E24C8">
      <w:pPr>
        <w:ind w:right="5017"/>
        <w:rPr>
          <w:rFonts w:ascii="Arial" w:hAnsi="Arial" w:cs="Arial"/>
          <w:lang w:val="es-PE"/>
        </w:rPr>
      </w:pPr>
      <w:r>
        <w:rPr>
          <w:rFonts w:ascii="Arial" w:hAnsi="Arial" w:cs="Arial"/>
          <w:lang w:val="es-PE"/>
        </w:rPr>
        <w:t>EXTRAORDINARIA</w:t>
      </w:r>
      <w:r w:rsidRPr="00BC5179">
        <w:rPr>
          <w:rFonts w:ascii="Arial" w:hAnsi="Arial" w:cs="Arial"/>
          <w:lang w:val="es-PE"/>
        </w:rPr>
        <w:t xml:space="preserve"> DE LA COMISION</w:t>
      </w:r>
    </w:p>
    <w:p w:rsidR="007E24C8" w:rsidRPr="00BC5179" w:rsidRDefault="007E24C8" w:rsidP="007E24C8">
      <w:pPr>
        <w:rPr>
          <w:rFonts w:ascii="Arial" w:hAnsi="Arial" w:cs="Arial"/>
          <w:lang w:val="es-PE"/>
        </w:rPr>
      </w:pPr>
      <w:r>
        <w:rPr>
          <w:rFonts w:ascii="Arial" w:hAnsi="Arial" w:cs="Arial"/>
          <w:lang w:val="es-PE"/>
        </w:rPr>
        <w:t>2</w:t>
      </w:r>
      <w:r w:rsidRPr="00BC5179">
        <w:rPr>
          <w:rFonts w:ascii="Arial" w:hAnsi="Arial" w:cs="Arial"/>
          <w:lang w:val="es-PE"/>
        </w:rPr>
        <w:t xml:space="preserve">4 DE </w:t>
      </w:r>
      <w:r>
        <w:rPr>
          <w:rFonts w:ascii="Arial" w:hAnsi="Arial" w:cs="Arial"/>
          <w:lang w:val="es-PE"/>
        </w:rPr>
        <w:t>ABRIL</w:t>
      </w:r>
      <w:r w:rsidRPr="00BC5179">
        <w:rPr>
          <w:rFonts w:ascii="Arial" w:hAnsi="Arial" w:cs="Arial"/>
          <w:lang w:val="es-PE"/>
        </w:rPr>
        <w:t xml:space="preserve"> DE 201</w:t>
      </w:r>
      <w:r>
        <w:rPr>
          <w:rFonts w:ascii="Arial" w:hAnsi="Arial" w:cs="Arial"/>
          <w:lang w:val="es-PE"/>
        </w:rPr>
        <w:t>7</w:t>
      </w:r>
    </w:p>
    <w:p w:rsidR="00C2111C" w:rsidRPr="009D7FAA" w:rsidRDefault="00C2111C" w:rsidP="00C2111C">
      <w:pPr>
        <w:tabs>
          <w:tab w:val="left" w:pos="2385"/>
        </w:tabs>
        <w:ind w:right="4876"/>
        <w:rPr>
          <w:rFonts w:ascii="Arial" w:hAnsi="Arial" w:cs="Arial"/>
          <w:sz w:val="18"/>
          <w:szCs w:val="32"/>
          <w:lang w:val="es-ES_tradnl"/>
        </w:rPr>
      </w:pPr>
      <w:r w:rsidRPr="00A44893">
        <w:rPr>
          <w:rFonts w:ascii="Arial" w:hAnsi="Arial" w:cs="Arial"/>
          <w:lang w:val="es-ES_tradnl"/>
        </w:rPr>
        <w:t>VIDEOCONFERENCIA</w:t>
      </w:r>
    </w:p>
    <w:p w:rsidR="002D71E5" w:rsidRPr="000D2457" w:rsidRDefault="002D71E5" w:rsidP="002D71E5">
      <w:pPr>
        <w:jc w:val="both"/>
        <w:rPr>
          <w:rFonts w:ascii="Arial" w:hAnsi="Arial" w:cs="Arial"/>
          <w:b/>
          <w:sz w:val="24"/>
          <w:szCs w:val="24"/>
          <w:lang w:val="es-ES_tradnl"/>
        </w:rPr>
      </w:pPr>
    </w:p>
    <w:p w:rsidR="002D71E5" w:rsidRPr="00F10F2D" w:rsidRDefault="002D71E5" w:rsidP="002D71E5">
      <w:pPr>
        <w:jc w:val="center"/>
        <w:rPr>
          <w:rFonts w:ascii="Arial" w:hAnsi="Arial" w:cs="Arial"/>
          <w:b/>
          <w:sz w:val="24"/>
          <w:szCs w:val="24"/>
          <w:u w:val="single"/>
          <w:lang w:val="es-ES_tradnl"/>
        </w:rPr>
      </w:pPr>
      <w:r w:rsidRPr="00F10F2D">
        <w:rPr>
          <w:rFonts w:ascii="Arial" w:hAnsi="Arial" w:cs="Arial"/>
          <w:b/>
          <w:sz w:val="24"/>
          <w:szCs w:val="24"/>
          <w:u w:val="single"/>
          <w:lang w:val="es-ES_tradnl"/>
        </w:rPr>
        <w:t xml:space="preserve">DECISIÓN </w:t>
      </w:r>
      <w:r w:rsidR="00F10F2D" w:rsidRPr="00F10F2D">
        <w:rPr>
          <w:rFonts w:ascii="Arial" w:hAnsi="Arial" w:cs="Arial"/>
          <w:b/>
          <w:sz w:val="24"/>
          <w:szCs w:val="24"/>
          <w:u w:val="single"/>
          <w:lang w:val="es-ES_tradnl"/>
        </w:rPr>
        <w:t>817</w:t>
      </w:r>
    </w:p>
    <w:p w:rsidR="002D71E5" w:rsidRPr="000D2457" w:rsidRDefault="002D71E5" w:rsidP="002D71E5">
      <w:pPr>
        <w:jc w:val="center"/>
        <w:rPr>
          <w:rFonts w:ascii="Arial" w:hAnsi="Arial" w:cs="Arial"/>
          <w:b/>
          <w:sz w:val="24"/>
          <w:szCs w:val="24"/>
          <w:lang w:val="es-ES_tradnl"/>
        </w:rPr>
      </w:pPr>
    </w:p>
    <w:p w:rsidR="002D71E5" w:rsidRPr="000D2457" w:rsidRDefault="002D71E5" w:rsidP="002D71E5">
      <w:pPr>
        <w:pStyle w:val="Textoindependiente"/>
        <w:tabs>
          <w:tab w:val="left" w:pos="4500"/>
        </w:tabs>
        <w:spacing w:after="0" w:line="240" w:lineRule="auto"/>
        <w:ind w:left="4111"/>
        <w:jc w:val="both"/>
        <w:rPr>
          <w:rFonts w:ascii="Arial" w:hAnsi="Arial" w:cs="Arial"/>
          <w:sz w:val="24"/>
          <w:szCs w:val="24"/>
        </w:rPr>
      </w:pPr>
      <w:r w:rsidRPr="000D2457">
        <w:rPr>
          <w:rFonts w:ascii="Arial" w:hAnsi="Arial" w:cs="Arial"/>
          <w:sz w:val="24"/>
          <w:szCs w:val="24"/>
          <w:lang w:val="es-ES_tradnl"/>
        </w:rPr>
        <w:t xml:space="preserve">Tratamiento aduanero especial </w:t>
      </w:r>
      <w:r w:rsidRPr="000D2457">
        <w:rPr>
          <w:rFonts w:ascii="Arial" w:hAnsi="Arial" w:cs="Arial"/>
          <w:sz w:val="24"/>
          <w:szCs w:val="24"/>
        </w:rPr>
        <w:t>de patrones, instrumentos de medición, materiales de referencia e ítems de ensayo de aptitud entre los Países Miembros de la Comunidad Andina y con terceros países.</w:t>
      </w:r>
    </w:p>
    <w:p w:rsidR="002D71E5" w:rsidRPr="005914A7" w:rsidRDefault="002D71E5" w:rsidP="002D71E5">
      <w:pPr>
        <w:jc w:val="right"/>
        <w:rPr>
          <w:b/>
          <w:sz w:val="24"/>
          <w:szCs w:val="24"/>
          <w:lang w:val="es-ES_tradnl"/>
        </w:rPr>
      </w:pPr>
    </w:p>
    <w:p w:rsidR="002D71E5" w:rsidRPr="005914A7" w:rsidRDefault="002D71E5" w:rsidP="002D71E5">
      <w:pPr>
        <w:jc w:val="both"/>
        <w:rPr>
          <w:b/>
          <w:sz w:val="24"/>
          <w:szCs w:val="24"/>
          <w:lang w:val="es-ES_tradnl"/>
        </w:rPr>
      </w:pPr>
    </w:p>
    <w:p w:rsidR="002D71E5" w:rsidRPr="000D2457" w:rsidRDefault="002D71E5" w:rsidP="002D71E5">
      <w:pPr>
        <w:jc w:val="both"/>
        <w:rPr>
          <w:rFonts w:ascii="Arial" w:hAnsi="Arial" w:cs="Arial"/>
          <w:sz w:val="24"/>
          <w:szCs w:val="24"/>
          <w:lang w:val="es-ES_tradnl"/>
        </w:rPr>
      </w:pPr>
      <w:r w:rsidRPr="000D2457">
        <w:rPr>
          <w:rFonts w:ascii="Arial" w:hAnsi="Arial" w:cs="Arial"/>
          <w:b/>
          <w:sz w:val="24"/>
          <w:szCs w:val="24"/>
          <w:lang w:val="es-ES_tradnl"/>
        </w:rPr>
        <w:t>LA COMISIÓN DE LA COMUNIDAD ANDINA</w:t>
      </w:r>
      <w:r w:rsidRPr="000D2457">
        <w:rPr>
          <w:rFonts w:ascii="Arial" w:hAnsi="Arial" w:cs="Arial"/>
          <w:sz w:val="24"/>
          <w:szCs w:val="24"/>
          <w:lang w:val="es-ES_tradnl"/>
        </w:rPr>
        <w:t xml:space="preserve">, </w:t>
      </w:r>
    </w:p>
    <w:p w:rsidR="002D71E5" w:rsidRPr="000D2457" w:rsidRDefault="002D71E5" w:rsidP="002D71E5">
      <w:pPr>
        <w:jc w:val="both"/>
        <w:rPr>
          <w:rFonts w:ascii="Arial" w:hAnsi="Arial" w:cs="Arial"/>
          <w:sz w:val="24"/>
          <w:szCs w:val="24"/>
          <w:lang w:val="es-ES_tradnl"/>
        </w:rPr>
      </w:pPr>
      <w:r w:rsidRPr="000D2457">
        <w:rPr>
          <w:rFonts w:ascii="Arial" w:hAnsi="Arial" w:cs="Arial"/>
          <w:sz w:val="24"/>
          <w:szCs w:val="24"/>
          <w:lang w:val="es-ES_tradnl"/>
        </w:rPr>
        <w:tab/>
      </w:r>
    </w:p>
    <w:p w:rsidR="002D71E5" w:rsidRPr="000D2457" w:rsidRDefault="002D71E5" w:rsidP="002D71E5">
      <w:pPr>
        <w:ind w:firstLine="708"/>
        <w:jc w:val="both"/>
        <w:rPr>
          <w:rFonts w:ascii="Arial" w:hAnsi="Arial" w:cs="Arial"/>
          <w:sz w:val="24"/>
          <w:szCs w:val="24"/>
          <w:lang w:val="es-ES_tradnl"/>
        </w:rPr>
      </w:pPr>
      <w:r w:rsidRPr="000D2457">
        <w:rPr>
          <w:rFonts w:ascii="Arial" w:hAnsi="Arial" w:cs="Arial"/>
          <w:b/>
          <w:sz w:val="24"/>
          <w:szCs w:val="24"/>
          <w:lang w:val="es-ES_tradnl"/>
        </w:rPr>
        <w:t>VISTOS:</w:t>
      </w:r>
      <w:r w:rsidRPr="000D2457">
        <w:rPr>
          <w:rFonts w:ascii="Arial" w:hAnsi="Arial" w:cs="Arial"/>
          <w:sz w:val="24"/>
          <w:szCs w:val="24"/>
          <w:lang w:val="es-ES_tradnl"/>
        </w:rPr>
        <w:t xml:space="preserve"> Los artículos 3 y 58 del Acuerdo de Cartagena y las Decisiones 376, 419 y  671; y,</w:t>
      </w:r>
    </w:p>
    <w:p w:rsidR="002D71E5" w:rsidRPr="000D2457" w:rsidRDefault="002D71E5" w:rsidP="002D71E5">
      <w:pPr>
        <w:ind w:firstLine="708"/>
        <w:jc w:val="both"/>
        <w:rPr>
          <w:rFonts w:ascii="Arial" w:hAnsi="Arial" w:cs="Arial"/>
          <w:sz w:val="24"/>
          <w:szCs w:val="24"/>
          <w:lang w:val="es-ES_tradnl"/>
        </w:rPr>
      </w:pPr>
    </w:p>
    <w:p w:rsidR="002D71E5" w:rsidRPr="000D2457" w:rsidRDefault="002D71E5" w:rsidP="002D71E5">
      <w:pPr>
        <w:ind w:firstLine="708"/>
        <w:jc w:val="both"/>
        <w:rPr>
          <w:rFonts w:ascii="Arial" w:hAnsi="Arial" w:cs="Arial"/>
          <w:b/>
          <w:sz w:val="24"/>
          <w:szCs w:val="24"/>
          <w:lang w:val="es-ES_tradnl"/>
        </w:rPr>
      </w:pPr>
      <w:r w:rsidRPr="000D2457">
        <w:rPr>
          <w:rFonts w:ascii="Arial" w:hAnsi="Arial" w:cs="Arial"/>
          <w:b/>
          <w:sz w:val="24"/>
          <w:szCs w:val="24"/>
          <w:lang w:val="es-ES_tradnl"/>
        </w:rPr>
        <w:t>CONSIDERANDO:</w:t>
      </w:r>
    </w:p>
    <w:p w:rsidR="002D71E5" w:rsidRPr="000D2457" w:rsidRDefault="002D71E5" w:rsidP="002D71E5">
      <w:pPr>
        <w:jc w:val="both"/>
        <w:rPr>
          <w:rFonts w:ascii="Arial" w:hAnsi="Arial" w:cs="Arial"/>
          <w:sz w:val="24"/>
          <w:szCs w:val="24"/>
          <w:lang w:val="es-ES_tradnl"/>
        </w:rPr>
      </w:pPr>
    </w:p>
    <w:p w:rsidR="002D71E5" w:rsidRPr="000D2457" w:rsidRDefault="002D71E5" w:rsidP="00760A74">
      <w:pPr>
        <w:pStyle w:val="Prrafodelista"/>
        <w:spacing w:after="0" w:line="240" w:lineRule="auto"/>
        <w:ind w:left="0"/>
        <w:jc w:val="both"/>
        <w:rPr>
          <w:rFonts w:ascii="Arial" w:hAnsi="Arial" w:cs="Arial"/>
          <w:sz w:val="24"/>
          <w:szCs w:val="24"/>
          <w:lang w:val="es-ES_tradnl"/>
        </w:rPr>
      </w:pPr>
      <w:r w:rsidRPr="000D2457">
        <w:rPr>
          <w:rFonts w:ascii="Arial" w:hAnsi="Arial" w:cs="Arial"/>
          <w:sz w:val="24"/>
          <w:szCs w:val="24"/>
          <w:lang w:val="es-ES_tradnl"/>
        </w:rPr>
        <w:t>Que el artículo 3 del Acuerdo de Cartagena prevé que para alcanzar los objetivos de la integración subregional andina se aproximarán las legislaciones nacionales en las materias pertinentes;</w:t>
      </w:r>
    </w:p>
    <w:p w:rsidR="002D71E5" w:rsidRPr="000D2457" w:rsidRDefault="002D71E5" w:rsidP="002D71E5">
      <w:pPr>
        <w:jc w:val="both"/>
        <w:rPr>
          <w:rFonts w:ascii="Arial" w:hAnsi="Arial" w:cs="Arial"/>
          <w:sz w:val="24"/>
          <w:szCs w:val="24"/>
          <w:lang w:val="es-ES_tradnl"/>
        </w:rPr>
      </w:pPr>
    </w:p>
    <w:p w:rsidR="002D71E5" w:rsidRPr="000D2457" w:rsidRDefault="002D71E5" w:rsidP="00760A74">
      <w:pPr>
        <w:pStyle w:val="Prrafodelista"/>
        <w:spacing w:after="0" w:line="240" w:lineRule="auto"/>
        <w:ind w:left="0"/>
        <w:jc w:val="both"/>
        <w:rPr>
          <w:rFonts w:ascii="Arial" w:hAnsi="Arial" w:cs="Arial"/>
          <w:sz w:val="24"/>
          <w:szCs w:val="24"/>
          <w:lang w:val="es-ES_tradnl"/>
        </w:rPr>
      </w:pPr>
      <w:r w:rsidRPr="000D2457">
        <w:rPr>
          <w:rFonts w:ascii="Arial" w:hAnsi="Arial" w:cs="Arial"/>
          <w:sz w:val="24"/>
          <w:szCs w:val="24"/>
          <w:lang w:val="es-ES_tradnl"/>
        </w:rPr>
        <w:t xml:space="preserve">Que la Decisión 376 modificada por la Decisión 419 estableció el Sistema Andino de Normalización, Ensayos, Certificación, Reglamentos Técnicos y Metrología, con el objeto de facilitar el comercio </w:t>
      </w:r>
      <w:proofErr w:type="spellStart"/>
      <w:r w:rsidRPr="000D2457">
        <w:rPr>
          <w:rFonts w:ascii="Arial" w:hAnsi="Arial" w:cs="Arial"/>
          <w:sz w:val="24"/>
          <w:szCs w:val="24"/>
          <w:lang w:val="es-ES_tradnl"/>
        </w:rPr>
        <w:t>intrasubregional</w:t>
      </w:r>
      <w:proofErr w:type="spellEnd"/>
      <w:r w:rsidRPr="000D2457">
        <w:rPr>
          <w:rFonts w:ascii="Arial" w:hAnsi="Arial" w:cs="Arial"/>
          <w:sz w:val="24"/>
          <w:szCs w:val="24"/>
          <w:lang w:val="es-ES_tradnl"/>
        </w:rPr>
        <w:t>, a través de la mejora en la calidad de los productos y servicios y la eliminación de las restricciones técnicas innecesarias al comercio;</w:t>
      </w:r>
    </w:p>
    <w:p w:rsidR="002D71E5" w:rsidRPr="000D2457" w:rsidRDefault="002D71E5" w:rsidP="002D71E5">
      <w:pPr>
        <w:jc w:val="both"/>
        <w:rPr>
          <w:rFonts w:ascii="Arial" w:hAnsi="Arial" w:cs="Arial"/>
          <w:sz w:val="24"/>
          <w:szCs w:val="24"/>
          <w:lang w:val="es-ES_tradnl"/>
        </w:rPr>
      </w:pPr>
    </w:p>
    <w:p w:rsidR="002D71E5" w:rsidRPr="000D2457" w:rsidRDefault="002D71E5" w:rsidP="00760A74">
      <w:pPr>
        <w:pStyle w:val="Prrafodelista"/>
        <w:spacing w:after="0" w:line="240" w:lineRule="auto"/>
        <w:ind w:left="0"/>
        <w:jc w:val="both"/>
        <w:rPr>
          <w:rFonts w:ascii="Arial" w:hAnsi="Arial" w:cs="Arial"/>
          <w:sz w:val="24"/>
          <w:szCs w:val="24"/>
          <w:lang w:val="es-ES_tradnl"/>
        </w:rPr>
      </w:pPr>
      <w:r w:rsidRPr="000D2457">
        <w:rPr>
          <w:rFonts w:ascii="Arial" w:hAnsi="Arial" w:cs="Arial"/>
          <w:sz w:val="24"/>
          <w:szCs w:val="24"/>
          <w:lang w:val="es-ES_tradnl"/>
        </w:rPr>
        <w:t xml:space="preserve">Que de conformidad con lo dispuesto en los artículos 15 y 29 de la Decisión 419, modificatoria de la Decisión 376, los laboratorios que prestan servicios metrológicos deben estar acreditados por el Organismo Nacional de Acreditación de cada País Miembro, y requieren para ello participar en programas de calibración de patrones, comparación </w:t>
      </w:r>
      <w:proofErr w:type="spellStart"/>
      <w:r w:rsidRPr="000D2457">
        <w:rPr>
          <w:rFonts w:ascii="Arial" w:hAnsi="Arial" w:cs="Arial"/>
          <w:sz w:val="24"/>
          <w:szCs w:val="24"/>
          <w:lang w:val="es-ES_tradnl"/>
        </w:rPr>
        <w:t>interlaboratorios</w:t>
      </w:r>
      <w:proofErr w:type="spellEnd"/>
      <w:r w:rsidRPr="000D2457">
        <w:rPr>
          <w:rFonts w:ascii="Arial" w:hAnsi="Arial" w:cs="Arial"/>
          <w:sz w:val="24"/>
          <w:szCs w:val="24"/>
          <w:lang w:val="es-ES_tradnl"/>
        </w:rPr>
        <w:t xml:space="preserve"> y de ensayos de aptitud;</w:t>
      </w:r>
    </w:p>
    <w:p w:rsidR="002D71E5" w:rsidRPr="000D2457" w:rsidRDefault="002D71E5" w:rsidP="002D71E5">
      <w:pPr>
        <w:jc w:val="both"/>
        <w:rPr>
          <w:rFonts w:ascii="Arial" w:hAnsi="Arial" w:cs="Arial"/>
          <w:sz w:val="24"/>
          <w:szCs w:val="24"/>
          <w:lang w:val="es-ES_tradnl" w:eastAsia="es-VE"/>
        </w:rPr>
      </w:pPr>
    </w:p>
    <w:p w:rsidR="002D71E5" w:rsidRPr="000D2457" w:rsidRDefault="002D71E5" w:rsidP="00760A74">
      <w:pPr>
        <w:pStyle w:val="Prrafodelista"/>
        <w:spacing w:after="0" w:line="240" w:lineRule="auto"/>
        <w:ind w:left="0"/>
        <w:jc w:val="both"/>
        <w:rPr>
          <w:rFonts w:ascii="Arial" w:hAnsi="Arial" w:cs="Arial"/>
          <w:sz w:val="24"/>
          <w:szCs w:val="24"/>
          <w:lang w:val="es-ES_tradnl" w:eastAsia="es-VE"/>
        </w:rPr>
      </w:pPr>
      <w:r w:rsidRPr="000D2457">
        <w:rPr>
          <w:rFonts w:ascii="Arial" w:hAnsi="Arial" w:cs="Arial"/>
          <w:sz w:val="24"/>
          <w:szCs w:val="24"/>
          <w:lang w:val="es-ES_tradnl" w:eastAsia="es-VE"/>
        </w:rPr>
        <w:t xml:space="preserve">Que los </w:t>
      </w:r>
      <w:r w:rsidRPr="000D2457">
        <w:rPr>
          <w:rFonts w:ascii="Arial" w:hAnsi="Arial" w:cs="Arial"/>
          <w:sz w:val="24"/>
          <w:szCs w:val="24"/>
          <w:lang w:val="es-ES_tradnl"/>
        </w:rPr>
        <w:t>patrones de medición de los Institutos Nacionales de Metrología requieren que sus mediciones sean trazables al Sistema Internacional de Unidades, por lo que su calibración</w:t>
      </w:r>
      <w:r w:rsidRPr="000D2457">
        <w:rPr>
          <w:rFonts w:ascii="Arial" w:hAnsi="Arial" w:cs="Arial"/>
          <w:sz w:val="24"/>
          <w:szCs w:val="24"/>
          <w:lang w:val="es-ES_tradnl" w:eastAsia="es-VE"/>
        </w:rPr>
        <w:t xml:space="preserve"> demanda que éstos sean transportados fuera de las fronteras de cada País Miembro para ser comparados con patrones de mayor jerarquía metrológica;</w:t>
      </w:r>
    </w:p>
    <w:p w:rsidR="002D71E5" w:rsidRPr="000D2457" w:rsidRDefault="002D71E5" w:rsidP="002D71E5">
      <w:pPr>
        <w:jc w:val="both"/>
        <w:rPr>
          <w:rFonts w:ascii="Arial" w:hAnsi="Arial" w:cs="Arial"/>
          <w:sz w:val="24"/>
          <w:szCs w:val="24"/>
          <w:lang w:val="es-ES_tradnl" w:eastAsia="es-VE"/>
        </w:rPr>
      </w:pPr>
    </w:p>
    <w:p w:rsidR="002D71E5" w:rsidRPr="000D2457" w:rsidRDefault="002D71E5" w:rsidP="00760A74">
      <w:pPr>
        <w:pStyle w:val="Prrafodelista"/>
        <w:spacing w:after="0" w:line="240" w:lineRule="auto"/>
        <w:ind w:left="0"/>
        <w:jc w:val="both"/>
        <w:rPr>
          <w:rFonts w:ascii="Arial" w:hAnsi="Arial" w:cs="Arial"/>
          <w:sz w:val="24"/>
          <w:szCs w:val="24"/>
          <w:lang w:val="es-ES_tradnl" w:eastAsia="es-VE"/>
        </w:rPr>
      </w:pPr>
      <w:r w:rsidRPr="000D2457">
        <w:rPr>
          <w:rFonts w:ascii="Arial" w:hAnsi="Arial" w:cs="Arial"/>
          <w:sz w:val="24"/>
          <w:szCs w:val="24"/>
          <w:lang w:val="es-ES_tradnl" w:eastAsia="es-VE"/>
        </w:rPr>
        <w:t xml:space="preserve">Que los Institutos Nacionales de Metrología, así como los Organismos Nacionales de Acreditación realizan programas de comparación </w:t>
      </w:r>
      <w:proofErr w:type="spellStart"/>
      <w:r w:rsidRPr="000D2457">
        <w:rPr>
          <w:rFonts w:ascii="Arial" w:hAnsi="Arial" w:cs="Arial"/>
          <w:sz w:val="24"/>
          <w:szCs w:val="24"/>
          <w:lang w:val="es-ES_tradnl" w:eastAsia="es-VE"/>
        </w:rPr>
        <w:t>interlaboratorios</w:t>
      </w:r>
      <w:proofErr w:type="spellEnd"/>
      <w:r w:rsidRPr="000D2457">
        <w:rPr>
          <w:rFonts w:ascii="Arial" w:hAnsi="Arial" w:cs="Arial"/>
          <w:sz w:val="24"/>
          <w:szCs w:val="24"/>
          <w:lang w:val="es-ES_tradnl" w:eastAsia="es-VE"/>
        </w:rPr>
        <w:t xml:space="preserve"> y ensayos de aptitud como una herramienta básica para la evaluación de su desempeño y el </w:t>
      </w:r>
      <w:r w:rsidRPr="000D2457">
        <w:rPr>
          <w:rFonts w:ascii="Arial" w:hAnsi="Arial" w:cs="Arial"/>
          <w:sz w:val="24"/>
          <w:szCs w:val="24"/>
          <w:lang w:val="es-ES_tradnl" w:eastAsia="es-VE"/>
        </w:rPr>
        <w:lastRenderedPageBreak/>
        <w:t xml:space="preserve">aseguramiento de la calidad de los resultados que emiten los laboratorios participantes; </w:t>
      </w:r>
    </w:p>
    <w:p w:rsidR="002D71E5" w:rsidRPr="000D2457" w:rsidRDefault="002D71E5" w:rsidP="002D71E5">
      <w:pPr>
        <w:jc w:val="both"/>
        <w:rPr>
          <w:rFonts w:ascii="Arial" w:hAnsi="Arial" w:cs="Arial"/>
          <w:sz w:val="24"/>
          <w:szCs w:val="24"/>
          <w:lang w:val="es-ES_tradnl" w:eastAsia="es-VE"/>
        </w:rPr>
      </w:pPr>
    </w:p>
    <w:p w:rsidR="002D71E5" w:rsidRPr="000D2457" w:rsidRDefault="002D71E5" w:rsidP="00760A74">
      <w:pPr>
        <w:pStyle w:val="Prrafodelista"/>
        <w:spacing w:after="0" w:line="240" w:lineRule="auto"/>
        <w:ind w:left="0"/>
        <w:jc w:val="both"/>
        <w:rPr>
          <w:rFonts w:ascii="Arial" w:hAnsi="Arial" w:cs="Arial"/>
          <w:sz w:val="24"/>
          <w:szCs w:val="24"/>
          <w:lang w:val="es-ES_tradnl" w:eastAsia="es-VE"/>
        </w:rPr>
      </w:pPr>
      <w:r w:rsidRPr="000D2457">
        <w:rPr>
          <w:rFonts w:ascii="Arial" w:hAnsi="Arial" w:cs="Arial"/>
          <w:sz w:val="24"/>
          <w:szCs w:val="24"/>
          <w:lang w:val="es-ES_tradnl" w:eastAsia="es-VE"/>
        </w:rPr>
        <w:t>Que asimismo, los Organismos Nacionales de Acreditación organizan y coordinan ensayos de aptitud donde participan laboratorios de calibración y ensayos de carácter público y privado, los cuales permiten obtener información sobre el desempeño de los laboratorios participantes;</w:t>
      </w:r>
    </w:p>
    <w:p w:rsidR="002D71E5" w:rsidRPr="000D2457" w:rsidRDefault="002D71E5" w:rsidP="002D71E5">
      <w:pPr>
        <w:jc w:val="both"/>
        <w:rPr>
          <w:rFonts w:ascii="Arial" w:hAnsi="Arial" w:cs="Arial"/>
          <w:sz w:val="24"/>
          <w:szCs w:val="24"/>
          <w:lang w:val="es-ES_tradnl" w:eastAsia="es-VE"/>
        </w:rPr>
      </w:pPr>
    </w:p>
    <w:p w:rsidR="002D71E5" w:rsidRPr="000D2457" w:rsidRDefault="002D71E5" w:rsidP="00760A74">
      <w:pPr>
        <w:pStyle w:val="Prrafodelista"/>
        <w:spacing w:after="0" w:line="240" w:lineRule="auto"/>
        <w:ind w:left="0"/>
        <w:jc w:val="both"/>
        <w:rPr>
          <w:rFonts w:ascii="Arial" w:hAnsi="Arial" w:cs="Arial"/>
          <w:sz w:val="24"/>
          <w:szCs w:val="24"/>
          <w:lang w:val="es-ES_tradnl" w:eastAsia="es-VE"/>
        </w:rPr>
      </w:pPr>
      <w:r w:rsidRPr="000D2457">
        <w:rPr>
          <w:rFonts w:ascii="Arial" w:hAnsi="Arial" w:cs="Arial"/>
          <w:sz w:val="24"/>
          <w:szCs w:val="24"/>
          <w:lang w:val="es-ES_tradnl" w:eastAsia="es-VE"/>
        </w:rPr>
        <w:t xml:space="preserve">Que la estabilidad de los patrones e instrumentos de medición, materiales de referencia e ítems de ensayos de aptitud suministrados, debe garantizarse durante el periodo de duración del programa conforme </w:t>
      </w:r>
      <w:r w:rsidR="003556B9" w:rsidRPr="000D2457">
        <w:rPr>
          <w:rFonts w:ascii="Arial" w:hAnsi="Arial" w:cs="Arial"/>
          <w:sz w:val="24"/>
          <w:szCs w:val="24"/>
          <w:lang w:val="es-ES_tradnl" w:eastAsia="es-VE"/>
        </w:rPr>
        <w:t xml:space="preserve">a </w:t>
      </w:r>
      <w:r w:rsidRPr="000D2457">
        <w:rPr>
          <w:rFonts w:ascii="Arial" w:hAnsi="Arial" w:cs="Arial"/>
          <w:sz w:val="24"/>
          <w:szCs w:val="24"/>
          <w:lang w:val="es-ES_tradnl" w:eastAsia="es-VE"/>
        </w:rPr>
        <w:t>las condiciones logísticas adecuadas requeridas; razón por la cual, se hace indispensable asegurar que sean realizadas en las mejores condiciones para evitar la degradación o el cambio que puedan afectar las características del objeto bajo estudio;</w:t>
      </w:r>
    </w:p>
    <w:p w:rsidR="002D71E5" w:rsidRPr="000D2457" w:rsidRDefault="002D71E5" w:rsidP="002D71E5">
      <w:pPr>
        <w:pStyle w:val="Prrafodelista"/>
        <w:rPr>
          <w:rFonts w:ascii="Arial" w:hAnsi="Arial" w:cs="Arial"/>
          <w:sz w:val="24"/>
          <w:szCs w:val="24"/>
          <w:lang w:val="es-ES_tradnl" w:eastAsia="es-VE"/>
        </w:rPr>
      </w:pPr>
    </w:p>
    <w:p w:rsidR="002D71E5" w:rsidRPr="000D2457" w:rsidRDefault="002D71E5" w:rsidP="00760A74">
      <w:pPr>
        <w:pStyle w:val="Prrafodelista"/>
        <w:spacing w:after="0" w:line="240" w:lineRule="auto"/>
        <w:ind w:left="0"/>
        <w:jc w:val="both"/>
        <w:rPr>
          <w:rFonts w:ascii="Arial" w:hAnsi="Arial" w:cs="Arial"/>
          <w:sz w:val="24"/>
          <w:szCs w:val="24"/>
          <w:lang w:val="es-ES_tradnl" w:eastAsia="es-VE"/>
        </w:rPr>
      </w:pPr>
      <w:r w:rsidRPr="000D2457">
        <w:rPr>
          <w:rFonts w:ascii="Arial" w:hAnsi="Arial" w:cs="Arial"/>
          <w:sz w:val="24"/>
          <w:szCs w:val="24"/>
          <w:lang w:val="es-ES_tradnl" w:eastAsia="es-VE"/>
        </w:rPr>
        <w:t>Que si durante el procedimiento aduanero de ingreso o salida del país, los patrones e instrumentos de medición</w:t>
      </w:r>
      <w:r w:rsidR="003556B9" w:rsidRPr="000D2457">
        <w:rPr>
          <w:rFonts w:ascii="Arial" w:hAnsi="Arial" w:cs="Arial"/>
          <w:sz w:val="24"/>
          <w:szCs w:val="24"/>
          <w:lang w:val="es-ES_tradnl" w:eastAsia="es-VE"/>
        </w:rPr>
        <w:t>,</w:t>
      </w:r>
      <w:r w:rsidRPr="000D2457">
        <w:rPr>
          <w:rFonts w:ascii="Arial" w:hAnsi="Arial" w:cs="Arial"/>
          <w:sz w:val="24"/>
          <w:szCs w:val="24"/>
          <w:lang w:val="es-ES_tradnl" w:eastAsia="es-VE"/>
        </w:rPr>
        <w:t xml:space="preserve">  materiales de referencia e ítems de ensayos de aptitud  son retenidos, almacenados o manipulados en condiciones diferentes a las recomendadas por el productor, se afecta su estabilidad y pierden sus condiciones me</w:t>
      </w:r>
      <w:r w:rsidR="003556B9" w:rsidRPr="000D2457">
        <w:rPr>
          <w:rFonts w:ascii="Arial" w:hAnsi="Arial" w:cs="Arial"/>
          <w:sz w:val="24"/>
          <w:szCs w:val="24"/>
          <w:lang w:val="es-ES_tradnl" w:eastAsia="es-VE"/>
        </w:rPr>
        <w:t>trológicas; lo que desvirtuaría</w:t>
      </w:r>
      <w:r w:rsidRPr="000D2457">
        <w:rPr>
          <w:rFonts w:ascii="Arial" w:hAnsi="Arial" w:cs="Arial"/>
          <w:sz w:val="24"/>
          <w:szCs w:val="24"/>
          <w:lang w:val="es-ES_tradnl" w:eastAsia="es-VE"/>
        </w:rPr>
        <w:t xml:space="preserve"> el trabajo analítico, comprometería  los resultados de medición y el cumplimiento de los plazos definidos en la planificación y causaría el deterioro irreversible de los objetos bajo estudio;</w:t>
      </w:r>
    </w:p>
    <w:p w:rsidR="002D71E5" w:rsidRPr="000D2457" w:rsidRDefault="002D71E5" w:rsidP="002D71E5">
      <w:pPr>
        <w:jc w:val="both"/>
        <w:rPr>
          <w:rFonts w:ascii="Arial" w:hAnsi="Arial" w:cs="Arial"/>
          <w:sz w:val="24"/>
          <w:szCs w:val="24"/>
          <w:lang w:val="es-ES_tradnl" w:eastAsia="es-VE"/>
        </w:rPr>
      </w:pPr>
    </w:p>
    <w:p w:rsidR="002D71E5" w:rsidRPr="000D2457" w:rsidRDefault="002D71E5" w:rsidP="00760A74">
      <w:pPr>
        <w:pStyle w:val="Prrafodelista"/>
        <w:spacing w:after="0" w:line="240" w:lineRule="auto"/>
        <w:ind w:left="0"/>
        <w:jc w:val="both"/>
        <w:rPr>
          <w:rFonts w:ascii="Arial" w:hAnsi="Arial" w:cs="Arial"/>
          <w:sz w:val="24"/>
          <w:szCs w:val="24"/>
          <w:lang w:val="es-ES_tradnl" w:eastAsia="es-VE"/>
        </w:rPr>
      </w:pPr>
      <w:r w:rsidRPr="000D2457">
        <w:rPr>
          <w:rFonts w:ascii="Arial" w:hAnsi="Arial" w:cs="Arial"/>
          <w:sz w:val="24"/>
          <w:szCs w:val="24"/>
          <w:lang w:val="es-ES_tradnl" w:eastAsia="es-VE"/>
        </w:rPr>
        <w:t>Que si bien la Decisión 671 regula los regímenes y destinos aduaneros comunitarios a los que pueden acogerse todo tipo de mercancías, dicho marco no considera las necesidades particulares de los patrones, instrumentos de medición, materiales de referencia e ítems de ensayos de aptitud, por lo que es necesario establecer un tratamiento aduanero especial que permita asegurar y preservar su integridad y estabilidad y evitar su deterioro o pérdida;</w:t>
      </w:r>
    </w:p>
    <w:p w:rsidR="002D71E5" w:rsidRPr="000D2457" w:rsidRDefault="002D71E5" w:rsidP="002D71E5">
      <w:pPr>
        <w:pStyle w:val="Prrafodelista"/>
        <w:rPr>
          <w:rFonts w:ascii="Arial" w:hAnsi="Arial" w:cs="Arial"/>
          <w:sz w:val="24"/>
          <w:szCs w:val="24"/>
          <w:lang w:val="es-ES_tradnl" w:eastAsia="es-VE"/>
        </w:rPr>
      </w:pPr>
    </w:p>
    <w:p w:rsidR="002D71E5" w:rsidRPr="000D2457" w:rsidRDefault="002D71E5" w:rsidP="00760A74">
      <w:pPr>
        <w:pStyle w:val="Prrafodelista"/>
        <w:spacing w:after="0" w:line="240" w:lineRule="auto"/>
        <w:ind w:left="0"/>
        <w:jc w:val="both"/>
        <w:rPr>
          <w:rFonts w:ascii="Arial" w:hAnsi="Arial" w:cs="Arial"/>
          <w:sz w:val="24"/>
          <w:szCs w:val="24"/>
          <w:lang w:val="es-ES_tradnl" w:eastAsia="es-VE"/>
        </w:rPr>
      </w:pPr>
      <w:r w:rsidRPr="000D2457">
        <w:rPr>
          <w:rFonts w:ascii="Arial" w:hAnsi="Arial" w:cs="Arial"/>
          <w:sz w:val="24"/>
          <w:szCs w:val="24"/>
          <w:lang w:val="es-ES_tradnl" w:eastAsia="es-VE"/>
        </w:rPr>
        <w:t>Que en su reunión conjunta del 13 de marzo de 2017 el Comité de Normalización, Acreditación, Certificación, Ensayos, Reglamentos Técnicos y Metrología y el Comité Andino de Asuntos Aduaneros, recomendaron la aprobación de un proyecto de Decisión para el tratamiento aduanero especial de patrones, instrumentos de medición y materiales de referencia entre los Países Miembros de la Comunidad Andina y con terceros países;</w:t>
      </w:r>
    </w:p>
    <w:p w:rsidR="002D71E5" w:rsidRPr="000D2457" w:rsidRDefault="002D71E5" w:rsidP="002D71E5">
      <w:pPr>
        <w:ind w:right="-1"/>
        <w:jc w:val="center"/>
        <w:rPr>
          <w:rFonts w:ascii="Arial" w:hAnsi="Arial" w:cs="Arial"/>
          <w:b/>
          <w:sz w:val="24"/>
          <w:szCs w:val="24"/>
          <w:lang w:val="es-ES_tradnl"/>
        </w:rPr>
      </w:pPr>
    </w:p>
    <w:p w:rsidR="002D71E5" w:rsidRPr="000D2457" w:rsidRDefault="002D71E5" w:rsidP="002D71E5">
      <w:pPr>
        <w:ind w:right="-1"/>
        <w:jc w:val="center"/>
        <w:rPr>
          <w:rFonts w:ascii="Arial" w:hAnsi="Arial" w:cs="Arial"/>
          <w:b/>
          <w:sz w:val="24"/>
          <w:szCs w:val="24"/>
          <w:lang w:val="es-PE"/>
        </w:rPr>
      </w:pPr>
    </w:p>
    <w:p w:rsidR="002D71E5" w:rsidRPr="000D2457" w:rsidRDefault="002D71E5" w:rsidP="002D71E5">
      <w:pPr>
        <w:ind w:right="-1"/>
        <w:jc w:val="center"/>
        <w:rPr>
          <w:rFonts w:ascii="Arial" w:hAnsi="Arial" w:cs="Arial"/>
          <w:b/>
          <w:sz w:val="24"/>
          <w:szCs w:val="24"/>
          <w:lang w:val="es-PE"/>
        </w:rPr>
      </w:pPr>
      <w:r w:rsidRPr="000D2457">
        <w:rPr>
          <w:rFonts w:ascii="Arial" w:hAnsi="Arial" w:cs="Arial"/>
          <w:b/>
          <w:sz w:val="24"/>
          <w:szCs w:val="24"/>
          <w:lang w:val="es-PE"/>
        </w:rPr>
        <w:t>DECIDE:</w:t>
      </w:r>
    </w:p>
    <w:p w:rsidR="002D71E5" w:rsidRPr="000D2457" w:rsidRDefault="002D71E5" w:rsidP="002D71E5">
      <w:pPr>
        <w:ind w:right="-1"/>
        <w:jc w:val="center"/>
        <w:rPr>
          <w:rFonts w:ascii="Arial" w:hAnsi="Arial" w:cs="Arial"/>
          <w:b/>
          <w:sz w:val="24"/>
          <w:szCs w:val="24"/>
          <w:lang w:val="es-PE"/>
        </w:rPr>
      </w:pPr>
    </w:p>
    <w:p w:rsidR="002D71E5" w:rsidRPr="000D2457" w:rsidRDefault="002D71E5" w:rsidP="002D71E5">
      <w:pPr>
        <w:widowControl w:val="0"/>
        <w:jc w:val="center"/>
        <w:rPr>
          <w:rFonts w:ascii="Arial" w:hAnsi="Arial" w:cs="Arial"/>
          <w:b/>
          <w:sz w:val="24"/>
          <w:szCs w:val="24"/>
          <w:lang w:val="es-ES_tradnl"/>
        </w:rPr>
      </w:pPr>
      <w:r w:rsidRPr="000D2457">
        <w:rPr>
          <w:rFonts w:ascii="Arial" w:hAnsi="Arial" w:cs="Arial"/>
          <w:b/>
          <w:sz w:val="24"/>
          <w:szCs w:val="24"/>
          <w:lang w:val="es-ES_tradnl"/>
        </w:rPr>
        <w:t>CAPÍTULO I</w:t>
      </w:r>
    </w:p>
    <w:p w:rsidR="002D71E5" w:rsidRPr="000D2457" w:rsidRDefault="002D71E5" w:rsidP="002D71E5">
      <w:pPr>
        <w:jc w:val="center"/>
        <w:rPr>
          <w:rFonts w:ascii="Arial" w:hAnsi="Arial" w:cs="Arial"/>
          <w:b/>
          <w:sz w:val="24"/>
          <w:szCs w:val="24"/>
          <w:lang w:val="es-ES_tradnl"/>
        </w:rPr>
      </w:pPr>
      <w:r w:rsidRPr="000D2457">
        <w:rPr>
          <w:rFonts w:ascii="Arial" w:hAnsi="Arial" w:cs="Arial"/>
          <w:b/>
          <w:sz w:val="24"/>
          <w:szCs w:val="24"/>
          <w:lang w:val="es-ES_tradnl"/>
        </w:rPr>
        <w:t>OBJETO, ÁMBITO DE APLICACIÓN Y DEFINICIONES</w:t>
      </w:r>
    </w:p>
    <w:p w:rsidR="002D71E5" w:rsidRPr="000D2457" w:rsidRDefault="002D71E5" w:rsidP="002D71E5">
      <w:pPr>
        <w:widowControl w:val="0"/>
        <w:jc w:val="both"/>
        <w:rPr>
          <w:rFonts w:ascii="Arial" w:hAnsi="Arial" w:cs="Arial"/>
          <w:b/>
          <w:sz w:val="24"/>
          <w:szCs w:val="24"/>
          <w:lang w:val="es-ES_tradnl" w:eastAsia="es-VE"/>
        </w:rPr>
      </w:pPr>
    </w:p>
    <w:p w:rsidR="002D71E5" w:rsidRPr="000D2457" w:rsidRDefault="002D71E5" w:rsidP="002D71E5">
      <w:pPr>
        <w:widowControl w:val="0"/>
        <w:jc w:val="both"/>
        <w:rPr>
          <w:rFonts w:ascii="Arial" w:hAnsi="Arial" w:cs="Arial"/>
          <w:b/>
          <w:sz w:val="24"/>
          <w:szCs w:val="24"/>
          <w:lang w:val="es-ES_tradnl" w:eastAsia="es-VE"/>
        </w:rPr>
      </w:pPr>
      <w:r w:rsidRPr="000D2457">
        <w:rPr>
          <w:rFonts w:ascii="Arial" w:hAnsi="Arial" w:cs="Arial"/>
          <w:b/>
          <w:sz w:val="24"/>
          <w:szCs w:val="24"/>
          <w:lang w:val="es-ES_tradnl" w:eastAsia="es-VE"/>
        </w:rPr>
        <w:t xml:space="preserve">Artículo 1.- </w:t>
      </w:r>
      <w:r w:rsidRPr="000D2457">
        <w:rPr>
          <w:rFonts w:ascii="Arial" w:hAnsi="Arial" w:cs="Arial"/>
          <w:sz w:val="24"/>
          <w:szCs w:val="24"/>
          <w:lang w:val="es-ES_tradnl" w:eastAsia="es-VE"/>
        </w:rPr>
        <w:t>La presente Decisión tiene por objeto regular el tratamiento aduanero especial de patrones, instrumentos de medición, materiales de referencia</w:t>
      </w:r>
      <w:r w:rsidRPr="000D2457">
        <w:rPr>
          <w:rFonts w:ascii="Arial" w:hAnsi="Arial" w:cs="Arial"/>
          <w:sz w:val="24"/>
          <w:szCs w:val="24"/>
          <w:lang w:val="es-ES_tradnl"/>
        </w:rPr>
        <w:t xml:space="preserve"> e ítems </w:t>
      </w:r>
      <w:r w:rsidRPr="000D2457">
        <w:rPr>
          <w:rFonts w:ascii="Arial" w:hAnsi="Arial" w:cs="Arial"/>
          <w:sz w:val="24"/>
          <w:szCs w:val="24"/>
          <w:lang w:val="es-ES_tradnl"/>
        </w:rPr>
        <w:lastRenderedPageBreak/>
        <w:t>de ensayo de aptitud e</w:t>
      </w:r>
      <w:r w:rsidRPr="000D2457">
        <w:rPr>
          <w:rFonts w:ascii="Arial" w:hAnsi="Arial" w:cs="Arial"/>
          <w:sz w:val="24"/>
          <w:szCs w:val="24"/>
          <w:lang w:val="es-ES_tradnl" w:eastAsia="es-VE"/>
        </w:rPr>
        <w:t xml:space="preserve">ntre los Países Miembros y con terceros países, que se intercambien con motivo de la realización de programas de ensayos de aptitud, de comparación </w:t>
      </w:r>
      <w:proofErr w:type="spellStart"/>
      <w:r w:rsidRPr="000D2457">
        <w:rPr>
          <w:rFonts w:ascii="Arial" w:hAnsi="Arial" w:cs="Arial"/>
          <w:sz w:val="24"/>
          <w:szCs w:val="24"/>
          <w:lang w:val="es-ES_tradnl" w:eastAsia="es-VE"/>
        </w:rPr>
        <w:t>interlaboratorios</w:t>
      </w:r>
      <w:proofErr w:type="spellEnd"/>
      <w:r w:rsidRPr="000D2457">
        <w:rPr>
          <w:rFonts w:ascii="Arial" w:hAnsi="Arial" w:cs="Arial"/>
          <w:sz w:val="24"/>
          <w:szCs w:val="24"/>
          <w:lang w:val="es-ES_tradnl" w:eastAsia="es-VE"/>
        </w:rPr>
        <w:t xml:space="preserve"> o de calibración de patrones de medición a cargo de los Organismos Nacionales de Acreditación (ONA) o de los Institutos Nacionales de Metrología (INM) de los Países Miembros.</w:t>
      </w:r>
    </w:p>
    <w:p w:rsidR="002D71E5" w:rsidRPr="000D2457" w:rsidRDefault="002D71E5" w:rsidP="002D71E5">
      <w:pPr>
        <w:widowControl w:val="0"/>
        <w:jc w:val="both"/>
        <w:rPr>
          <w:rFonts w:ascii="Arial" w:hAnsi="Arial" w:cs="Arial"/>
          <w:b/>
          <w:sz w:val="24"/>
          <w:szCs w:val="24"/>
          <w:lang w:val="es-ES_tradnl" w:eastAsia="es-VE"/>
        </w:rPr>
      </w:pPr>
    </w:p>
    <w:p w:rsidR="002D71E5" w:rsidRPr="000D2457" w:rsidRDefault="002D71E5" w:rsidP="002D71E5">
      <w:pPr>
        <w:widowControl w:val="0"/>
        <w:jc w:val="both"/>
        <w:rPr>
          <w:rFonts w:ascii="Arial" w:hAnsi="Arial" w:cs="Arial"/>
          <w:sz w:val="24"/>
          <w:szCs w:val="24"/>
          <w:lang w:val="es-ES_tradnl" w:eastAsia="es-VE"/>
        </w:rPr>
      </w:pPr>
      <w:r w:rsidRPr="000D2457">
        <w:rPr>
          <w:rFonts w:ascii="Arial" w:hAnsi="Arial" w:cs="Arial"/>
          <w:b/>
          <w:sz w:val="24"/>
          <w:szCs w:val="24"/>
          <w:lang w:val="es-ES_tradnl" w:eastAsia="es-VE"/>
        </w:rPr>
        <w:t xml:space="preserve">Artículo 2.- </w:t>
      </w:r>
      <w:r w:rsidRPr="000D2457">
        <w:rPr>
          <w:rFonts w:ascii="Arial" w:hAnsi="Arial" w:cs="Arial"/>
          <w:sz w:val="24"/>
          <w:szCs w:val="24"/>
          <w:lang w:val="es-ES_tradnl" w:eastAsia="es-VE"/>
        </w:rPr>
        <w:t>La presente Decisión aplica a los patrones, instrumentos de medición, materiales de referencia e ítems de ensayo de aptitud</w:t>
      </w:r>
      <w:r w:rsidRPr="000D2457">
        <w:rPr>
          <w:rFonts w:ascii="Arial" w:hAnsi="Arial" w:cs="Arial"/>
          <w:sz w:val="24"/>
          <w:szCs w:val="24"/>
          <w:lang w:val="es-ES_tradnl"/>
        </w:rPr>
        <w:t xml:space="preserve"> </w:t>
      </w:r>
      <w:r w:rsidRPr="000D2457">
        <w:rPr>
          <w:rFonts w:ascii="Arial" w:hAnsi="Arial" w:cs="Arial"/>
          <w:sz w:val="24"/>
          <w:szCs w:val="24"/>
          <w:lang w:val="es-ES_tradnl" w:eastAsia="es-VE"/>
        </w:rPr>
        <w:t xml:space="preserve">destinados al desarrollo de programas de ensayos de aptitud, de comparación </w:t>
      </w:r>
      <w:proofErr w:type="spellStart"/>
      <w:r w:rsidRPr="000D2457">
        <w:rPr>
          <w:rFonts w:ascii="Arial" w:hAnsi="Arial" w:cs="Arial"/>
          <w:sz w:val="24"/>
          <w:szCs w:val="24"/>
          <w:lang w:val="es-ES_tradnl" w:eastAsia="es-VE"/>
        </w:rPr>
        <w:t>interlaboratorios</w:t>
      </w:r>
      <w:proofErr w:type="spellEnd"/>
      <w:r w:rsidRPr="000D2457">
        <w:rPr>
          <w:rFonts w:ascii="Arial" w:hAnsi="Arial" w:cs="Arial"/>
          <w:sz w:val="24"/>
          <w:szCs w:val="24"/>
          <w:lang w:val="es-ES_tradnl" w:eastAsia="es-VE"/>
        </w:rPr>
        <w:t xml:space="preserve"> o de calibración de patrones de medición a cargo de </w:t>
      </w:r>
      <w:r w:rsidR="003556B9" w:rsidRPr="000D2457">
        <w:rPr>
          <w:rFonts w:ascii="Arial" w:hAnsi="Arial" w:cs="Arial"/>
          <w:sz w:val="24"/>
          <w:szCs w:val="24"/>
          <w:lang w:val="es-ES_tradnl" w:eastAsia="es-VE"/>
        </w:rPr>
        <w:t xml:space="preserve">los </w:t>
      </w:r>
      <w:r w:rsidRPr="000D2457">
        <w:rPr>
          <w:rFonts w:ascii="Arial" w:hAnsi="Arial" w:cs="Arial"/>
          <w:sz w:val="24"/>
          <w:szCs w:val="24"/>
          <w:lang w:val="es-ES_tradnl" w:eastAsia="es-VE"/>
        </w:rPr>
        <w:t xml:space="preserve">ONA o </w:t>
      </w:r>
      <w:r w:rsidR="003556B9" w:rsidRPr="000D2457">
        <w:rPr>
          <w:rFonts w:ascii="Arial" w:hAnsi="Arial" w:cs="Arial"/>
          <w:sz w:val="24"/>
          <w:szCs w:val="24"/>
          <w:lang w:val="es-ES_tradnl" w:eastAsia="es-VE"/>
        </w:rPr>
        <w:t xml:space="preserve">de </w:t>
      </w:r>
      <w:r w:rsidRPr="000D2457">
        <w:rPr>
          <w:rFonts w:ascii="Arial" w:hAnsi="Arial" w:cs="Arial"/>
          <w:sz w:val="24"/>
          <w:szCs w:val="24"/>
          <w:lang w:val="es-ES_tradnl" w:eastAsia="es-VE"/>
        </w:rPr>
        <w:t>los INM de los Países Miembros, con la finalidad de desarrollar métodos, validaciones, aseguramiento de la calidad de los ensayos o calibración de equipos.</w:t>
      </w:r>
    </w:p>
    <w:p w:rsidR="002D71E5" w:rsidRPr="000D2457" w:rsidRDefault="002D71E5" w:rsidP="002D71E5">
      <w:pPr>
        <w:widowControl w:val="0"/>
        <w:jc w:val="both"/>
        <w:rPr>
          <w:rFonts w:ascii="Arial" w:hAnsi="Arial" w:cs="Arial"/>
          <w:sz w:val="24"/>
          <w:szCs w:val="24"/>
          <w:lang w:val="es-ES_tradnl" w:eastAsia="es-VE"/>
        </w:rPr>
      </w:pPr>
    </w:p>
    <w:p w:rsidR="002D71E5" w:rsidRPr="000D2457" w:rsidRDefault="002D71E5" w:rsidP="002D71E5">
      <w:pPr>
        <w:jc w:val="both"/>
        <w:rPr>
          <w:rFonts w:ascii="Arial" w:hAnsi="Arial" w:cs="Arial"/>
          <w:b/>
          <w:sz w:val="24"/>
          <w:szCs w:val="24"/>
          <w:lang w:val="es-ES_tradnl" w:eastAsia="es-VE"/>
        </w:rPr>
      </w:pPr>
      <w:r w:rsidRPr="000D2457">
        <w:rPr>
          <w:rFonts w:ascii="Arial" w:hAnsi="Arial" w:cs="Arial"/>
          <w:b/>
          <w:sz w:val="24"/>
          <w:szCs w:val="24"/>
          <w:lang w:val="es-ES_tradnl" w:eastAsia="es-VE"/>
        </w:rPr>
        <w:t xml:space="preserve">Artículo 3.- </w:t>
      </w:r>
      <w:r w:rsidRPr="000D2457">
        <w:rPr>
          <w:rFonts w:ascii="Arial" w:hAnsi="Arial" w:cs="Arial"/>
          <w:sz w:val="24"/>
          <w:szCs w:val="24"/>
          <w:lang w:val="es-ES_tradnl" w:eastAsia="es-VE"/>
        </w:rPr>
        <w:t>Para efectos de la presente Decisión se aplicarán las siguientes definiciones</w:t>
      </w:r>
      <w:r w:rsidRPr="000D2457">
        <w:rPr>
          <w:rFonts w:ascii="Arial" w:hAnsi="Arial" w:cs="Arial"/>
          <w:b/>
          <w:sz w:val="24"/>
          <w:szCs w:val="24"/>
          <w:lang w:val="es-ES_tradnl" w:eastAsia="es-VE"/>
        </w:rPr>
        <w:t>:</w:t>
      </w:r>
    </w:p>
    <w:p w:rsidR="002D71E5" w:rsidRPr="000D2457" w:rsidRDefault="002D71E5" w:rsidP="002D71E5">
      <w:pPr>
        <w:jc w:val="both"/>
        <w:rPr>
          <w:rFonts w:ascii="Arial" w:hAnsi="Arial" w:cs="Arial"/>
          <w:b/>
          <w:sz w:val="24"/>
          <w:szCs w:val="24"/>
          <w:lang w:val="es-ES_tradnl" w:eastAsia="es-VE"/>
        </w:rPr>
      </w:pPr>
    </w:p>
    <w:p w:rsidR="002D71E5" w:rsidRPr="000D2457" w:rsidRDefault="002D71E5" w:rsidP="002D71E5">
      <w:pPr>
        <w:contextualSpacing/>
        <w:jc w:val="both"/>
        <w:rPr>
          <w:rFonts w:ascii="Arial" w:hAnsi="Arial" w:cs="Arial"/>
          <w:color w:val="000000"/>
          <w:sz w:val="24"/>
          <w:szCs w:val="24"/>
          <w:lang w:val="es-PE"/>
        </w:rPr>
      </w:pPr>
      <w:r w:rsidRPr="000D2457">
        <w:rPr>
          <w:rFonts w:ascii="Arial" w:hAnsi="Arial" w:cs="Arial"/>
          <w:b/>
          <w:sz w:val="24"/>
          <w:szCs w:val="24"/>
          <w:lang w:val="es-PE"/>
        </w:rPr>
        <w:t xml:space="preserve">Acreditación: </w:t>
      </w:r>
      <w:r w:rsidRPr="000D2457">
        <w:rPr>
          <w:rFonts w:ascii="Arial" w:hAnsi="Arial" w:cs="Arial"/>
          <w:color w:val="000000"/>
          <w:sz w:val="24"/>
          <w:szCs w:val="24"/>
          <w:lang w:val="es-PE"/>
        </w:rPr>
        <w:t>Atestación realizada por una tercera parte, en relación con un organismo de evaluación de la conformidad, que constituye una demostración formal de la competencia de este último para realizar actividades específicas de evaluación de la conformidad.</w:t>
      </w:r>
    </w:p>
    <w:p w:rsidR="002D71E5" w:rsidRPr="000D2457" w:rsidRDefault="002D71E5" w:rsidP="002D71E5">
      <w:pPr>
        <w:contextualSpacing/>
        <w:jc w:val="both"/>
        <w:rPr>
          <w:rFonts w:ascii="Arial" w:hAnsi="Arial" w:cs="Arial"/>
          <w:sz w:val="24"/>
          <w:szCs w:val="24"/>
          <w:lang w:val="es-PE" w:eastAsia="es-VE"/>
        </w:rPr>
      </w:pPr>
    </w:p>
    <w:p w:rsidR="002D71E5" w:rsidRPr="000D2457" w:rsidRDefault="002D71E5" w:rsidP="002D71E5">
      <w:pPr>
        <w:contextualSpacing/>
        <w:jc w:val="both"/>
        <w:rPr>
          <w:rFonts w:ascii="Arial" w:hAnsi="Arial" w:cs="Arial"/>
          <w:sz w:val="24"/>
          <w:szCs w:val="24"/>
          <w:lang w:val="es-ES_tradnl" w:eastAsia="es-VE"/>
        </w:rPr>
      </w:pPr>
      <w:r w:rsidRPr="000D2457">
        <w:rPr>
          <w:rFonts w:ascii="Arial" w:hAnsi="Arial" w:cs="Arial"/>
          <w:b/>
          <w:sz w:val="24"/>
          <w:szCs w:val="24"/>
          <w:lang w:val="es-ES_tradnl" w:eastAsia="es-VE"/>
        </w:rPr>
        <w:t>Calibración:</w:t>
      </w:r>
      <w:r w:rsidRPr="000D2457">
        <w:rPr>
          <w:rFonts w:ascii="Arial" w:hAnsi="Arial" w:cs="Arial"/>
          <w:sz w:val="24"/>
          <w:szCs w:val="24"/>
          <w:lang w:val="es-ES_tradnl" w:eastAsia="es-VE"/>
        </w:rPr>
        <w:t xml:space="preserve"> Operación que bajo condiciones especificadas, establece</w:t>
      </w:r>
      <w:r w:rsidR="00E42E52" w:rsidRPr="000D2457">
        <w:rPr>
          <w:rFonts w:ascii="Arial" w:hAnsi="Arial" w:cs="Arial"/>
          <w:sz w:val="24"/>
          <w:szCs w:val="24"/>
          <w:lang w:val="es-ES_tradnl" w:eastAsia="es-VE"/>
        </w:rPr>
        <w:t>,</w:t>
      </w:r>
      <w:r w:rsidRPr="000D2457">
        <w:rPr>
          <w:rFonts w:ascii="Arial" w:hAnsi="Arial" w:cs="Arial"/>
          <w:sz w:val="24"/>
          <w:szCs w:val="24"/>
          <w:lang w:val="es-ES_tradnl" w:eastAsia="es-VE"/>
        </w:rPr>
        <w:t xml:space="preserve"> en una primera etapa, una relación entre los valores y sus incertidumbres de medición asociadas, obtenidas a partir de los patrones de medición y las correspondientes indicaciones con sus incertidumbres asociadas y que</w:t>
      </w:r>
      <w:r w:rsidR="00E42E52" w:rsidRPr="000D2457">
        <w:rPr>
          <w:rFonts w:ascii="Arial" w:hAnsi="Arial" w:cs="Arial"/>
          <w:sz w:val="24"/>
          <w:szCs w:val="24"/>
          <w:lang w:val="es-ES_tradnl" w:eastAsia="es-VE"/>
        </w:rPr>
        <w:t>,</w:t>
      </w:r>
      <w:r w:rsidRPr="000D2457">
        <w:rPr>
          <w:rFonts w:ascii="Arial" w:hAnsi="Arial" w:cs="Arial"/>
          <w:sz w:val="24"/>
          <w:szCs w:val="24"/>
          <w:lang w:val="es-ES_tradnl" w:eastAsia="es-VE"/>
        </w:rPr>
        <w:t xml:space="preserve"> en una segunda etapa, utiliza esta información para establecer una relación que permita obtener un resultado de medición a partir de una indicación.</w:t>
      </w:r>
    </w:p>
    <w:p w:rsidR="002D71E5" w:rsidRPr="000D2457" w:rsidRDefault="002D71E5" w:rsidP="002D71E5">
      <w:pPr>
        <w:contextualSpacing/>
        <w:jc w:val="both"/>
        <w:rPr>
          <w:rFonts w:ascii="Arial" w:hAnsi="Arial" w:cs="Arial"/>
          <w:sz w:val="24"/>
          <w:szCs w:val="24"/>
          <w:lang w:val="es-ES_tradnl"/>
        </w:rPr>
      </w:pPr>
    </w:p>
    <w:p w:rsidR="002D71E5" w:rsidRPr="000D2457" w:rsidRDefault="002D71E5" w:rsidP="002D71E5">
      <w:pPr>
        <w:contextualSpacing/>
        <w:jc w:val="both"/>
        <w:rPr>
          <w:rFonts w:ascii="Arial" w:hAnsi="Arial" w:cs="Arial"/>
          <w:sz w:val="24"/>
          <w:szCs w:val="24"/>
          <w:lang w:val="es-PE"/>
        </w:rPr>
      </w:pPr>
      <w:r w:rsidRPr="000D2457">
        <w:rPr>
          <w:rFonts w:ascii="Arial" w:hAnsi="Arial" w:cs="Arial"/>
          <w:b/>
          <w:sz w:val="24"/>
          <w:szCs w:val="24"/>
          <w:lang w:val="es-PE"/>
        </w:rPr>
        <w:t xml:space="preserve">Comparación </w:t>
      </w:r>
      <w:proofErr w:type="spellStart"/>
      <w:r w:rsidRPr="000D2457">
        <w:rPr>
          <w:rFonts w:ascii="Arial" w:hAnsi="Arial" w:cs="Arial"/>
          <w:b/>
          <w:sz w:val="24"/>
          <w:szCs w:val="24"/>
          <w:lang w:val="es-PE"/>
        </w:rPr>
        <w:t>interlaboratorios</w:t>
      </w:r>
      <w:proofErr w:type="spellEnd"/>
      <w:r w:rsidRPr="000D2457">
        <w:rPr>
          <w:rFonts w:ascii="Arial" w:hAnsi="Arial" w:cs="Arial"/>
          <w:b/>
          <w:sz w:val="24"/>
          <w:szCs w:val="24"/>
          <w:lang w:val="es-PE"/>
        </w:rPr>
        <w:t xml:space="preserve">: </w:t>
      </w:r>
      <w:r w:rsidRPr="000D2457">
        <w:rPr>
          <w:rFonts w:ascii="Arial" w:hAnsi="Arial" w:cs="Arial"/>
          <w:sz w:val="24"/>
          <w:szCs w:val="24"/>
          <w:lang w:val="es-PE"/>
        </w:rPr>
        <w:t>Organización, desempeño y evaluación de mediciones o ensayos en el mismo ítem o ítems similares por dos o más laboratorios de acuerdo con condiciones predeterminadas.</w:t>
      </w:r>
    </w:p>
    <w:p w:rsidR="002D71E5" w:rsidRPr="000D2457" w:rsidRDefault="002D71E5" w:rsidP="002D71E5">
      <w:pPr>
        <w:contextualSpacing/>
        <w:jc w:val="both"/>
        <w:rPr>
          <w:rFonts w:ascii="Arial" w:hAnsi="Arial" w:cs="Arial"/>
          <w:sz w:val="24"/>
          <w:szCs w:val="24"/>
          <w:lang w:val="es-PE"/>
        </w:rPr>
      </w:pPr>
    </w:p>
    <w:p w:rsidR="002D71E5" w:rsidRPr="000D2457" w:rsidRDefault="002D71E5" w:rsidP="002D71E5">
      <w:pPr>
        <w:contextualSpacing/>
        <w:jc w:val="both"/>
        <w:rPr>
          <w:rFonts w:ascii="Arial" w:hAnsi="Arial" w:cs="Arial"/>
          <w:sz w:val="24"/>
          <w:szCs w:val="24"/>
          <w:lang w:val="es-PE"/>
        </w:rPr>
      </w:pPr>
      <w:r w:rsidRPr="000D2457">
        <w:rPr>
          <w:rFonts w:ascii="Arial" w:hAnsi="Arial" w:cs="Arial"/>
          <w:b/>
          <w:sz w:val="24"/>
          <w:szCs w:val="24"/>
          <w:lang w:val="es-PE"/>
        </w:rPr>
        <w:t xml:space="preserve">Ensayo: </w:t>
      </w:r>
      <w:r w:rsidRPr="000D2457">
        <w:rPr>
          <w:rFonts w:ascii="Arial" w:hAnsi="Arial" w:cs="Arial"/>
          <w:sz w:val="24"/>
          <w:szCs w:val="24"/>
          <w:lang w:val="es-PE"/>
        </w:rPr>
        <w:t>Determinación de una o varias características de un objeto de la evaluación de la conformidad, de acuerdo con un procedimiento.</w:t>
      </w:r>
    </w:p>
    <w:p w:rsidR="002D71E5" w:rsidRPr="000D2457" w:rsidRDefault="002D71E5" w:rsidP="002D71E5">
      <w:pPr>
        <w:contextualSpacing/>
        <w:jc w:val="both"/>
        <w:rPr>
          <w:rFonts w:ascii="Arial" w:hAnsi="Arial" w:cs="Arial"/>
          <w:sz w:val="24"/>
          <w:szCs w:val="24"/>
          <w:lang w:val="es-PE"/>
        </w:rPr>
      </w:pPr>
    </w:p>
    <w:p w:rsidR="002D71E5" w:rsidRPr="000D2457" w:rsidRDefault="002D71E5" w:rsidP="002D71E5">
      <w:pPr>
        <w:contextualSpacing/>
        <w:jc w:val="both"/>
        <w:rPr>
          <w:rFonts w:ascii="Arial" w:hAnsi="Arial" w:cs="Arial"/>
          <w:sz w:val="24"/>
          <w:szCs w:val="24"/>
          <w:lang w:val="es-PE"/>
        </w:rPr>
      </w:pPr>
      <w:r w:rsidRPr="000D2457">
        <w:rPr>
          <w:rFonts w:ascii="Arial" w:hAnsi="Arial" w:cs="Arial"/>
          <w:b/>
          <w:sz w:val="24"/>
          <w:szCs w:val="24"/>
          <w:lang w:val="es-PE"/>
        </w:rPr>
        <w:t xml:space="preserve">Ensayo de aptitud: </w:t>
      </w:r>
      <w:r w:rsidRPr="000D2457">
        <w:rPr>
          <w:rFonts w:ascii="Arial" w:hAnsi="Arial" w:cs="Arial"/>
          <w:sz w:val="24"/>
          <w:szCs w:val="24"/>
          <w:lang w:val="es-PE"/>
        </w:rPr>
        <w:t xml:space="preserve">Evaluación del desempeño de los participantes respecto a los  criterios preestablecidos por medio de  comparaciones </w:t>
      </w:r>
      <w:proofErr w:type="spellStart"/>
      <w:r w:rsidRPr="000D2457">
        <w:rPr>
          <w:rFonts w:ascii="Arial" w:hAnsi="Arial" w:cs="Arial"/>
          <w:sz w:val="24"/>
          <w:szCs w:val="24"/>
          <w:lang w:val="es-PE"/>
        </w:rPr>
        <w:t>interlaboratorios</w:t>
      </w:r>
      <w:proofErr w:type="spellEnd"/>
      <w:r w:rsidRPr="000D2457">
        <w:rPr>
          <w:rFonts w:ascii="Arial" w:hAnsi="Arial" w:cs="Arial"/>
          <w:sz w:val="24"/>
          <w:szCs w:val="24"/>
          <w:lang w:val="es-PE"/>
        </w:rPr>
        <w:t>.</w:t>
      </w:r>
    </w:p>
    <w:p w:rsidR="002D71E5" w:rsidRPr="000D2457" w:rsidRDefault="002D71E5" w:rsidP="002D71E5">
      <w:pPr>
        <w:contextualSpacing/>
        <w:jc w:val="both"/>
        <w:rPr>
          <w:rFonts w:ascii="Arial" w:hAnsi="Arial" w:cs="Arial"/>
          <w:sz w:val="24"/>
          <w:szCs w:val="24"/>
          <w:lang w:val="es-PE"/>
        </w:rPr>
      </w:pPr>
    </w:p>
    <w:p w:rsidR="002D71E5" w:rsidRPr="000D2457" w:rsidRDefault="002D71E5" w:rsidP="002D71E5">
      <w:pPr>
        <w:contextualSpacing/>
        <w:jc w:val="both"/>
        <w:rPr>
          <w:rFonts w:ascii="Arial" w:hAnsi="Arial" w:cs="Arial"/>
          <w:sz w:val="24"/>
          <w:szCs w:val="24"/>
          <w:lang w:val="es-PE"/>
        </w:rPr>
      </w:pPr>
      <w:r w:rsidRPr="000D2457">
        <w:rPr>
          <w:rFonts w:ascii="Arial" w:hAnsi="Arial" w:cs="Arial"/>
          <w:b/>
          <w:sz w:val="24"/>
          <w:szCs w:val="24"/>
          <w:lang w:val="es-PE"/>
        </w:rPr>
        <w:t xml:space="preserve">Evaluación de la conformidad: </w:t>
      </w:r>
      <w:r w:rsidRPr="000D2457">
        <w:rPr>
          <w:rFonts w:ascii="Arial" w:hAnsi="Arial" w:cs="Arial"/>
          <w:sz w:val="24"/>
          <w:szCs w:val="24"/>
          <w:lang w:val="es-PE"/>
        </w:rPr>
        <w:t>Demostración de que se cumplen los requisitos especificados referentes a un producto, proceso, sistema, persona u organismo</w:t>
      </w:r>
      <w:r w:rsidRPr="000D2457">
        <w:rPr>
          <w:rFonts w:ascii="Arial" w:hAnsi="Arial" w:cs="Arial"/>
          <w:b/>
          <w:sz w:val="24"/>
          <w:szCs w:val="24"/>
          <w:lang w:val="es-PE"/>
        </w:rPr>
        <w:t>.</w:t>
      </w:r>
    </w:p>
    <w:p w:rsidR="002D71E5" w:rsidRPr="000D2457" w:rsidRDefault="002D71E5" w:rsidP="002D71E5">
      <w:pPr>
        <w:contextualSpacing/>
        <w:jc w:val="both"/>
        <w:rPr>
          <w:rFonts w:ascii="Arial" w:hAnsi="Arial" w:cs="Arial"/>
          <w:sz w:val="24"/>
          <w:szCs w:val="24"/>
          <w:lang w:val="es-PE"/>
        </w:rPr>
      </w:pPr>
    </w:p>
    <w:p w:rsidR="002D71E5" w:rsidRPr="000D2457" w:rsidRDefault="002D71E5" w:rsidP="002D71E5">
      <w:pPr>
        <w:contextualSpacing/>
        <w:jc w:val="both"/>
        <w:rPr>
          <w:rFonts w:ascii="Arial" w:hAnsi="Arial" w:cs="Arial"/>
          <w:sz w:val="24"/>
          <w:szCs w:val="24"/>
          <w:lang w:val="es-PE"/>
        </w:rPr>
      </w:pPr>
      <w:r w:rsidRPr="000D2457">
        <w:rPr>
          <w:rFonts w:ascii="Arial" w:hAnsi="Arial" w:cs="Arial"/>
          <w:b/>
          <w:sz w:val="24"/>
          <w:szCs w:val="24"/>
          <w:lang w:val="es-PE"/>
        </w:rPr>
        <w:t>Instituto Nacional de Metrología (INM)</w:t>
      </w:r>
      <w:r w:rsidRPr="000D2457">
        <w:rPr>
          <w:rFonts w:ascii="Arial" w:hAnsi="Arial" w:cs="Arial"/>
          <w:sz w:val="24"/>
          <w:szCs w:val="24"/>
          <w:lang w:val="es-PE"/>
        </w:rPr>
        <w:t xml:space="preserve">: Institución u órgano  responsable de preservar los patrones de referencia nacional, mantener la trazabilidad de dichos patrones al Sistema Internacional de Unidades (SI) y diseminarlas a partir de estos. </w:t>
      </w:r>
    </w:p>
    <w:p w:rsidR="002D71E5" w:rsidRPr="000D2457" w:rsidRDefault="002D71E5" w:rsidP="002D71E5">
      <w:pPr>
        <w:contextualSpacing/>
        <w:jc w:val="both"/>
        <w:rPr>
          <w:rFonts w:ascii="Arial" w:hAnsi="Arial" w:cs="Arial"/>
          <w:sz w:val="24"/>
          <w:szCs w:val="24"/>
          <w:lang w:val="es-PE"/>
        </w:rPr>
      </w:pPr>
    </w:p>
    <w:p w:rsidR="002D71E5" w:rsidRPr="000D2457" w:rsidRDefault="002D71E5" w:rsidP="002D71E5">
      <w:pPr>
        <w:contextualSpacing/>
        <w:jc w:val="both"/>
        <w:rPr>
          <w:rFonts w:ascii="Arial" w:hAnsi="Arial" w:cs="Arial"/>
          <w:sz w:val="24"/>
          <w:szCs w:val="24"/>
          <w:lang w:val="es-PE"/>
        </w:rPr>
      </w:pPr>
      <w:r w:rsidRPr="000D2457">
        <w:rPr>
          <w:rFonts w:ascii="Arial" w:hAnsi="Arial" w:cs="Arial"/>
          <w:b/>
          <w:sz w:val="24"/>
          <w:szCs w:val="24"/>
          <w:lang w:val="es-PE"/>
        </w:rPr>
        <w:lastRenderedPageBreak/>
        <w:t>Instrumento de medición:</w:t>
      </w:r>
      <w:r w:rsidRPr="000D2457">
        <w:rPr>
          <w:rFonts w:ascii="Arial" w:hAnsi="Arial" w:cs="Arial"/>
          <w:sz w:val="24"/>
          <w:szCs w:val="24"/>
          <w:lang w:val="es-PE"/>
        </w:rPr>
        <w:t xml:space="preserve"> Dispositivo utilizado para realizar mediciones, solo o asociado a uno o varios dispositivos suplementarios.</w:t>
      </w:r>
    </w:p>
    <w:p w:rsidR="002D71E5" w:rsidRPr="000D2457" w:rsidRDefault="002D71E5" w:rsidP="002D71E5">
      <w:pPr>
        <w:contextualSpacing/>
        <w:jc w:val="both"/>
        <w:rPr>
          <w:rFonts w:ascii="Arial" w:hAnsi="Arial" w:cs="Arial"/>
          <w:sz w:val="24"/>
          <w:szCs w:val="24"/>
          <w:lang w:val="es-PE"/>
        </w:rPr>
      </w:pPr>
    </w:p>
    <w:p w:rsidR="002D71E5" w:rsidRPr="000D2457" w:rsidRDefault="002D71E5" w:rsidP="002D71E5">
      <w:pPr>
        <w:contextualSpacing/>
        <w:jc w:val="both"/>
        <w:rPr>
          <w:rFonts w:ascii="Arial" w:hAnsi="Arial" w:cs="Arial"/>
          <w:sz w:val="24"/>
          <w:szCs w:val="24"/>
          <w:lang w:val="es-PE"/>
        </w:rPr>
      </w:pPr>
      <w:r w:rsidRPr="000D2457">
        <w:rPr>
          <w:rFonts w:ascii="Arial" w:hAnsi="Arial" w:cs="Arial"/>
          <w:b/>
          <w:bCs/>
          <w:sz w:val="24"/>
          <w:szCs w:val="24"/>
          <w:lang w:val="es-PE"/>
        </w:rPr>
        <w:t xml:space="preserve">Ítem de ensayo de aptitud: </w:t>
      </w:r>
      <w:r w:rsidR="00E42E52" w:rsidRPr="000D2457">
        <w:rPr>
          <w:rFonts w:ascii="Arial" w:hAnsi="Arial" w:cs="Arial"/>
          <w:bCs/>
          <w:sz w:val="24"/>
          <w:szCs w:val="24"/>
          <w:lang w:val="es-PE"/>
        </w:rPr>
        <w:t>M</w:t>
      </w:r>
      <w:r w:rsidRPr="000D2457">
        <w:rPr>
          <w:rFonts w:ascii="Arial" w:hAnsi="Arial" w:cs="Arial"/>
          <w:sz w:val="24"/>
          <w:szCs w:val="24"/>
          <w:lang w:val="es-PE"/>
        </w:rPr>
        <w:t>uestra, producto, artefacto, material de referencia, parte de un equipo, patrón de medida, conjunto de datos u otra información utilizada en un ensayo de aptitud</w:t>
      </w:r>
      <w:r w:rsidRPr="000D2457">
        <w:rPr>
          <w:rFonts w:ascii="Arial" w:hAnsi="Arial" w:cs="Arial"/>
          <w:b/>
          <w:sz w:val="24"/>
          <w:szCs w:val="24"/>
          <w:lang w:val="es-PE"/>
        </w:rPr>
        <w:t>.</w:t>
      </w:r>
    </w:p>
    <w:p w:rsidR="002D71E5" w:rsidRPr="000D2457" w:rsidRDefault="002D71E5" w:rsidP="002D71E5">
      <w:pPr>
        <w:contextualSpacing/>
        <w:jc w:val="both"/>
        <w:rPr>
          <w:rFonts w:ascii="Arial" w:hAnsi="Arial" w:cs="Arial"/>
          <w:b/>
          <w:sz w:val="24"/>
          <w:szCs w:val="24"/>
          <w:lang w:val="es-PE"/>
        </w:rPr>
      </w:pPr>
    </w:p>
    <w:p w:rsidR="002D71E5" w:rsidRPr="000D2457" w:rsidRDefault="002D71E5" w:rsidP="002D71E5">
      <w:pPr>
        <w:contextualSpacing/>
        <w:jc w:val="both"/>
        <w:rPr>
          <w:rFonts w:ascii="Arial" w:hAnsi="Arial" w:cs="Arial"/>
          <w:b/>
          <w:sz w:val="24"/>
          <w:szCs w:val="24"/>
          <w:lang w:val="es-PE"/>
        </w:rPr>
      </w:pPr>
      <w:r w:rsidRPr="000D2457">
        <w:rPr>
          <w:rFonts w:ascii="Arial" w:hAnsi="Arial" w:cs="Arial"/>
          <w:b/>
          <w:sz w:val="24"/>
          <w:szCs w:val="24"/>
          <w:lang w:val="es-PE"/>
        </w:rPr>
        <w:t xml:space="preserve">Laboratorio: </w:t>
      </w:r>
      <w:r w:rsidRPr="000D2457">
        <w:rPr>
          <w:rFonts w:ascii="Arial" w:hAnsi="Arial" w:cs="Arial"/>
          <w:sz w:val="24"/>
          <w:szCs w:val="24"/>
          <w:lang w:val="es-PE"/>
        </w:rPr>
        <w:t>Lugar dotado de los medios necesarios para realizar investigaciones, experimentos y trabajos de carácter científico o técnico</w:t>
      </w:r>
      <w:r w:rsidRPr="000D2457">
        <w:rPr>
          <w:rFonts w:ascii="Arial" w:hAnsi="Arial" w:cs="Arial"/>
          <w:b/>
          <w:sz w:val="24"/>
          <w:szCs w:val="24"/>
          <w:lang w:val="es-PE"/>
        </w:rPr>
        <w:t>.</w:t>
      </w:r>
    </w:p>
    <w:p w:rsidR="002D71E5" w:rsidRPr="000D2457" w:rsidRDefault="002D71E5" w:rsidP="002D71E5">
      <w:pPr>
        <w:contextualSpacing/>
        <w:jc w:val="both"/>
        <w:rPr>
          <w:rFonts w:ascii="Arial" w:hAnsi="Arial" w:cs="Arial"/>
          <w:sz w:val="24"/>
          <w:szCs w:val="24"/>
          <w:lang w:val="es-PE"/>
        </w:rPr>
      </w:pPr>
    </w:p>
    <w:p w:rsidR="002D71E5" w:rsidRPr="000D2457" w:rsidRDefault="002D71E5" w:rsidP="002D71E5">
      <w:pPr>
        <w:contextualSpacing/>
        <w:jc w:val="both"/>
        <w:rPr>
          <w:rFonts w:ascii="Arial" w:hAnsi="Arial" w:cs="Arial"/>
          <w:sz w:val="24"/>
          <w:szCs w:val="24"/>
          <w:lang w:val="es-PE"/>
        </w:rPr>
      </w:pPr>
      <w:r w:rsidRPr="000D2457">
        <w:rPr>
          <w:rFonts w:ascii="Arial" w:hAnsi="Arial" w:cs="Arial"/>
          <w:b/>
          <w:sz w:val="24"/>
          <w:szCs w:val="24"/>
          <w:lang w:val="es-PE"/>
        </w:rPr>
        <w:t xml:space="preserve">Laboratorio de ensayos: </w:t>
      </w:r>
      <w:r w:rsidRPr="000D2457">
        <w:rPr>
          <w:rFonts w:ascii="Arial" w:hAnsi="Arial" w:cs="Arial"/>
          <w:sz w:val="24"/>
          <w:szCs w:val="24"/>
          <w:lang w:val="es-PE"/>
        </w:rPr>
        <w:t>Laboratorio que realiza ensayos.</w:t>
      </w:r>
    </w:p>
    <w:p w:rsidR="002D71E5" w:rsidRPr="000D2457" w:rsidRDefault="002D71E5" w:rsidP="002D71E5">
      <w:pPr>
        <w:contextualSpacing/>
        <w:jc w:val="both"/>
        <w:rPr>
          <w:rFonts w:ascii="Arial" w:hAnsi="Arial" w:cs="Arial"/>
          <w:sz w:val="24"/>
          <w:szCs w:val="24"/>
          <w:lang w:val="es-PE"/>
        </w:rPr>
      </w:pPr>
    </w:p>
    <w:p w:rsidR="002D71E5" w:rsidRPr="000D2457" w:rsidRDefault="002D71E5" w:rsidP="002D71E5">
      <w:pPr>
        <w:contextualSpacing/>
        <w:jc w:val="both"/>
        <w:rPr>
          <w:rFonts w:ascii="Arial" w:hAnsi="Arial" w:cs="Arial"/>
          <w:sz w:val="24"/>
          <w:szCs w:val="24"/>
          <w:lang w:val="es-PE"/>
        </w:rPr>
      </w:pPr>
      <w:r w:rsidRPr="000D2457">
        <w:rPr>
          <w:rFonts w:ascii="Arial" w:hAnsi="Arial" w:cs="Arial"/>
          <w:b/>
          <w:sz w:val="24"/>
          <w:szCs w:val="24"/>
          <w:lang w:val="es-PE"/>
        </w:rPr>
        <w:t xml:space="preserve">Laboratorio de calibración: </w:t>
      </w:r>
      <w:r w:rsidRPr="000D2457">
        <w:rPr>
          <w:rFonts w:ascii="Arial" w:hAnsi="Arial" w:cs="Arial"/>
          <w:sz w:val="24"/>
          <w:szCs w:val="24"/>
          <w:lang w:val="es-PE"/>
        </w:rPr>
        <w:t>Laboratorio que realiza calibraciones.</w:t>
      </w:r>
    </w:p>
    <w:p w:rsidR="002D71E5" w:rsidRPr="000D2457" w:rsidRDefault="002D71E5" w:rsidP="002D71E5">
      <w:pPr>
        <w:contextualSpacing/>
        <w:jc w:val="both"/>
        <w:rPr>
          <w:rFonts w:ascii="Arial" w:hAnsi="Arial" w:cs="Arial"/>
          <w:sz w:val="24"/>
          <w:szCs w:val="24"/>
          <w:lang w:val="es-PE"/>
        </w:rPr>
      </w:pPr>
    </w:p>
    <w:p w:rsidR="002D71E5" w:rsidRPr="000D2457" w:rsidRDefault="002D71E5" w:rsidP="002D71E5">
      <w:pPr>
        <w:contextualSpacing/>
        <w:jc w:val="both"/>
        <w:rPr>
          <w:rFonts w:ascii="Arial" w:hAnsi="Arial" w:cs="Arial"/>
          <w:sz w:val="24"/>
          <w:szCs w:val="24"/>
          <w:lang w:val="es-PE"/>
        </w:rPr>
      </w:pPr>
      <w:r w:rsidRPr="000D2457">
        <w:rPr>
          <w:rFonts w:ascii="Arial" w:hAnsi="Arial" w:cs="Arial"/>
          <w:b/>
          <w:sz w:val="24"/>
          <w:szCs w:val="24"/>
          <w:lang w:val="es-PE"/>
        </w:rPr>
        <w:t xml:space="preserve">Medición: </w:t>
      </w:r>
      <w:r w:rsidRPr="000D2457">
        <w:rPr>
          <w:rFonts w:ascii="Arial" w:hAnsi="Arial" w:cs="Arial"/>
          <w:sz w:val="24"/>
          <w:szCs w:val="24"/>
          <w:lang w:val="es-PE"/>
        </w:rPr>
        <w:t>Proceso que consiste en obtener experimentalmente uno o varios valores que pueden atribuirse razonablemente a una magnitud.</w:t>
      </w:r>
    </w:p>
    <w:p w:rsidR="002D71E5" w:rsidRPr="000D2457" w:rsidRDefault="002D71E5" w:rsidP="002D71E5">
      <w:pPr>
        <w:contextualSpacing/>
        <w:jc w:val="both"/>
        <w:rPr>
          <w:rFonts w:ascii="Arial" w:hAnsi="Arial" w:cs="Arial"/>
          <w:sz w:val="24"/>
          <w:szCs w:val="24"/>
          <w:lang w:val="es-PE"/>
        </w:rPr>
      </w:pPr>
    </w:p>
    <w:p w:rsidR="002D71E5" w:rsidRPr="000D2457" w:rsidRDefault="002D71E5" w:rsidP="002D71E5">
      <w:pPr>
        <w:contextualSpacing/>
        <w:jc w:val="both"/>
        <w:rPr>
          <w:rFonts w:ascii="Arial" w:hAnsi="Arial" w:cs="Arial"/>
          <w:sz w:val="24"/>
          <w:szCs w:val="24"/>
          <w:lang w:val="es-PE"/>
        </w:rPr>
      </w:pPr>
      <w:r w:rsidRPr="000D2457">
        <w:rPr>
          <w:rFonts w:ascii="Arial" w:hAnsi="Arial" w:cs="Arial"/>
          <w:b/>
          <w:sz w:val="24"/>
          <w:szCs w:val="24"/>
          <w:lang w:val="es-PE"/>
        </w:rPr>
        <w:t xml:space="preserve">Método de medición: </w:t>
      </w:r>
      <w:r w:rsidRPr="000D2457">
        <w:rPr>
          <w:rFonts w:ascii="Arial" w:hAnsi="Arial" w:cs="Arial"/>
          <w:sz w:val="24"/>
          <w:szCs w:val="24"/>
          <w:lang w:val="es-PE"/>
        </w:rPr>
        <w:t>Descripción genérica de la secuencia lógica de operaciones utilizadas en una medición.</w:t>
      </w:r>
    </w:p>
    <w:p w:rsidR="002D71E5" w:rsidRPr="000D2457" w:rsidRDefault="002D71E5" w:rsidP="002D71E5">
      <w:pPr>
        <w:contextualSpacing/>
        <w:jc w:val="both"/>
        <w:rPr>
          <w:rFonts w:ascii="Arial" w:hAnsi="Arial" w:cs="Arial"/>
          <w:sz w:val="24"/>
          <w:szCs w:val="24"/>
          <w:lang w:val="es-PE"/>
        </w:rPr>
      </w:pPr>
    </w:p>
    <w:p w:rsidR="002D71E5" w:rsidRPr="000D2457" w:rsidRDefault="002D71E5" w:rsidP="002D71E5">
      <w:pPr>
        <w:contextualSpacing/>
        <w:jc w:val="both"/>
        <w:rPr>
          <w:rFonts w:ascii="Arial" w:hAnsi="Arial" w:cs="Arial"/>
          <w:sz w:val="24"/>
          <w:szCs w:val="24"/>
          <w:lang w:val="es-PE"/>
        </w:rPr>
      </w:pPr>
      <w:r w:rsidRPr="000D2457">
        <w:rPr>
          <w:rFonts w:ascii="Arial" w:hAnsi="Arial" w:cs="Arial"/>
          <w:b/>
          <w:sz w:val="24"/>
          <w:szCs w:val="24"/>
          <w:lang w:val="es-PE"/>
        </w:rPr>
        <w:t xml:space="preserve">Metrología: </w:t>
      </w:r>
      <w:r w:rsidRPr="000D2457">
        <w:rPr>
          <w:rFonts w:ascii="Arial" w:hAnsi="Arial" w:cs="Arial"/>
          <w:sz w:val="24"/>
          <w:szCs w:val="24"/>
          <w:lang w:val="es-PE"/>
        </w:rPr>
        <w:t>Ciencia de las mediciones y sus aplicaciones</w:t>
      </w:r>
      <w:r w:rsidRPr="000D2457">
        <w:rPr>
          <w:rFonts w:ascii="Arial" w:hAnsi="Arial" w:cs="Arial"/>
          <w:b/>
          <w:sz w:val="24"/>
          <w:szCs w:val="24"/>
          <w:lang w:val="es-PE"/>
        </w:rPr>
        <w:t>.</w:t>
      </w:r>
    </w:p>
    <w:p w:rsidR="002D71E5" w:rsidRPr="000D2457" w:rsidRDefault="002D71E5" w:rsidP="002D71E5">
      <w:pPr>
        <w:jc w:val="both"/>
        <w:rPr>
          <w:rFonts w:ascii="Arial" w:hAnsi="Arial" w:cs="Arial"/>
          <w:sz w:val="24"/>
          <w:szCs w:val="24"/>
          <w:lang w:val="es-PE"/>
        </w:rPr>
      </w:pPr>
    </w:p>
    <w:p w:rsidR="002D71E5" w:rsidRPr="000D2457" w:rsidRDefault="002D71E5" w:rsidP="002D71E5">
      <w:pPr>
        <w:jc w:val="both"/>
        <w:rPr>
          <w:rFonts w:ascii="Arial" w:hAnsi="Arial" w:cs="Arial"/>
          <w:sz w:val="24"/>
          <w:szCs w:val="24"/>
          <w:lang w:val="es-PE"/>
        </w:rPr>
      </w:pPr>
      <w:r w:rsidRPr="000D2457">
        <w:rPr>
          <w:rFonts w:ascii="Arial" w:hAnsi="Arial" w:cs="Arial"/>
          <w:b/>
          <w:sz w:val="24"/>
          <w:szCs w:val="24"/>
          <w:lang w:val="es-PE"/>
        </w:rPr>
        <w:t>Material de referencia:</w:t>
      </w:r>
      <w:r w:rsidRPr="000D2457">
        <w:rPr>
          <w:rFonts w:ascii="Arial" w:hAnsi="Arial" w:cs="Arial"/>
          <w:sz w:val="24"/>
          <w:szCs w:val="24"/>
          <w:lang w:val="es-PE"/>
        </w:rPr>
        <w:t xml:space="preserve"> Material suficientemente homogéneo y estable con respecto a una o más propiedades especificadas, que se ha establecido que es idóneo para el uso previsto en un proceso de medición. Las propiedades pueden ser cuantitativas o cualitativas, por ejemplo, identidad de las sustancias o especies. Los usos pueden incluir la calibración de un sistema de medición, la evaluación de un procedimiento de medición, la asignación de valores a otros materiales y control de calidad.</w:t>
      </w:r>
    </w:p>
    <w:p w:rsidR="002D71E5" w:rsidRPr="000D2457" w:rsidRDefault="002D71E5" w:rsidP="002D71E5">
      <w:pPr>
        <w:contextualSpacing/>
        <w:jc w:val="both"/>
        <w:rPr>
          <w:rFonts w:ascii="Arial" w:hAnsi="Arial" w:cs="Arial"/>
          <w:sz w:val="24"/>
          <w:szCs w:val="24"/>
          <w:lang w:val="es-PE"/>
        </w:rPr>
      </w:pPr>
    </w:p>
    <w:p w:rsidR="002D71E5" w:rsidRPr="000D2457" w:rsidRDefault="002D71E5" w:rsidP="002D71E5">
      <w:pPr>
        <w:contextualSpacing/>
        <w:jc w:val="both"/>
        <w:rPr>
          <w:rFonts w:ascii="Arial" w:hAnsi="Arial" w:cs="Arial"/>
          <w:sz w:val="24"/>
          <w:szCs w:val="24"/>
          <w:lang w:val="es-PE"/>
        </w:rPr>
      </w:pPr>
      <w:r w:rsidRPr="000D2457">
        <w:rPr>
          <w:rFonts w:ascii="Arial" w:hAnsi="Arial" w:cs="Arial"/>
          <w:b/>
          <w:sz w:val="24"/>
          <w:szCs w:val="24"/>
          <w:lang w:val="es-PE"/>
        </w:rPr>
        <w:t xml:space="preserve">Organismo de Acreditación: </w:t>
      </w:r>
      <w:r w:rsidRPr="000D2457">
        <w:rPr>
          <w:rFonts w:ascii="Arial" w:hAnsi="Arial" w:cs="Arial"/>
          <w:sz w:val="24"/>
          <w:szCs w:val="24"/>
          <w:lang w:val="es-PE"/>
        </w:rPr>
        <w:t>Organismo autorizado que realiza la acreditación</w:t>
      </w:r>
      <w:r w:rsidRPr="000D2457">
        <w:rPr>
          <w:rFonts w:ascii="Arial" w:hAnsi="Arial" w:cs="Arial"/>
          <w:b/>
          <w:sz w:val="24"/>
          <w:szCs w:val="24"/>
          <w:lang w:val="es-PE"/>
        </w:rPr>
        <w:t>.</w:t>
      </w:r>
    </w:p>
    <w:p w:rsidR="002D71E5" w:rsidRPr="000D2457" w:rsidRDefault="002D71E5" w:rsidP="002D71E5">
      <w:pPr>
        <w:tabs>
          <w:tab w:val="left" w:pos="1365"/>
        </w:tabs>
        <w:jc w:val="both"/>
        <w:rPr>
          <w:rFonts w:ascii="Arial" w:hAnsi="Arial" w:cs="Arial"/>
          <w:sz w:val="24"/>
          <w:szCs w:val="24"/>
          <w:lang w:val="es-PE"/>
        </w:rPr>
      </w:pPr>
    </w:p>
    <w:p w:rsidR="002D71E5" w:rsidRPr="000D2457" w:rsidRDefault="002D71E5" w:rsidP="002D71E5">
      <w:pPr>
        <w:tabs>
          <w:tab w:val="left" w:pos="1365"/>
        </w:tabs>
        <w:jc w:val="both"/>
        <w:rPr>
          <w:rFonts w:ascii="Arial" w:hAnsi="Arial" w:cs="Arial"/>
          <w:sz w:val="24"/>
          <w:szCs w:val="24"/>
          <w:lang w:val="es-PE"/>
        </w:rPr>
      </w:pPr>
      <w:r w:rsidRPr="000D2457">
        <w:rPr>
          <w:rFonts w:ascii="Arial" w:hAnsi="Arial" w:cs="Arial"/>
          <w:b/>
          <w:sz w:val="24"/>
          <w:szCs w:val="24"/>
          <w:lang w:val="es-PE"/>
        </w:rPr>
        <w:t xml:space="preserve">Organismo Nacional de Acreditación (ONA): </w:t>
      </w:r>
      <w:r w:rsidRPr="000D2457">
        <w:rPr>
          <w:rFonts w:ascii="Arial" w:hAnsi="Arial" w:cs="Arial"/>
          <w:sz w:val="24"/>
          <w:szCs w:val="24"/>
          <w:lang w:val="es-PE"/>
        </w:rPr>
        <w:t>Organismo de acreditación competente de un País Miembro que lleva a cabo la acreditación de los laboratorios ya sea de ensayo o de calibración, organismos de certificación, organismos de ensayos de aptitud y organismos de inspección, previa evaluación de la competencia técnica.</w:t>
      </w:r>
    </w:p>
    <w:p w:rsidR="002D71E5" w:rsidRPr="000D2457" w:rsidRDefault="002D71E5" w:rsidP="002D71E5">
      <w:pPr>
        <w:contextualSpacing/>
        <w:jc w:val="both"/>
        <w:rPr>
          <w:rFonts w:ascii="Arial" w:hAnsi="Arial" w:cs="Arial"/>
          <w:b/>
          <w:sz w:val="24"/>
          <w:szCs w:val="24"/>
          <w:lang w:val="es-PE"/>
        </w:rPr>
      </w:pPr>
    </w:p>
    <w:p w:rsidR="002D71E5" w:rsidRPr="000D2457" w:rsidRDefault="002D71E5" w:rsidP="002D71E5">
      <w:pPr>
        <w:contextualSpacing/>
        <w:jc w:val="both"/>
        <w:rPr>
          <w:rFonts w:ascii="Arial" w:hAnsi="Arial" w:cs="Arial"/>
          <w:sz w:val="24"/>
          <w:szCs w:val="24"/>
          <w:lang w:val="es-PE"/>
        </w:rPr>
      </w:pPr>
      <w:r w:rsidRPr="000D2457">
        <w:rPr>
          <w:rFonts w:ascii="Arial" w:hAnsi="Arial" w:cs="Arial"/>
          <w:b/>
          <w:sz w:val="24"/>
          <w:szCs w:val="24"/>
          <w:lang w:val="es-PE"/>
        </w:rPr>
        <w:t xml:space="preserve">Organismo de evaluación de la conformidad: </w:t>
      </w:r>
      <w:r w:rsidRPr="000D2457">
        <w:rPr>
          <w:rFonts w:ascii="Arial" w:hAnsi="Arial" w:cs="Arial"/>
          <w:sz w:val="24"/>
          <w:szCs w:val="24"/>
          <w:lang w:val="es-PE"/>
        </w:rPr>
        <w:t>Organismo que proporciona servicios de evaluación de la conformidad.</w:t>
      </w:r>
    </w:p>
    <w:p w:rsidR="002D71E5" w:rsidRPr="000D2457" w:rsidRDefault="002D71E5" w:rsidP="002D71E5">
      <w:pPr>
        <w:jc w:val="both"/>
        <w:rPr>
          <w:rFonts w:ascii="Arial" w:hAnsi="Arial" w:cs="Arial"/>
          <w:sz w:val="24"/>
          <w:szCs w:val="24"/>
          <w:lang w:val="es-PE"/>
        </w:rPr>
      </w:pPr>
    </w:p>
    <w:p w:rsidR="002D71E5" w:rsidRPr="000D2457" w:rsidRDefault="002D71E5" w:rsidP="002D71E5">
      <w:pPr>
        <w:jc w:val="both"/>
        <w:rPr>
          <w:rFonts w:ascii="Arial" w:hAnsi="Arial" w:cs="Arial"/>
          <w:sz w:val="24"/>
          <w:szCs w:val="24"/>
          <w:lang w:val="es-MX"/>
        </w:rPr>
      </w:pPr>
      <w:r w:rsidRPr="000D2457">
        <w:rPr>
          <w:rFonts w:ascii="Arial" w:hAnsi="Arial" w:cs="Arial"/>
          <w:b/>
          <w:sz w:val="24"/>
          <w:szCs w:val="24"/>
          <w:lang w:val="es-PE"/>
        </w:rPr>
        <w:t>Patrón de medición:</w:t>
      </w:r>
      <w:r w:rsidRPr="000D2457">
        <w:rPr>
          <w:rFonts w:ascii="Arial" w:hAnsi="Arial" w:cs="Arial"/>
          <w:sz w:val="24"/>
          <w:szCs w:val="24"/>
          <w:lang w:val="es-PE"/>
        </w:rPr>
        <w:t xml:space="preserve"> </w:t>
      </w:r>
      <w:r w:rsidRPr="000D2457">
        <w:rPr>
          <w:rFonts w:ascii="Arial" w:hAnsi="Arial" w:cs="Arial"/>
          <w:sz w:val="24"/>
          <w:szCs w:val="24"/>
          <w:lang w:val="es-MX"/>
        </w:rPr>
        <w:t>Realización de la definición de una magnitud dada, con un valor determinado y una incertidumbre de medición asociada, tomada como referencia.</w:t>
      </w:r>
    </w:p>
    <w:p w:rsidR="002D71E5" w:rsidRPr="000D2457" w:rsidRDefault="002D71E5" w:rsidP="002D71E5">
      <w:pPr>
        <w:autoSpaceDE w:val="0"/>
        <w:autoSpaceDN w:val="0"/>
        <w:adjustRightInd w:val="0"/>
        <w:ind w:left="720"/>
        <w:contextualSpacing/>
        <w:jc w:val="both"/>
        <w:outlineLvl w:val="0"/>
        <w:rPr>
          <w:rFonts w:ascii="Arial" w:hAnsi="Arial" w:cs="Arial"/>
          <w:color w:val="000000"/>
          <w:sz w:val="24"/>
          <w:szCs w:val="24"/>
          <w:lang w:val="es-MX"/>
        </w:rPr>
      </w:pPr>
      <w:r w:rsidRPr="000D2457">
        <w:rPr>
          <w:rFonts w:ascii="Arial" w:hAnsi="Arial" w:cs="Arial"/>
          <w:sz w:val="24"/>
          <w:szCs w:val="24"/>
          <w:lang w:val="es-MX"/>
        </w:rPr>
        <w:t xml:space="preserve">EJEMPLO </w:t>
      </w:r>
      <w:r w:rsidRPr="000D2457">
        <w:rPr>
          <w:rFonts w:ascii="Arial" w:hAnsi="Arial" w:cs="Arial"/>
          <w:color w:val="000000"/>
          <w:sz w:val="24"/>
          <w:szCs w:val="24"/>
          <w:lang w:val="es-MX"/>
        </w:rPr>
        <w:t>1: Patrón de masa de 1 kg, con una incertidumbre estándar asociada   de  3 µg.</w:t>
      </w:r>
    </w:p>
    <w:p w:rsidR="002D71E5" w:rsidRPr="000D2457" w:rsidRDefault="002D71E5" w:rsidP="002D71E5">
      <w:pPr>
        <w:autoSpaceDE w:val="0"/>
        <w:autoSpaceDN w:val="0"/>
        <w:adjustRightInd w:val="0"/>
        <w:ind w:left="720"/>
        <w:contextualSpacing/>
        <w:jc w:val="both"/>
        <w:outlineLvl w:val="0"/>
        <w:rPr>
          <w:rFonts w:ascii="Arial" w:hAnsi="Arial" w:cs="Arial"/>
          <w:color w:val="000000"/>
          <w:sz w:val="24"/>
          <w:szCs w:val="24"/>
          <w:lang w:val="es-MX"/>
        </w:rPr>
      </w:pPr>
      <w:r w:rsidRPr="000D2457">
        <w:rPr>
          <w:rFonts w:ascii="Arial" w:hAnsi="Arial" w:cs="Arial"/>
          <w:color w:val="000000"/>
          <w:sz w:val="24"/>
          <w:szCs w:val="24"/>
          <w:lang w:val="es-MX"/>
        </w:rPr>
        <w:lastRenderedPageBreak/>
        <w:t>EJEMPLO 2: Resistencia patrón de 100 Ω, con una incertidumbre estándar asociada de 1 µΩ.</w:t>
      </w:r>
    </w:p>
    <w:p w:rsidR="002D71E5" w:rsidRPr="000D2457" w:rsidRDefault="002D71E5" w:rsidP="002D71E5">
      <w:pPr>
        <w:autoSpaceDE w:val="0"/>
        <w:autoSpaceDN w:val="0"/>
        <w:adjustRightInd w:val="0"/>
        <w:ind w:left="720"/>
        <w:contextualSpacing/>
        <w:jc w:val="both"/>
        <w:outlineLvl w:val="0"/>
        <w:rPr>
          <w:rFonts w:ascii="Arial" w:hAnsi="Arial" w:cs="Arial"/>
          <w:color w:val="000000"/>
          <w:sz w:val="24"/>
          <w:szCs w:val="24"/>
          <w:lang w:val="es-MX"/>
        </w:rPr>
      </w:pPr>
      <w:r w:rsidRPr="000D2457">
        <w:rPr>
          <w:rFonts w:ascii="Arial" w:hAnsi="Arial" w:cs="Arial"/>
          <w:color w:val="000000"/>
          <w:sz w:val="24"/>
          <w:szCs w:val="24"/>
          <w:lang w:val="es-MX"/>
        </w:rPr>
        <w:t>EJEMPLO 3: Patrón de frecuencia de cesio, con una incertidumbre estándar relativa asociada de 2 x 10</w:t>
      </w:r>
      <w:r w:rsidRPr="000D2457">
        <w:rPr>
          <w:rFonts w:ascii="Arial" w:hAnsi="Arial" w:cs="Arial"/>
          <w:color w:val="000000"/>
          <w:sz w:val="24"/>
          <w:szCs w:val="24"/>
          <w:vertAlign w:val="superscript"/>
          <w:lang w:val="es-MX"/>
        </w:rPr>
        <w:t>-15</w:t>
      </w:r>
      <w:r w:rsidRPr="000D2457">
        <w:rPr>
          <w:rFonts w:ascii="Arial" w:hAnsi="Arial" w:cs="Arial"/>
          <w:color w:val="000000"/>
          <w:sz w:val="24"/>
          <w:szCs w:val="24"/>
          <w:lang w:val="es-MX"/>
        </w:rPr>
        <w:t xml:space="preserve"> </w:t>
      </w:r>
    </w:p>
    <w:p w:rsidR="002D71E5" w:rsidRPr="000D2457" w:rsidRDefault="002D71E5" w:rsidP="002D71E5">
      <w:pPr>
        <w:autoSpaceDE w:val="0"/>
        <w:autoSpaceDN w:val="0"/>
        <w:adjustRightInd w:val="0"/>
        <w:ind w:left="720"/>
        <w:contextualSpacing/>
        <w:jc w:val="both"/>
        <w:outlineLvl w:val="0"/>
        <w:rPr>
          <w:rFonts w:ascii="Arial" w:hAnsi="Arial" w:cs="Arial"/>
          <w:sz w:val="24"/>
          <w:szCs w:val="24"/>
          <w:lang w:val="es-MX"/>
        </w:rPr>
      </w:pPr>
      <w:r w:rsidRPr="000D2457">
        <w:rPr>
          <w:rFonts w:ascii="Arial" w:hAnsi="Arial" w:cs="Arial"/>
          <w:color w:val="000000"/>
          <w:sz w:val="24"/>
          <w:szCs w:val="24"/>
          <w:lang w:val="es-MX"/>
        </w:rPr>
        <w:t>EJEMPLO 4: Solución tampón de referencia con un pH de 7,072 y una incertidumbre estándar asociada</w:t>
      </w:r>
      <w:r w:rsidRPr="000D2457">
        <w:rPr>
          <w:rFonts w:ascii="Arial" w:hAnsi="Arial" w:cs="Arial"/>
          <w:sz w:val="24"/>
          <w:szCs w:val="24"/>
          <w:lang w:val="es-MX"/>
        </w:rPr>
        <w:t xml:space="preserve"> de 0,006.</w:t>
      </w:r>
    </w:p>
    <w:p w:rsidR="002D71E5" w:rsidRPr="000D2457" w:rsidRDefault="002D71E5" w:rsidP="002D71E5">
      <w:pPr>
        <w:autoSpaceDE w:val="0"/>
        <w:autoSpaceDN w:val="0"/>
        <w:adjustRightInd w:val="0"/>
        <w:ind w:left="720"/>
        <w:contextualSpacing/>
        <w:jc w:val="both"/>
        <w:outlineLvl w:val="0"/>
        <w:rPr>
          <w:rFonts w:ascii="Arial" w:hAnsi="Arial" w:cs="Arial"/>
          <w:color w:val="000000"/>
          <w:sz w:val="24"/>
          <w:szCs w:val="24"/>
          <w:lang w:val="es-MX"/>
        </w:rPr>
      </w:pPr>
      <w:r w:rsidRPr="000D2457">
        <w:rPr>
          <w:rFonts w:ascii="Arial" w:hAnsi="Arial" w:cs="Arial"/>
          <w:sz w:val="24"/>
          <w:szCs w:val="24"/>
          <w:lang w:val="es-MX"/>
        </w:rPr>
        <w:t xml:space="preserve">EJEMPLO 5: </w:t>
      </w:r>
      <w:r w:rsidRPr="000D2457">
        <w:rPr>
          <w:rFonts w:ascii="Arial" w:hAnsi="Arial" w:cs="Arial"/>
          <w:color w:val="000000"/>
          <w:sz w:val="24"/>
          <w:szCs w:val="24"/>
          <w:lang w:val="es-MX"/>
        </w:rPr>
        <w:t xml:space="preserve">Conjunto de soluciones de referencia, de </w:t>
      </w:r>
      <w:proofErr w:type="spellStart"/>
      <w:r w:rsidRPr="000D2457">
        <w:rPr>
          <w:rFonts w:ascii="Arial" w:hAnsi="Arial" w:cs="Arial"/>
          <w:color w:val="000000"/>
          <w:sz w:val="24"/>
          <w:szCs w:val="24"/>
          <w:lang w:val="es-MX"/>
        </w:rPr>
        <w:t>cortisol</w:t>
      </w:r>
      <w:proofErr w:type="spellEnd"/>
      <w:r w:rsidRPr="000D2457">
        <w:rPr>
          <w:rFonts w:ascii="Arial" w:hAnsi="Arial" w:cs="Arial"/>
          <w:color w:val="000000"/>
          <w:sz w:val="24"/>
          <w:szCs w:val="24"/>
          <w:lang w:val="es-MX"/>
        </w:rPr>
        <w:t xml:space="preserve"> en suero humano, que tienen un valor certificado con una incertidumbre de medición para cada solución.</w:t>
      </w:r>
    </w:p>
    <w:p w:rsidR="002D71E5" w:rsidRPr="000D2457" w:rsidRDefault="002D71E5" w:rsidP="002D71E5">
      <w:pPr>
        <w:autoSpaceDE w:val="0"/>
        <w:autoSpaceDN w:val="0"/>
        <w:adjustRightInd w:val="0"/>
        <w:ind w:left="720"/>
        <w:contextualSpacing/>
        <w:jc w:val="both"/>
        <w:outlineLvl w:val="0"/>
        <w:rPr>
          <w:rFonts w:ascii="Arial" w:hAnsi="Arial" w:cs="Arial"/>
          <w:sz w:val="24"/>
          <w:szCs w:val="24"/>
          <w:lang w:val="es-MX"/>
        </w:rPr>
      </w:pPr>
      <w:r w:rsidRPr="000D2457">
        <w:rPr>
          <w:rFonts w:ascii="Arial" w:hAnsi="Arial" w:cs="Arial"/>
          <w:sz w:val="24"/>
          <w:szCs w:val="24"/>
          <w:lang w:val="es-MX"/>
        </w:rPr>
        <w:t xml:space="preserve">EJEMPLO </w:t>
      </w:r>
      <w:r w:rsidRPr="000D2457">
        <w:rPr>
          <w:rFonts w:ascii="Arial" w:hAnsi="Arial" w:cs="Arial"/>
          <w:color w:val="000000"/>
          <w:sz w:val="24"/>
          <w:szCs w:val="24"/>
          <w:lang w:val="es-MX"/>
        </w:rPr>
        <w:t>6: Material</w:t>
      </w:r>
      <w:r w:rsidRPr="000D2457">
        <w:rPr>
          <w:rFonts w:ascii="Arial" w:hAnsi="Arial" w:cs="Arial"/>
          <w:sz w:val="24"/>
          <w:szCs w:val="24"/>
          <w:lang w:val="es-MX"/>
        </w:rPr>
        <w:t xml:space="preserve"> de referencia con valores e incertidumbres de medición asociadas, para la concentración de masa de diez proteínas diferentes.</w:t>
      </w:r>
    </w:p>
    <w:p w:rsidR="002D71E5" w:rsidRPr="000D2457" w:rsidRDefault="002D71E5" w:rsidP="002D71E5">
      <w:pPr>
        <w:autoSpaceDE w:val="0"/>
        <w:autoSpaceDN w:val="0"/>
        <w:adjustRightInd w:val="0"/>
        <w:ind w:left="720"/>
        <w:contextualSpacing/>
        <w:jc w:val="both"/>
        <w:outlineLvl w:val="0"/>
        <w:rPr>
          <w:rFonts w:ascii="Arial" w:hAnsi="Arial" w:cs="Arial"/>
          <w:sz w:val="24"/>
          <w:szCs w:val="24"/>
          <w:lang w:val="es-MX"/>
        </w:rPr>
      </w:pPr>
    </w:p>
    <w:p w:rsidR="002D71E5" w:rsidRDefault="002D71E5" w:rsidP="002D71E5">
      <w:pPr>
        <w:contextualSpacing/>
        <w:jc w:val="both"/>
        <w:rPr>
          <w:rFonts w:ascii="Arial" w:hAnsi="Arial" w:cs="Arial"/>
          <w:sz w:val="24"/>
          <w:szCs w:val="24"/>
          <w:lang w:val="es-PE"/>
        </w:rPr>
      </w:pPr>
      <w:r w:rsidRPr="000D2457">
        <w:rPr>
          <w:rFonts w:ascii="Arial" w:hAnsi="Arial" w:cs="Arial"/>
          <w:b/>
          <w:sz w:val="24"/>
          <w:szCs w:val="24"/>
          <w:lang w:val="es-PE"/>
        </w:rPr>
        <w:t>Patrón de medición internacional</w:t>
      </w:r>
      <w:r w:rsidRPr="000D2457">
        <w:rPr>
          <w:rFonts w:ascii="Arial" w:hAnsi="Arial" w:cs="Arial"/>
          <w:sz w:val="24"/>
          <w:szCs w:val="24"/>
          <w:lang w:val="es-PE"/>
        </w:rPr>
        <w:t>: Patrón de medición reconocido por los firmantes de un acuerdo internacional con la intención de ser utilizado mundialmente.</w:t>
      </w:r>
    </w:p>
    <w:p w:rsidR="008E21E0" w:rsidRPr="000D2457" w:rsidRDefault="008E21E0" w:rsidP="002D71E5">
      <w:pPr>
        <w:contextualSpacing/>
        <w:jc w:val="both"/>
        <w:rPr>
          <w:rFonts w:ascii="Arial" w:hAnsi="Arial" w:cs="Arial"/>
          <w:sz w:val="24"/>
          <w:szCs w:val="24"/>
          <w:lang w:val="es-PE"/>
        </w:rPr>
      </w:pPr>
    </w:p>
    <w:p w:rsidR="002D71E5" w:rsidRPr="000D2457" w:rsidRDefault="002D71E5" w:rsidP="002D71E5">
      <w:pPr>
        <w:autoSpaceDE w:val="0"/>
        <w:autoSpaceDN w:val="0"/>
        <w:adjustRightInd w:val="0"/>
        <w:ind w:left="720"/>
        <w:contextualSpacing/>
        <w:jc w:val="both"/>
        <w:outlineLvl w:val="0"/>
        <w:rPr>
          <w:rFonts w:ascii="Arial" w:hAnsi="Arial" w:cs="Arial"/>
          <w:sz w:val="24"/>
          <w:szCs w:val="24"/>
          <w:lang w:val="es-MX"/>
        </w:rPr>
      </w:pPr>
      <w:r w:rsidRPr="000D2457">
        <w:rPr>
          <w:rFonts w:ascii="Arial" w:hAnsi="Arial" w:cs="Arial"/>
          <w:sz w:val="24"/>
          <w:szCs w:val="24"/>
          <w:lang w:val="es-MX"/>
        </w:rPr>
        <w:t>EJEMPLO 1: El prototipo internacional del kilogramo</w:t>
      </w:r>
    </w:p>
    <w:p w:rsidR="002D71E5" w:rsidRPr="000D2457" w:rsidRDefault="002D71E5" w:rsidP="002D71E5">
      <w:pPr>
        <w:autoSpaceDE w:val="0"/>
        <w:autoSpaceDN w:val="0"/>
        <w:adjustRightInd w:val="0"/>
        <w:ind w:left="720"/>
        <w:contextualSpacing/>
        <w:jc w:val="both"/>
        <w:outlineLvl w:val="0"/>
        <w:rPr>
          <w:rFonts w:ascii="Arial" w:hAnsi="Arial" w:cs="Arial"/>
          <w:sz w:val="24"/>
          <w:szCs w:val="24"/>
          <w:lang w:val="es-MX"/>
        </w:rPr>
      </w:pPr>
      <w:r w:rsidRPr="000D2457">
        <w:rPr>
          <w:rFonts w:ascii="Arial" w:hAnsi="Arial" w:cs="Arial"/>
          <w:sz w:val="24"/>
          <w:szCs w:val="24"/>
          <w:lang w:val="es-MX"/>
        </w:rPr>
        <w:t xml:space="preserve">EJEMPLO 2: La </w:t>
      </w:r>
      <w:proofErr w:type="spellStart"/>
      <w:r w:rsidRPr="000D2457">
        <w:rPr>
          <w:rFonts w:ascii="Arial" w:hAnsi="Arial" w:cs="Arial"/>
          <w:sz w:val="24"/>
          <w:szCs w:val="24"/>
          <w:lang w:val="es-MX"/>
        </w:rPr>
        <w:t>gonadotropina</w:t>
      </w:r>
      <w:proofErr w:type="spellEnd"/>
      <w:r w:rsidRPr="000D2457">
        <w:rPr>
          <w:rFonts w:ascii="Arial" w:hAnsi="Arial" w:cs="Arial"/>
          <w:sz w:val="24"/>
          <w:szCs w:val="24"/>
          <w:lang w:val="es-MX"/>
        </w:rPr>
        <w:t xml:space="preserve"> </w:t>
      </w:r>
      <w:proofErr w:type="spellStart"/>
      <w:r w:rsidRPr="000D2457">
        <w:rPr>
          <w:rFonts w:ascii="Arial" w:hAnsi="Arial" w:cs="Arial"/>
          <w:sz w:val="24"/>
          <w:szCs w:val="24"/>
          <w:lang w:val="es-MX"/>
        </w:rPr>
        <w:t>coriónica</w:t>
      </w:r>
      <w:proofErr w:type="spellEnd"/>
      <w:r w:rsidRPr="000D2457">
        <w:rPr>
          <w:rFonts w:ascii="Arial" w:hAnsi="Arial" w:cs="Arial"/>
          <w:sz w:val="24"/>
          <w:szCs w:val="24"/>
          <w:lang w:val="es-MX"/>
        </w:rPr>
        <w:t>. 4º patrón internacional de la  Organización Mundial de la Salud (OMS), 1999, 75/589, 650 Unidades Internacionales por ampolla.</w:t>
      </w:r>
    </w:p>
    <w:p w:rsidR="002D71E5" w:rsidRPr="000D2457" w:rsidRDefault="002D71E5" w:rsidP="002D71E5">
      <w:pPr>
        <w:autoSpaceDE w:val="0"/>
        <w:autoSpaceDN w:val="0"/>
        <w:adjustRightInd w:val="0"/>
        <w:ind w:left="720"/>
        <w:contextualSpacing/>
        <w:jc w:val="both"/>
        <w:outlineLvl w:val="0"/>
        <w:rPr>
          <w:rFonts w:ascii="Arial" w:hAnsi="Arial" w:cs="Arial"/>
          <w:sz w:val="24"/>
          <w:szCs w:val="24"/>
          <w:lang w:val="es-MX"/>
        </w:rPr>
      </w:pPr>
      <w:r w:rsidRPr="000D2457">
        <w:rPr>
          <w:rFonts w:ascii="Arial" w:hAnsi="Arial" w:cs="Arial"/>
          <w:sz w:val="24"/>
          <w:szCs w:val="24"/>
          <w:lang w:val="es-MX"/>
        </w:rPr>
        <w:t>EJEMPLO 3:  Agua Oceánica Media Normalizada de Viena (VSMOW2) distribuida por la Agencia Internacional de  Energía Atómica (AIEA) para las mediciones diferenciales de relaciones molares de isótopos estables</w:t>
      </w:r>
    </w:p>
    <w:p w:rsidR="002D71E5" w:rsidRPr="000D2457" w:rsidRDefault="002D71E5" w:rsidP="002D71E5">
      <w:pPr>
        <w:autoSpaceDE w:val="0"/>
        <w:autoSpaceDN w:val="0"/>
        <w:adjustRightInd w:val="0"/>
        <w:ind w:left="720"/>
        <w:contextualSpacing/>
        <w:jc w:val="both"/>
        <w:outlineLvl w:val="0"/>
        <w:rPr>
          <w:rFonts w:ascii="Arial" w:hAnsi="Arial" w:cs="Arial"/>
          <w:sz w:val="24"/>
          <w:szCs w:val="24"/>
          <w:lang w:val="es-MX"/>
        </w:rPr>
      </w:pPr>
    </w:p>
    <w:p w:rsidR="002D71E5" w:rsidRPr="000D2457" w:rsidRDefault="002D71E5" w:rsidP="002D71E5">
      <w:pPr>
        <w:autoSpaceDE w:val="0"/>
        <w:autoSpaceDN w:val="0"/>
        <w:adjustRightInd w:val="0"/>
        <w:contextualSpacing/>
        <w:jc w:val="both"/>
        <w:outlineLvl w:val="0"/>
        <w:rPr>
          <w:rFonts w:ascii="Arial" w:hAnsi="Arial" w:cs="Arial"/>
          <w:sz w:val="24"/>
          <w:szCs w:val="24"/>
          <w:lang w:val="es-MX"/>
        </w:rPr>
      </w:pPr>
      <w:r w:rsidRPr="000D2457">
        <w:rPr>
          <w:rFonts w:ascii="Arial" w:hAnsi="Arial" w:cs="Arial"/>
          <w:b/>
          <w:sz w:val="24"/>
          <w:szCs w:val="24"/>
          <w:lang w:val="es-PE"/>
        </w:rPr>
        <w:t>Patrón de medición nacional</w:t>
      </w:r>
      <w:r w:rsidRPr="000D2457">
        <w:rPr>
          <w:rFonts w:ascii="Arial" w:hAnsi="Arial" w:cs="Arial"/>
          <w:sz w:val="24"/>
          <w:szCs w:val="24"/>
          <w:lang w:val="es-PE"/>
        </w:rPr>
        <w:t>: Patrón reconocido por una autoridad nacional para servir, en un estado o economía, como base para la asignación de valores a otros patrones de magnitudes de la misma naturaleza.</w:t>
      </w:r>
    </w:p>
    <w:p w:rsidR="002D71E5" w:rsidRPr="000D2457" w:rsidRDefault="002D71E5" w:rsidP="002D71E5">
      <w:pPr>
        <w:autoSpaceDE w:val="0"/>
        <w:autoSpaceDN w:val="0"/>
        <w:adjustRightInd w:val="0"/>
        <w:contextualSpacing/>
        <w:jc w:val="both"/>
        <w:outlineLvl w:val="0"/>
        <w:rPr>
          <w:rFonts w:ascii="Arial" w:hAnsi="Arial" w:cs="Arial"/>
          <w:sz w:val="24"/>
          <w:szCs w:val="24"/>
          <w:lang w:val="es-MX"/>
        </w:rPr>
      </w:pPr>
    </w:p>
    <w:p w:rsidR="002D71E5" w:rsidRPr="000D2457" w:rsidRDefault="002D71E5" w:rsidP="002D71E5">
      <w:pPr>
        <w:autoSpaceDE w:val="0"/>
        <w:autoSpaceDN w:val="0"/>
        <w:adjustRightInd w:val="0"/>
        <w:contextualSpacing/>
        <w:jc w:val="both"/>
        <w:outlineLvl w:val="0"/>
        <w:rPr>
          <w:rFonts w:ascii="Arial" w:hAnsi="Arial" w:cs="Arial"/>
          <w:sz w:val="24"/>
          <w:szCs w:val="24"/>
          <w:lang w:val="es-MX"/>
        </w:rPr>
      </w:pPr>
      <w:r w:rsidRPr="000D2457">
        <w:rPr>
          <w:rFonts w:ascii="Arial" w:hAnsi="Arial" w:cs="Arial"/>
          <w:b/>
          <w:sz w:val="24"/>
          <w:szCs w:val="24"/>
          <w:lang w:val="es-PE"/>
        </w:rPr>
        <w:t xml:space="preserve">Patrón de medición de referencia: </w:t>
      </w:r>
      <w:r w:rsidRPr="000D2457">
        <w:rPr>
          <w:rFonts w:ascii="Arial" w:hAnsi="Arial" w:cs="Arial"/>
          <w:sz w:val="24"/>
          <w:szCs w:val="24"/>
          <w:lang w:val="es-PE"/>
        </w:rPr>
        <w:t>Patrón designado para la calibración de otros patrones de magnitudes de la misma naturaleza, en una organización o lugar dado</w:t>
      </w:r>
      <w:r w:rsidRPr="000D2457">
        <w:rPr>
          <w:rFonts w:ascii="Arial" w:hAnsi="Arial" w:cs="Arial"/>
          <w:b/>
          <w:sz w:val="24"/>
          <w:szCs w:val="24"/>
          <w:lang w:val="es-PE"/>
        </w:rPr>
        <w:t>.</w:t>
      </w:r>
    </w:p>
    <w:p w:rsidR="002D71E5" w:rsidRPr="000D2457" w:rsidRDefault="002D71E5" w:rsidP="002D71E5">
      <w:pPr>
        <w:autoSpaceDE w:val="0"/>
        <w:autoSpaceDN w:val="0"/>
        <w:adjustRightInd w:val="0"/>
        <w:contextualSpacing/>
        <w:jc w:val="both"/>
        <w:outlineLvl w:val="0"/>
        <w:rPr>
          <w:rFonts w:ascii="Arial" w:hAnsi="Arial" w:cs="Arial"/>
          <w:sz w:val="24"/>
          <w:szCs w:val="24"/>
          <w:lang w:val="es-MX"/>
        </w:rPr>
      </w:pPr>
    </w:p>
    <w:p w:rsidR="002D71E5" w:rsidRPr="000D2457" w:rsidRDefault="002D71E5" w:rsidP="002D71E5">
      <w:pPr>
        <w:autoSpaceDE w:val="0"/>
        <w:autoSpaceDN w:val="0"/>
        <w:adjustRightInd w:val="0"/>
        <w:contextualSpacing/>
        <w:jc w:val="both"/>
        <w:outlineLvl w:val="0"/>
        <w:rPr>
          <w:rFonts w:ascii="Arial" w:hAnsi="Arial" w:cs="Arial"/>
          <w:sz w:val="24"/>
          <w:szCs w:val="24"/>
          <w:lang w:val="es-MX"/>
        </w:rPr>
      </w:pPr>
      <w:r w:rsidRPr="000D2457">
        <w:rPr>
          <w:rFonts w:ascii="Arial" w:hAnsi="Arial" w:cs="Arial"/>
          <w:b/>
          <w:sz w:val="24"/>
          <w:szCs w:val="24"/>
          <w:lang w:val="es-PE"/>
        </w:rPr>
        <w:t>Programa Andino de ensayos de aptitud</w:t>
      </w:r>
      <w:r w:rsidRPr="000D2457">
        <w:rPr>
          <w:rFonts w:ascii="Arial" w:hAnsi="Arial" w:cs="Arial"/>
          <w:sz w:val="24"/>
          <w:szCs w:val="24"/>
          <w:lang w:val="es-PE"/>
        </w:rPr>
        <w:t>: Programa de ensayos de aptitud organizado por un Organismo Nacional de Acreditación o Instituto Nacional de Metrología de un País Miembro de la Comunidad Andina en el que pueden participar laboratorios de la región andina , así como laboratorios de otros países.</w:t>
      </w:r>
    </w:p>
    <w:p w:rsidR="002D71E5" w:rsidRPr="000D2457" w:rsidRDefault="002D71E5" w:rsidP="002D71E5">
      <w:pPr>
        <w:autoSpaceDE w:val="0"/>
        <w:autoSpaceDN w:val="0"/>
        <w:adjustRightInd w:val="0"/>
        <w:contextualSpacing/>
        <w:jc w:val="both"/>
        <w:outlineLvl w:val="0"/>
        <w:rPr>
          <w:rFonts w:ascii="Arial" w:hAnsi="Arial" w:cs="Arial"/>
          <w:sz w:val="24"/>
          <w:szCs w:val="24"/>
          <w:lang w:val="es-MX"/>
        </w:rPr>
      </w:pPr>
    </w:p>
    <w:p w:rsidR="002D71E5" w:rsidRPr="000D2457" w:rsidRDefault="002D71E5" w:rsidP="002D71E5">
      <w:pPr>
        <w:autoSpaceDE w:val="0"/>
        <w:autoSpaceDN w:val="0"/>
        <w:adjustRightInd w:val="0"/>
        <w:contextualSpacing/>
        <w:jc w:val="both"/>
        <w:outlineLvl w:val="0"/>
        <w:rPr>
          <w:rFonts w:ascii="Arial" w:hAnsi="Arial" w:cs="Arial"/>
          <w:sz w:val="24"/>
          <w:szCs w:val="24"/>
          <w:lang w:val="es-MX"/>
        </w:rPr>
      </w:pPr>
      <w:r w:rsidRPr="000D2457">
        <w:rPr>
          <w:rFonts w:ascii="Arial" w:hAnsi="Arial" w:cs="Arial"/>
          <w:b/>
          <w:sz w:val="24"/>
          <w:szCs w:val="24"/>
          <w:lang w:val="es-PE"/>
        </w:rPr>
        <w:t xml:space="preserve">Programa Andino de comparación </w:t>
      </w:r>
      <w:proofErr w:type="spellStart"/>
      <w:r w:rsidRPr="000D2457">
        <w:rPr>
          <w:rFonts w:ascii="Arial" w:hAnsi="Arial" w:cs="Arial"/>
          <w:b/>
          <w:sz w:val="24"/>
          <w:szCs w:val="24"/>
          <w:lang w:val="es-PE"/>
        </w:rPr>
        <w:t>interlaboratorios</w:t>
      </w:r>
      <w:proofErr w:type="spellEnd"/>
      <w:r w:rsidRPr="000D2457">
        <w:rPr>
          <w:rFonts w:ascii="Arial" w:hAnsi="Arial" w:cs="Arial"/>
          <w:sz w:val="24"/>
          <w:szCs w:val="24"/>
          <w:lang w:val="es-PE"/>
        </w:rPr>
        <w:t xml:space="preserve">: Programa de comparación </w:t>
      </w:r>
      <w:proofErr w:type="spellStart"/>
      <w:r w:rsidRPr="000D2457">
        <w:rPr>
          <w:rFonts w:ascii="Arial" w:hAnsi="Arial" w:cs="Arial"/>
          <w:sz w:val="24"/>
          <w:szCs w:val="24"/>
          <w:lang w:val="es-PE"/>
        </w:rPr>
        <w:t>interlaboratorios</w:t>
      </w:r>
      <w:proofErr w:type="spellEnd"/>
      <w:r w:rsidRPr="000D2457">
        <w:rPr>
          <w:rFonts w:ascii="Arial" w:hAnsi="Arial" w:cs="Arial"/>
          <w:sz w:val="24"/>
          <w:szCs w:val="24"/>
          <w:lang w:val="es-PE"/>
        </w:rPr>
        <w:t xml:space="preserve"> organizado por un Organismo Nacional de Acreditación o un Instituto Nacional de Metrología de un País Miembro de la Comunidad Andina en el que pueden participar laboratorios de la región andina y posiblemente también laboratorios de otros países.</w:t>
      </w:r>
    </w:p>
    <w:p w:rsidR="002D71E5" w:rsidRPr="000D2457" w:rsidRDefault="002D71E5" w:rsidP="002D71E5">
      <w:pPr>
        <w:autoSpaceDE w:val="0"/>
        <w:autoSpaceDN w:val="0"/>
        <w:adjustRightInd w:val="0"/>
        <w:contextualSpacing/>
        <w:jc w:val="both"/>
        <w:outlineLvl w:val="0"/>
        <w:rPr>
          <w:rFonts w:ascii="Arial" w:hAnsi="Arial" w:cs="Arial"/>
          <w:sz w:val="24"/>
          <w:szCs w:val="24"/>
          <w:lang w:val="es-MX"/>
        </w:rPr>
      </w:pPr>
    </w:p>
    <w:p w:rsidR="002D71E5" w:rsidRPr="000D2457" w:rsidRDefault="002D71E5" w:rsidP="002D71E5">
      <w:pPr>
        <w:autoSpaceDE w:val="0"/>
        <w:autoSpaceDN w:val="0"/>
        <w:adjustRightInd w:val="0"/>
        <w:contextualSpacing/>
        <w:jc w:val="both"/>
        <w:outlineLvl w:val="0"/>
        <w:rPr>
          <w:rFonts w:ascii="Arial" w:hAnsi="Arial" w:cs="Arial"/>
          <w:sz w:val="24"/>
          <w:szCs w:val="24"/>
          <w:lang w:val="es-MX"/>
        </w:rPr>
      </w:pPr>
      <w:r w:rsidRPr="000D2457">
        <w:rPr>
          <w:rFonts w:ascii="Arial" w:hAnsi="Arial" w:cs="Arial"/>
          <w:b/>
          <w:sz w:val="24"/>
          <w:szCs w:val="24"/>
          <w:lang w:val="es-PE"/>
        </w:rPr>
        <w:t xml:space="preserve">Resultado de medición: </w:t>
      </w:r>
      <w:r w:rsidRPr="000D2457">
        <w:rPr>
          <w:rFonts w:ascii="Arial" w:hAnsi="Arial" w:cs="Arial"/>
          <w:sz w:val="24"/>
          <w:szCs w:val="24"/>
          <w:lang w:val="es-PE"/>
        </w:rPr>
        <w:t>Conjunto de valores de una magnitud atribuidos a un mensurando, acompañados de cualquier otra información relevante disponible.</w:t>
      </w:r>
    </w:p>
    <w:p w:rsidR="002D71E5" w:rsidRPr="000D2457" w:rsidRDefault="002D71E5" w:rsidP="002D71E5">
      <w:pPr>
        <w:autoSpaceDE w:val="0"/>
        <w:autoSpaceDN w:val="0"/>
        <w:adjustRightInd w:val="0"/>
        <w:contextualSpacing/>
        <w:jc w:val="both"/>
        <w:outlineLvl w:val="0"/>
        <w:rPr>
          <w:rFonts w:ascii="Arial" w:hAnsi="Arial" w:cs="Arial"/>
          <w:sz w:val="24"/>
          <w:szCs w:val="24"/>
          <w:lang w:val="es-MX"/>
        </w:rPr>
      </w:pPr>
    </w:p>
    <w:p w:rsidR="002D71E5" w:rsidRPr="000D2457" w:rsidRDefault="002D71E5" w:rsidP="002D71E5">
      <w:pPr>
        <w:autoSpaceDE w:val="0"/>
        <w:autoSpaceDN w:val="0"/>
        <w:adjustRightInd w:val="0"/>
        <w:contextualSpacing/>
        <w:jc w:val="both"/>
        <w:outlineLvl w:val="0"/>
        <w:rPr>
          <w:rFonts w:ascii="Arial" w:hAnsi="Arial" w:cs="Arial"/>
          <w:sz w:val="24"/>
          <w:szCs w:val="24"/>
          <w:lang w:val="es-MX"/>
        </w:rPr>
      </w:pPr>
      <w:r w:rsidRPr="000D2457">
        <w:rPr>
          <w:rFonts w:ascii="Arial" w:hAnsi="Arial" w:cs="Arial"/>
          <w:b/>
          <w:sz w:val="24"/>
          <w:szCs w:val="24"/>
          <w:lang w:val="es-PE"/>
        </w:rPr>
        <w:lastRenderedPageBreak/>
        <w:t xml:space="preserve">Sistema Internacional de Unidades (Sistema SI): </w:t>
      </w:r>
      <w:r w:rsidRPr="000D2457">
        <w:rPr>
          <w:rFonts w:ascii="Arial" w:hAnsi="Arial" w:cs="Arial"/>
          <w:sz w:val="24"/>
          <w:szCs w:val="24"/>
          <w:lang w:val="es-PE"/>
        </w:rPr>
        <w:t>Sistema de unidades basado en el Sistema Internacional de Magnitudes, con nombres y símbolos de las unidades, y con una serie de prefijos con sus nombres y símbolos, así como reglas para su utilización, adoptado por la Conferencia General de Pesas y Medidas (CGPM).</w:t>
      </w:r>
    </w:p>
    <w:p w:rsidR="002D71E5" w:rsidRPr="000D2457" w:rsidRDefault="002D71E5" w:rsidP="002D71E5">
      <w:pPr>
        <w:autoSpaceDE w:val="0"/>
        <w:autoSpaceDN w:val="0"/>
        <w:adjustRightInd w:val="0"/>
        <w:contextualSpacing/>
        <w:jc w:val="both"/>
        <w:outlineLvl w:val="0"/>
        <w:rPr>
          <w:rFonts w:ascii="Arial" w:hAnsi="Arial" w:cs="Arial"/>
          <w:sz w:val="24"/>
          <w:szCs w:val="24"/>
          <w:lang w:val="es-MX"/>
        </w:rPr>
      </w:pPr>
    </w:p>
    <w:p w:rsidR="002D71E5" w:rsidRPr="000D2457" w:rsidRDefault="002D71E5" w:rsidP="002D71E5">
      <w:pPr>
        <w:autoSpaceDE w:val="0"/>
        <w:autoSpaceDN w:val="0"/>
        <w:adjustRightInd w:val="0"/>
        <w:contextualSpacing/>
        <w:jc w:val="both"/>
        <w:outlineLvl w:val="0"/>
        <w:rPr>
          <w:rFonts w:ascii="Arial" w:hAnsi="Arial" w:cs="Arial"/>
          <w:sz w:val="24"/>
          <w:szCs w:val="24"/>
          <w:lang w:val="es-MX"/>
        </w:rPr>
      </w:pPr>
      <w:r w:rsidRPr="000D2457">
        <w:rPr>
          <w:rFonts w:ascii="Arial" w:hAnsi="Arial" w:cs="Arial"/>
          <w:b/>
          <w:sz w:val="24"/>
          <w:szCs w:val="24"/>
          <w:lang w:val="es-PE"/>
        </w:rPr>
        <w:t xml:space="preserve">Trazabilidad metrológica: </w:t>
      </w:r>
      <w:r w:rsidRPr="000D2457">
        <w:rPr>
          <w:rFonts w:ascii="Arial" w:hAnsi="Arial" w:cs="Arial"/>
          <w:sz w:val="24"/>
          <w:szCs w:val="24"/>
          <w:lang w:val="es-PE"/>
        </w:rPr>
        <w:t>Propiedad de un resultado de medición</w:t>
      </w:r>
      <w:r w:rsidR="00B6252E" w:rsidRPr="000D2457">
        <w:rPr>
          <w:rFonts w:ascii="Arial" w:hAnsi="Arial" w:cs="Arial"/>
          <w:sz w:val="24"/>
          <w:szCs w:val="24"/>
          <w:lang w:val="es-PE"/>
        </w:rPr>
        <w:t>,</w:t>
      </w:r>
      <w:r w:rsidRPr="000D2457">
        <w:rPr>
          <w:rFonts w:ascii="Arial" w:hAnsi="Arial" w:cs="Arial"/>
          <w:sz w:val="24"/>
          <w:szCs w:val="24"/>
          <w:lang w:val="es-PE"/>
        </w:rPr>
        <w:t xml:space="preserve"> por la cual</w:t>
      </w:r>
      <w:r w:rsidR="00B6252E" w:rsidRPr="000D2457">
        <w:rPr>
          <w:rFonts w:ascii="Arial" w:hAnsi="Arial" w:cs="Arial"/>
          <w:sz w:val="24"/>
          <w:szCs w:val="24"/>
          <w:lang w:val="es-PE"/>
        </w:rPr>
        <w:t>,</w:t>
      </w:r>
      <w:r w:rsidRPr="000D2457">
        <w:rPr>
          <w:rFonts w:ascii="Arial" w:hAnsi="Arial" w:cs="Arial"/>
          <w:sz w:val="24"/>
          <w:szCs w:val="24"/>
          <w:lang w:val="es-PE"/>
        </w:rPr>
        <w:t xml:space="preserve"> dicho resultado puede relacionarse con una referencia mediante una cadena ininterrumpida y documentada de calibraciones, cada una de las cuales</w:t>
      </w:r>
      <w:r w:rsidR="00B6252E" w:rsidRPr="000D2457">
        <w:rPr>
          <w:rFonts w:ascii="Arial" w:hAnsi="Arial" w:cs="Arial"/>
          <w:sz w:val="24"/>
          <w:szCs w:val="24"/>
          <w:lang w:val="es-PE"/>
        </w:rPr>
        <w:t>,</w:t>
      </w:r>
      <w:r w:rsidRPr="000D2457">
        <w:rPr>
          <w:rFonts w:ascii="Arial" w:hAnsi="Arial" w:cs="Arial"/>
          <w:sz w:val="24"/>
          <w:szCs w:val="24"/>
          <w:lang w:val="es-PE"/>
        </w:rPr>
        <w:t xml:space="preserve"> contribuye a la incertidumbre de medición</w:t>
      </w:r>
      <w:r w:rsidRPr="000D2457">
        <w:rPr>
          <w:rFonts w:ascii="Arial" w:hAnsi="Arial" w:cs="Arial"/>
          <w:b/>
          <w:sz w:val="24"/>
          <w:szCs w:val="24"/>
          <w:lang w:val="es-PE"/>
        </w:rPr>
        <w:t>.</w:t>
      </w:r>
    </w:p>
    <w:p w:rsidR="002D71E5" w:rsidRPr="000D2457" w:rsidRDefault="002D71E5" w:rsidP="002D71E5">
      <w:pPr>
        <w:jc w:val="both"/>
        <w:rPr>
          <w:rFonts w:ascii="Arial" w:hAnsi="Arial" w:cs="Arial"/>
          <w:sz w:val="24"/>
          <w:szCs w:val="24"/>
          <w:lang w:val="es-MX"/>
        </w:rPr>
      </w:pPr>
    </w:p>
    <w:p w:rsidR="002D71E5" w:rsidRPr="000D2457" w:rsidRDefault="002D71E5" w:rsidP="002D71E5">
      <w:pPr>
        <w:jc w:val="both"/>
        <w:rPr>
          <w:rFonts w:ascii="Arial" w:hAnsi="Arial" w:cs="Arial"/>
          <w:sz w:val="24"/>
          <w:szCs w:val="24"/>
          <w:lang w:val="es-PE"/>
        </w:rPr>
      </w:pPr>
      <w:r w:rsidRPr="000D2457">
        <w:rPr>
          <w:rFonts w:ascii="Arial" w:hAnsi="Arial" w:cs="Arial"/>
          <w:b/>
          <w:sz w:val="24"/>
          <w:szCs w:val="24"/>
          <w:lang w:val="es-PE"/>
        </w:rPr>
        <w:t xml:space="preserve">Validación: </w:t>
      </w:r>
      <w:r w:rsidRPr="000D2457">
        <w:rPr>
          <w:rFonts w:ascii="Arial" w:hAnsi="Arial" w:cs="Arial"/>
          <w:sz w:val="24"/>
          <w:szCs w:val="24"/>
          <w:lang w:val="es-PE"/>
        </w:rPr>
        <w:t>Verificación donde los requisitos especificados son adecuados para un uso previsto.</w:t>
      </w:r>
    </w:p>
    <w:p w:rsidR="002D71E5" w:rsidRPr="000D2457" w:rsidRDefault="002D71E5" w:rsidP="002D71E5">
      <w:pPr>
        <w:autoSpaceDE w:val="0"/>
        <w:autoSpaceDN w:val="0"/>
        <w:adjustRightInd w:val="0"/>
        <w:ind w:left="720"/>
        <w:contextualSpacing/>
        <w:jc w:val="both"/>
        <w:outlineLvl w:val="0"/>
        <w:rPr>
          <w:rFonts w:ascii="Arial" w:hAnsi="Arial" w:cs="Arial"/>
          <w:sz w:val="24"/>
          <w:szCs w:val="24"/>
          <w:lang w:val="es-MX"/>
        </w:rPr>
      </w:pPr>
      <w:r w:rsidRPr="000D2457">
        <w:rPr>
          <w:rFonts w:ascii="Arial" w:hAnsi="Arial" w:cs="Arial"/>
          <w:sz w:val="24"/>
          <w:szCs w:val="24"/>
          <w:lang w:val="es-MX"/>
        </w:rPr>
        <w:t xml:space="preserve">EJEMPLO: Un </w:t>
      </w:r>
      <w:r w:rsidRPr="000D2457">
        <w:rPr>
          <w:rFonts w:ascii="Arial" w:hAnsi="Arial" w:cs="Arial"/>
          <w:bCs/>
          <w:sz w:val="24"/>
          <w:szCs w:val="24"/>
          <w:lang w:val="es-MX"/>
        </w:rPr>
        <w:t>procedimiento de medición</w:t>
      </w:r>
      <w:r w:rsidRPr="000D2457">
        <w:rPr>
          <w:rFonts w:ascii="Arial" w:hAnsi="Arial" w:cs="Arial"/>
          <w:sz w:val="24"/>
          <w:szCs w:val="24"/>
          <w:lang w:val="es-MX"/>
        </w:rPr>
        <w:t xml:space="preserve"> habitualmente utilizado para la medición de la concentración en masa de nitrógeno en agua, puede también validarse para la medición en el suero humano.</w:t>
      </w:r>
    </w:p>
    <w:p w:rsidR="002D71E5" w:rsidRPr="000D2457" w:rsidRDefault="002D71E5" w:rsidP="002D71E5">
      <w:pPr>
        <w:jc w:val="both"/>
        <w:rPr>
          <w:rFonts w:ascii="Arial" w:hAnsi="Arial" w:cs="Arial"/>
          <w:sz w:val="24"/>
          <w:szCs w:val="24"/>
          <w:lang w:val="es-PE"/>
        </w:rPr>
      </w:pPr>
    </w:p>
    <w:p w:rsidR="002D71E5" w:rsidRPr="000D2457" w:rsidRDefault="002D71E5" w:rsidP="002D71E5">
      <w:pPr>
        <w:jc w:val="both"/>
        <w:rPr>
          <w:rFonts w:ascii="Arial" w:hAnsi="Arial" w:cs="Arial"/>
          <w:sz w:val="24"/>
          <w:szCs w:val="24"/>
          <w:lang w:val="es-PE"/>
        </w:rPr>
      </w:pPr>
      <w:r w:rsidRPr="000D2457">
        <w:rPr>
          <w:rFonts w:ascii="Arial" w:hAnsi="Arial" w:cs="Arial"/>
          <w:b/>
          <w:sz w:val="24"/>
          <w:szCs w:val="24"/>
          <w:lang w:val="es-PE"/>
        </w:rPr>
        <w:t xml:space="preserve">Verificación: </w:t>
      </w:r>
      <w:r w:rsidRPr="000D2457">
        <w:rPr>
          <w:rFonts w:ascii="Arial" w:hAnsi="Arial" w:cs="Arial"/>
          <w:sz w:val="24"/>
          <w:szCs w:val="24"/>
          <w:lang w:val="es-PE"/>
        </w:rPr>
        <w:t>Aportación de evidencia objetiva de que un elemento dado satisface los requisitos especificados.</w:t>
      </w:r>
    </w:p>
    <w:p w:rsidR="002D71E5" w:rsidRPr="000D2457" w:rsidRDefault="002D71E5" w:rsidP="002D71E5">
      <w:pPr>
        <w:autoSpaceDE w:val="0"/>
        <w:autoSpaceDN w:val="0"/>
        <w:adjustRightInd w:val="0"/>
        <w:ind w:left="720"/>
        <w:contextualSpacing/>
        <w:jc w:val="both"/>
        <w:rPr>
          <w:rFonts w:ascii="Arial" w:hAnsi="Arial" w:cs="Arial"/>
          <w:color w:val="000000"/>
          <w:sz w:val="24"/>
          <w:szCs w:val="24"/>
          <w:lang w:val="es-MX"/>
        </w:rPr>
      </w:pPr>
      <w:r w:rsidRPr="000D2457">
        <w:rPr>
          <w:rFonts w:ascii="Arial" w:hAnsi="Arial" w:cs="Arial"/>
          <w:sz w:val="24"/>
          <w:szCs w:val="24"/>
          <w:lang w:val="es-MX"/>
        </w:rPr>
        <w:t xml:space="preserve">EJEMPLO 1: La confirmación de que un material de referencia declarado homogéneo lo es para el valor y el procedimiento de medición correspondientes, para muestras de masa de valor hasta </w:t>
      </w:r>
      <w:r w:rsidRPr="000D2457">
        <w:rPr>
          <w:rFonts w:ascii="Arial" w:hAnsi="Arial" w:cs="Arial"/>
          <w:color w:val="000000"/>
          <w:sz w:val="24"/>
          <w:szCs w:val="24"/>
          <w:lang w:val="es-MX"/>
        </w:rPr>
        <w:t xml:space="preserve">10 </w:t>
      </w:r>
      <w:proofErr w:type="spellStart"/>
      <w:r w:rsidRPr="000D2457">
        <w:rPr>
          <w:rFonts w:ascii="Arial" w:hAnsi="Arial" w:cs="Arial"/>
          <w:color w:val="000000"/>
          <w:sz w:val="24"/>
          <w:szCs w:val="24"/>
          <w:lang w:val="es-MX"/>
        </w:rPr>
        <w:t>mg.</w:t>
      </w:r>
      <w:proofErr w:type="spellEnd"/>
    </w:p>
    <w:p w:rsidR="002D71E5" w:rsidRPr="000D2457" w:rsidRDefault="002D71E5" w:rsidP="002D71E5">
      <w:pPr>
        <w:autoSpaceDE w:val="0"/>
        <w:autoSpaceDN w:val="0"/>
        <w:adjustRightInd w:val="0"/>
        <w:ind w:left="720"/>
        <w:contextualSpacing/>
        <w:jc w:val="both"/>
        <w:rPr>
          <w:rFonts w:ascii="Arial" w:hAnsi="Arial" w:cs="Arial"/>
          <w:bCs/>
          <w:sz w:val="24"/>
          <w:szCs w:val="24"/>
          <w:lang w:val="es-MX"/>
        </w:rPr>
      </w:pPr>
      <w:r w:rsidRPr="000D2457">
        <w:rPr>
          <w:rFonts w:ascii="Arial" w:hAnsi="Arial" w:cs="Arial"/>
          <w:sz w:val="24"/>
          <w:szCs w:val="24"/>
          <w:lang w:val="es-MX"/>
        </w:rPr>
        <w:t xml:space="preserve">EJEMPLO 2: La confirmación de que se satisfacen las propiedades de funcionamiento declaradas o los requisitos legales de un </w:t>
      </w:r>
      <w:r w:rsidRPr="000D2457">
        <w:rPr>
          <w:rFonts w:ascii="Arial" w:hAnsi="Arial" w:cs="Arial"/>
          <w:bCs/>
          <w:sz w:val="24"/>
          <w:szCs w:val="24"/>
          <w:lang w:val="es-MX"/>
        </w:rPr>
        <w:t>sistema de medición.</w:t>
      </w:r>
    </w:p>
    <w:p w:rsidR="002D71E5" w:rsidRPr="000D2457" w:rsidRDefault="002D71E5" w:rsidP="002D71E5">
      <w:pPr>
        <w:autoSpaceDE w:val="0"/>
        <w:autoSpaceDN w:val="0"/>
        <w:adjustRightInd w:val="0"/>
        <w:ind w:left="720"/>
        <w:contextualSpacing/>
        <w:jc w:val="both"/>
        <w:rPr>
          <w:rFonts w:ascii="Arial" w:hAnsi="Arial" w:cs="Arial"/>
          <w:bCs/>
          <w:sz w:val="24"/>
          <w:szCs w:val="24"/>
          <w:lang w:val="es-MX"/>
        </w:rPr>
      </w:pPr>
      <w:r w:rsidRPr="000D2457">
        <w:rPr>
          <w:rFonts w:ascii="Arial" w:hAnsi="Arial" w:cs="Arial"/>
          <w:sz w:val="24"/>
          <w:szCs w:val="24"/>
          <w:lang w:val="es-MX"/>
        </w:rPr>
        <w:t xml:space="preserve">EJEMPLO 3: La confirmación de que puede alcanzarse una </w:t>
      </w:r>
      <w:r w:rsidRPr="000D2457">
        <w:rPr>
          <w:rFonts w:ascii="Arial" w:hAnsi="Arial" w:cs="Arial"/>
          <w:bCs/>
          <w:sz w:val="24"/>
          <w:szCs w:val="24"/>
          <w:lang w:val="es-MX"/>
        </w:rPr>
        <w:t>incertidumbre objetivo.</w:t>
      </w:r>
    </w:p>
    <w:p w:rsidR="002D71E5" w:rsidRPr="000D2457" w:rsidRDefault="002D71E5" w:rsidP="002D71E5">
      <w:pPr>
        <w:autoSpaceDE w:val="0"/>
        <w:autoSpaceDN w:val="0"/>
        <w:adjustRightInd w:val="0"/>
        <w:ind w:left="720"/>
        <w:contextualSpacing/>
        <w:jc w:val="both"/>
        <w:rPr>
          <w:rFonts w:ascii="Arial" w:hAnsi="Arial" w:cs="Arial"/>
          <w:b/>
          <w:bCs/>
          <w:sz w:val="24"/>
          <w:szCs w:val="24"/>
          <w:lang w:val="es-MX"/>
        </w:rPr>
      </w:pPr>
    </w:p>
    <w:p w:rsidR="002D71E5" w:rsidRPr="000D2457" w:rsidRDefault="002D71E5" w:rsidP="002D71E5">
      <w:pPr>
        <w:autoSpaceDE w:val="0"/>
        <w:autoSpaceDN w:val="0"/>
        <w:adjustRightInd w:val="0"/>
        <w:ind w:left="720"/>
        <w:contextualSpacing/>
        <w:jc w:val="both"/>
        <w:rPr>
          <w:rFonts w:ascii="Arial" w:hAnsi="Arial" w:cs="Arial"/>
          <w:b/>
          <w:bCs/>
          <w:sz w:val="24"/>
          <w:szCs w:val="24"/>
          <w:lang w:val="es-MX"/>
        </w:rPr>
      </w:pPr>
    </w:p>
    <w:p w:rsidR="002D71E5" w:rsidRPr="000D2457" w:rsidRDefault="002D71E5" w:rsidP="002D71E5">
      <w:pPr>
        <w:pStyle w:val="Prrafodelista"/>
        <w:tabs>
          <w:tab w:val="left" w:pos="2786"/>
        </w:tabs>
        <w:spacing w:after="0" w:line="240" w:lineRule="auto"/>
        <w:jc w:val="center"/>
        <w:rPr>
          <w:rFonts w:ascii="Arial" w:hAnsi="Arial" w:cs="Arial"/>
          <w:b/>
          <w:sz w:val="24"/>
          <w:szCs w:val="24"/>
        </w:rPr>
      </w:pPr>
      <w:r w:rsidRPr="000D2457">
        <w:rPr>
          <w:rFonts w:ascii="Arial" w:hAnsi="Arial" w:cs="Arial"/>
          <w:b/>
          <w:sz w:val="24"/>
          <w:szCs w:val="24"/>
        </w:rPr>
        <w:t>CAPÍTULO II</w:t>
      </w:r>
    </w:p>
    <w:p w:rsidR="002D71E5" w:rsidRPr="000D2457" w:rsidRDefault="002D71E5" w:rsidP="002D71E5">
      <w:pPr>
        <w:autoSpaceDE w:val="0"/>
        <w:autoSpaceDN w:val="0"/>
        <w:adjustRightInd w:val="0"/>
        <w:ind w:left="720"/>
        <w:contextualSpacing/>
        <w:jc w:val="center"/>
        <w:rPr>
          <w:rFonts w:ascii="Arial" w:hAnsi="Arial" w:cs="Arial"/>
          <w:b/>
          <w:sz w:val="24"/>
          <w:szCs w:val="24"/>
          <w:lang w:val="es-PE"/>
        </w:rPr>
      </w:pPr>
    </w:p>
    <w:p w:rsidR="002D71E5" w:rsidRPr="000D2457" w:rsidRDefault="002D71E5" w:rsidP="002D71E5">
      <w:pPr>
        <w:autoSpaceDE w:val="0"/>
        <w:autoSpaceDN w:val="0"/>
        <w:adjustRightInd w:val="0"/>
        <w:ind w:left="720"/>
        <w:contextualSpacing/>
        <w:jc w:val="center"/>
        <w:rPr>
          <w:rFonts w:ascii="Arial" w:hAnsi="Arial" w:cs="Arial"/>
          <w:b/>
          <w:sz w:val="24"/>
          <w:szCs w:val="24"/>
          <w:lang w:val="es-PE"/>
        </w:rPr>
      </w:pPr>
      <w:r w:rsidRPr="000D2457">
        <w:rPr>
          <w:rFonts w:ascii="Arial" w:hAnsi="Arial" w:cs="Arial"/>
          <w:b/>
          <w:sz w:val="24"/>
          <w:szCs w:val="24"/>
          <w:lang w:val="es-PE"/>
        </w:rPr>
        <w:t>PROGRAMAS DE ENSAYOS DE APTITUD, DE COMPARACIÓN INTERLABORATORIOS O DE CALIBRACIÓN DE PATRONES</w:t>
      </w:r>
    </w:p>
    <w:p w:rsidR="002D71E5" w:rsidRPr="000D2457" w:rsidRDefault="002D71E5" w:rsidP="002D71E5">
      <w:pPr>
        <w:autoSpaceDE w:val="0"/>
        <w:autoSpaceDN w:val="0"/>
        <w:adjustRightInd w:val="0"/>
        <w:ind w:left="720"/>
        <w:contextualSpacing/>
        <w:jc w:val="both"/>
        <w:rPr>
          <w:rFonts w:ascii="Arial" w:hAnsi="Arial" w:cs="Arial"/>
          <w:b/>
          <w:sz w:val="24"/>
          <w:szCs w:val="24"/>
          <w:lang w:val="es-PE"/>
        </w:rPr>
      </w:pPr>
    </w:p>
    <w:p w:rsidR="002D71E5" w:rsidRPr="000D2457" w:rsidRDefault="002D71E5" w:rsidP="002D71E5">
      <w:pPr>
        <w:autoSpaceDE w:val="0"/>
        <w:autoSpaceDN w:val="0"/>
        <w:adjustRightInd w:val="0"/>
        <w:contextualSpacing/>
        <w:jc w:val="both"/>
        <w:rPr>
          <w:rFonts w:ascii="Arial" w:hAnsi="Arial" w:cs="Arial"/>
          <w:sz w:val="24"/>
          <w:szCs w:val="24"/>
          <w:lang w:val="es-ES_tradnl"/>
        </w:rPr>
      </w:pPr>
      <w:r w:rsidRPr="000D2457">
        <w:rPr>
          <w:rFonts w:ascii="Arial" w:hAnsi="Arial" w:cs="Arial"/>
          <w:b/>
          <w:sz w:val="24"/>
          <w:szCs w:val="24"/>
          <w:lang w:val="es-ES_tradnl"/>
        </w:rPr>
        <w:t>Artículo 4</w:t>
      </w:r>
      <w:r w:rsidRPr="000D2457">
        <w:rPr>
          <w:rFonts w:ascii="Arial" w:hAnsi="Arial" w:cs="Arial"/>
          <w:sz w:val="24"/>
          <w:szCs w:val="24"/>
          <w:lang w:val="es-ES_tradnl"/>
        </w:rPr>
        <w:t xml:space="preserve">.- El ONA o el INM de un País Miembro que esté coordinando un Programa Andino de ensayo de aptitud, calibración de patrones o de comparación </w:t>
      </w:r>
      <w:proofErr w:type="spellStart"/>
      <w:r w:rsidRPr="000D2457">
        <w:rPr>
          <w:rFonts w:ascii="Arial" w:hAnsi="Arial" w:cs="Arial"/>
          <w:sz w:val="24"/>
          <w:szCs w:val="24"/>
          <w:lang w:val="es-ES_tradnl"/>
        </w:rPr>
        <w:t>interlaboratorios</w:t>
      </w:r>
      <w:proofErr w:type="spellEnd"/>
      <w:r w:rsidRPr="000D2457">
        <w:rPr>
          <w:rFonts w:ascii="Arial" w:hAnsi="Arial" w:cs="Arial"/>
          <w:sz w:val="24"/>
          <w:szCs w:val="24"/>
          <w:lang w:val="es-ES_tradnl"/>
        </w:rPr>
        <w:t>, informará a la Administración Aduanera del país de inicio del Programa y a los demás ONA o INM de los países participantes, de la realización del mismo, indicando las características descriptivas y las especificaciones técnicas (peso aproximado, volumen, marca, modelo y números de serie) de los patrones, instrumentos de medición, materiales de referencia e ítems de ensayo de aptitud sujetos a dicho Programa.</w:t>
      </w:r>
    </w:p>
    <w:p w:rsidR="002D71E5" w:rsidRPr="000D2457" w:rsidRDefault="002D71E5" w:rsidP="002D71E5">
      <w:pPr>
        <w:autoSpaceDE w:val="0"/>
        <w:autoSpaceDN w:val="0"/>
        <w:adjustRightInd w:val="0"/>
        <w:contextualSpacing/>
        <w:jc w:val="both"/>
        <w:rPr>
          <w:rFonts w:ascii="Arial" w:hAnsi="Arial" w:cs="Arial"/>
          <w:sz w:val="24"/>
          <w:szCs w:val="24"/>
          <w:lang w:val="es-ES_tradnl"/>
        </w:rPr>
      </w:pPr>
    </w:p>
    <w:p w:rsidR="002D71E5" w:rsidRPr="000D2457" w:rsidRDefault="002D71E5" w:rsidP="002D71E5">
      <w:pPr>
        <w:autoSpaceDE w:val="0"/>
        <w:autoSpaceDN w:val="0"/>
        <w:adjustRightInd w:val="0"/>
        <w:contextualSpacing/>
        <w:jc w:val="both"/>
        <w:rPr>
          <w:rFonts w:ascii="Arial" w:hAnsi="Arial" w:cs="Arial"/>
          <w:sz w:val="24"/>
          <w:szCs w:val="24"/>
          <w:lang w:val="es-ES_tradnl"/>
        </w:rPr>
      </w:pPr>
      <w:r w:rsidRPr="000D2457">
        <w:rPr>
          <w:rFonts w:ascii="Arial" w:hAnsi="Arial" w:cs="Arial"/>
          <w:sz w:val="24"/>
          <w:szCs w:val="24"/>
          <w:lang w:val="es-ES_tradnl"/>
        </w:rPr>
        <w:t>A tal efecto, se utilizará el formato establecido en el Anexo de la presente Decisión, el cual deberá ser emitido por el ONA o INM correspondiente y remitido a la</w:t>
      </w:r>
      <w:r w:rsidR="00B6252E" w:rsidRPr="000D2457">
        <w:rPr>
          <w:rFonts w:ascii="Arial" w:hAnsi="Arial" w:cs="Arial"/>
          <w:sz w:val="24"/>
          <w:szCs w:val="24"/>
          <w:lang w:val="es-ES_tradnl"/>
        </w:rPr>
        <w:t xml:space="preserve"> Administración Aduanera del(</w:t>
      </w:r>
      <w:r w:rsidRPr="000D2457">
        <w:rPr>
          <w:rFonts w:ascii="Arial" w:hAnsi="Arial" w:cs="Arial"/>
          <w:sz w:val="24"/>
          <w:szCs w:val="24"/>
          <w:lang w:val="es-ES_tradnl"/>
        </w:rPr>
        <w:t>los</w:t>
      </w:r>
      <w:r w:rsidR="00B6252E" w:rsidRPr="000D2457">
        <w:rPr>
          <w:rFonts w:ascii="Arial" w:hAnsi="Arial" w:cs="Arial"/>
          <w:sz w:val="24"/>
          <w:szCs w:val="24"/>
          <w:lang w:val="es-ES_tradnl"/>
        </w:rPr>
        <w:t>)</w:t>
      </w:r>
      <w:r w:rsidRPr="000D2457">
        <w:rPr>
          <w:rFonts w:ascii="Arial" w:hAnsi="Arial" w:cs="Arial"/>
          <w:sz w:val="24"/>
          <w:szCs w:val="24"/>
          <w:lang w:val="es-ES_tradnl"/>
        </w:rPr>
        <w:t xml:space="preserve"> País(es) Miembro(s) de ingreso y salida de tales mercancías. Dicho formato es un documento, emitido previo al embarque, en </w:t>
      </w:r>
      <w:r w:rsidRPr="000D2457">
        <w:rPr>
          <w:rFonts w:ascii="Arial" w:hAnsi="Arial" w:cs="Arial"/>
          <w:sz w:val="24"/>
          <w:szCs w:val="24"/>
          <w:lang w:val="es-ES_tradnl"/>
        </w:rPr>
        <w:lastRenderedPageBreak/>
        <w:t xml:space="preserve">el número de originales correspondientes a los Países Miembros a los que ingresarán dichos bienes, debiendo ser entregados a cada Autoridad Aduanera del (los) País(es) Miembro(s) de ingreso y salida. </w:t>
      </w:r>
    </w:p>
    <w:p w:rsidR="002D71E5" w:rsidRPr="000D2457" w:rsidRDefault="002D71E5" w:rsidP="002D71E5">
      <w:pPr>
        <w:autoSpaceDE w:val="0"/>
        <w:autoSpaceDN w:val="0"/>
        <w:adjustRightInd w:val="0"/>
        <w:contextualSpacing/>
        <w:jc w:val="both"/>
        <w:rPr>
          <w:rFonts w:ascii="Arial" w:hAnsi="Arial" w:cs="Arial"/>
          <w:sz w:val="24"/>
          <w:szCs w:val="24"/>
          <w:lang w:val="es-ES_tradnl"/>
        </w:rPr>
      </w:pPr>
    </w:p>
    <w:p w:rsidR="002D71E5" w:rsidRPr="000D2457" w:rsidRDefault="002D71E5" w:rsidP="002D71E5">
      <w:pPr>
        <w:autoSpaceDE w:val="0"/>
        <w:autoSpaceDN w:val="0"/>
        <w:adjustRightInd w:val="0"/>
        <w:contextualSpacing/>
        <w:jc w:val="both"/>
        <w:rPr>
          <w:rFonts w:ascii="Arial" w:hAnsi="Arial" w:cs="Arial"/>
          <w:sz w:val="24"/>
          <w:szCs w:val="24"/>
          <w:lang w:val="es-ES_tradnl"/>
        </w:rPr>
      </w:pPr>
      <w:r w:rsidRPr="000D2457">
        <w:rPr>
          <w:rFonts w:ascii="Arial" w:hAnsi="Arial" w:cs="Arial"/>
          <w:sz w:val="24"/>
          <w:szCs w:val="24"/>
          <w:lang w:val="es-ES_tradnl"/>
        </w:rPr>
        <w:t xml:space="preserve">El diligenciamiento y presentación del indicado formato será también exigible cuando tales bienes sean transportados como equipaje acompañado, por los técnicos designados para la custodia de dichos bienes, en el formato establecido en el </w:t>
      </w:r>
      <w:r w:rsidR="003345E2" w:rsidRPr="000D2457">
        <w:rPr>
          <w:rFonts w:ascii="Arial" w:hAnsi="Arial" w:cs="Arial"/>
          <w:sz w:val="24"/>
          <w:szCs w:val="24"/>
          <w:lang w:val="es-ES_tradnl"/>
        </w:rPr>
        <w:t>A</w:t>
      </w:r>
      <w:r w:rsidRPr="000D2457">
        <w:rPr>
          <w:rFonts w:ascii="Arial" w:hAnsi="Arial" w:cs="Arial"/>
          <w:sz w:val="24"/>
          <w:szCs w:val="24"/>
          <w:lang w:val="es-ES_tradnl"/>
        </w:rPr>
        <w:t>nexo de la presente Decisión.</w:t>
      </w:r>
    </w:p>
    <w:p w:rsidR="002D71E5" w:rsidRPr="000D2457" w:rsidRDefault="002D71E5" w:rsidP="002D71E5">
      <w:pPr>
        <w:autoSpaceDE w:val="0"/>
        <w:autoSpaceDN w:val="0"/>
        <w:adjustRightInd w:val="0"/>
        <w:contextualSpacing/>
        <w:jc w:val="both"/>
        <w:rPr>
          <w:rFonts w:ascii="Arial" w:hAnsi="Arial" w:cs="Arial"/>
          <w:sz w:val="24"/>
          <w:szCs w:val="24"/>
          <w:lang w:val="es-ES_tradnl"/>
        </w:rPr>
      </w:pPr>
    </w:p>
    <w:p w:rsidR="002D71E5" w:rsidRPr="000D2457" w:rsidRDefault="002D71E5" w:rsidP="002D71E5">
      <w:pPr>
        <w:autoSpaceDE w:val="0"/>
        <w:autoSpaceDN w:val="0"/>
        <w:adjustRightInd w:val="0"/>
        <w:contextualSpacing/>
        <w:jc w:val="both"/>
        <w:rPr>
          <w:rFonts w:ascii="Arial" w:hAnsi="Arial" w:cs="Arial"/>
          <w:sz w:val="24"/>
          <w:szCs w:val="24"/>
          <w:lang w:val="es-ES_tradnl"/>
        </w:rPr>
      </w:pPr>
    </w:p>
    <w:p w:rsidR="002D71E5" w:rsidRPr="000D2457" w:rsidRDefault="002D71E5" w:rsidP="002D71E5">
      <w:pPr>
        <w:widowControl w:val="0"/>
        <w:tabs>
          <w:tab w:val="left" w:pos="4110"/>
          <w:tab w:val="center" w:pos="4960"/>
        </w:tabs>
        <w:jc w:val="center"/>
        <w:rPr>
          <w:rFonts w:ascii="Arial" w:hAnsi="Arial" w:cs="Arial"/>
          <w:b/>
          <w:sz w:val="24"/>
          <w:szCs w:val="24"/>
          <w:lang w:val="es-ES_tradnl"/>
        </w:rPr>
      </w:pPr>
      <w:r w:rsidRPr="000D2457">
        <w:rPr>
          <w:rFonts w:ascii="Arial" w:hAnsi="Arial" w:cs="Arial"/>
          <w:b/>
          <w:sz w:val="24"/>
          <w:szCs w:val="24"/>
          <w:lang w:val="es-ES_tradnl"/>
        </w:rPr>
        <w:t>CAPÍTULO III</w:t>
      </w:r>
    </w:p>
    <w:p w:rsidR="002D71E5" w:rsidRPr="000D2457" w:rsidRDefault="002D71E5" w:rsidP="002D71E5">
      <w:pPr>
        <w:widowControl w:val="0"/>
        <w:tabs>
          <w:tab w:val="left" w:pos="4110"/>
          <w:tab w:val="center" w:pos="4960"/>
        </w:tabs>
        <w:jc w:val="center"/>
        <w:rPr>
          <w:rFonts w:ascii="Arial" w:hAnsi="Arial" w:cs="Arial"/>
          <w:b/>
          <w:sz w:val="24"/>
          <w:szCs w:val="24"/>
          <w:lang w:val="es-ES_tradnl"/>
        </w:rPr>
      </w:pPr>
    </w:p>
    <w:p w:rsidR="002D71E5" w:rsidRPr="000D2457" w:rsidRDefault="002D71E5" w:rsidP="002D71E5">
      <w:pPr>
        <w:autoSpaceDE w:val="0"/>
        <w:autoSpaceDN w:val="0"/>
        <w:adjustRightInd w:val="0"/>
        <w:jc w:val="center"/>
        <w:rPr>
          <w:rFonts w:ascii="Arial" w:hAnsi="Arial" w:cs="Arial"/>
          <w:b/>
          <w:sz w:val="24"/>
          <w:szCs w:val="24"/>
          <w:lang w:val="es-ES_tradnl"/>
        </w:rPr>
      </w:pPr>
      <w:r w:rsidRPr="000D2457">
        <w:rPr>
          <w:rFonts w:ascii="Arial" w:hAnsi="Arial" w:cs="Arial"/>
          <w:b/>
          <w:sz w:val="24"/>
          <w:szCs w:val="24"/>
          <w:lang w:val="es-ES_tradnl"/>
        </w:rPr>
        <w:t>PROCEDIMIENTOS ADUANEROS</w:t>
      </w:r>
    </w:p>
    <w:p w:rsidR="002D71E5" w:rsidRPr="000D2457" w:rsidRDefault="002D71E5" w:rsidP="002D71E5">
      <w:pPr>
        <w:autoSpaceDE w:val="0"/>
        <w:autoSpaceDN w:val="0"/>
        <w:adjustRightInd w:val="0"/>
        <w:jc w:val="both"/>
        <w:rPr>
          <w:rFonts w:ascii="Arial" w:hAnsi="Arial" w:cs="Arial"/>
          <w:b/>
          <w:sz w:val="24"/>
          <w:szCs w:val="24"/>
          <w:lang w:val="es-ES_tradnl"/>
        </w:rPr>
      </w:pPr>
    </w:p>
    <w:p w:rsidR="002D71E5" w:rsidRPr="000D2457" w:rsidRDefault="002D71E5" w:rsidP="002D71E5">
      <w:pPr>
        <w:autoSpaceDE w:val="0"/>
        <w:autoSpaceDN w:val="0"/>
        <w:adjustRightInd w:val="0"/>
        <w:jc w:val="both"/>
        <w:rPr>
          <w:rFonts w:ascii="Arial" w:hAnsi="Arial" w:cs="Arial"/>
          <w:sz w:val="24"/>
          <w:szCs w:val="24"/>
          <w:lang w:val="es-ES_tradnl"/>
        </w:rPr>
      </w:pPr>
      <w:r w:rsidRPr="000D2457">
        <w:rPr>
          <w:rFonts w:ascii="Arial" w:hAnsi="Arial" w:cs="Arial"/>
          <w:b/>
          <w:sz w:val="24"/>
          <w:szCs w:val="24"/>
          <w:lang w:val="es-ES_tradnl"/>
        </w:rPr>
        <w:t xml:space="preserve">Artículo 5.- </w:t>
      </w:r>
      <w:r w:rsidRPr="000D2457">
        <w:rPr>
          <w:rFonts w:ascii="Arial" w:hAnsi="Arial" w:cs="Arial"/>
          <w:sz w:val="24"/>
          <w:szCs w:val="24"/>
          <w:lang w:val="es-ES_tradnl" w:eastAsia="es-VE"/>
        </w:rPr>
        <w:t>Los patrones, instrumentos de medición, materiales de referencia</w:t>
      </w:r>
      <w:r w:rsidRPr="000D2457">
        <w:rPr>
          <w:rFonts w:ascii="Arial" w:hAnsi="Arial" w:cs="Arial"/>
          <w:sz w:val="24"/>
          <w:szCs w:val="24"/>
          <w:lang w:val="es-ES_tradnl"/>
        </w:rPr>
        <w:t xml:space="preserve"> e ítems de ensayo de aptitud destinados a programas de calibración de patrones o de comparación </w:t>
      </w:r>
      <w:proofErr w:type="spellStart"/>
      <w:r w:rsidRPr="000D2457">
        <w:rPr>
          <w:rFonts w:ascii="Arial" w:hAnsi="Arial" w:cs="Arial"/>
          <w:sz w:val="24"/>
          <w:szCs w:val="24"/>
          <w:lang w:val="es-ES_tradnl"/>
        </w:rPr>
        <w:t>interlaboratorios</w:t>
      </w:r>
      <w:proofErr w:type="spellEnd"/>
      <w:r w:rsidRPr="000D2457" w:rsidDel="001C4F65">
        <w:rPr>
          <w:rFonts w:ascii="Arial" w:hAnsi="Arial" w:cs="Arial"/>
          <w:sz w:val="24"/>
          <w:szCs w:val="24"/>
          <w:lang w:val="es-ES_tradnl"/>
        </w:rPr>
        <w:t xml:space="preserve"> </w:t>
      </w:r>
      <w:r w:rsidRPr="000D2457">
        <w:rPr>
          <w:rFonts w:ascii="Arial" w:hAnsi="Arial" w:cs="Arial"/>
          <w:sz w:val="24"/>
          <w:szCs w:val="24"/>
          <w:lang w:val="es-ES_tradnl"/>
        </w:rPr>
        <w:t xml:space="preserve">o de ensayos de aptitud, en los Países Miembros o entre alguno de éstos y terceros países, se acogerán al régimen aduanero más adecuado a sus fines, debiendo el ONA o el INM </w:t>
      </w:r>
      <w:r w:rsidRPr="000D2457">
        <w:rPr>
          <w:rFonts w:ascii="Arial" w:hAnsi="Arial" w:cs="Arial"/>
          <w:sz w:val="24"/>
          <w:szCs w:val="24"/>
          <w:lang w:val="es-PE"/>
        </w:rPr>
        <w:t>presentar la correspondiente declaración aduanera a la que se adjuntará el formato señalado en el artículo anterior</w:t>
      </w:r>
      <w:r w:rsidRPr="000D2457">
        <w:rPr>
          <w:rFonts w:ascii="Arial" w:hAnsi="Arial" w:cs="Arial"/>
          <w:sz w:val="24"/>
          <w:szCs w:val="24"/>
          <w:lang w:val="es-ES_tradnl"/>
        </w:rPr>
        <w:t>.</w:t>
      </w:r>
    </w:p>
    <w:p w:rsidR="002D71E5" w:rsidRPr="000D2457" w:rsidRDefault="002D71E5" w:rsidP="002D71E5">
      <w:pPr>
        <w:autoSpaceDE w:val="0"/>
        <w:autoSpaceDN w:val="0"/>
        <w:adjustRightInd w:val="0"/>
        <w:jc w:val="both"/>
        <w:rPr>
          <w:rFonts w:ascii="Arial" w:hAnsi="Arial" w:cs="Arial"/>
          <w:sz w:val="24"/>
          <w:szCs w:val="24"/>
          <w:lang w:val="es-ES_tradnl"/>
        </w:rPr>
      </w:pPr>
      <w:r w:rsidRPr="000D2457">
        <w:rPr>
          <w:rFonts w:ascii="Arial" w:hAnsi="Arial" w:cs="Arial"/>
          <w:sz w:val="24"/>
          <w:szCs w:val="24"/>
          <w:lang w:val="es-ES_tradnl"/>
        </w:rPr>
        <w:t xml:space="preserve">  </w:t>
      </w:r>
    </w:p>
    <w:p w:rsidR="002D71E5" w:rsidRPr="000D2457" w:rsidRDefault="002D71E5" w:rsidP="002D71E5">
      <w:pPr>
        <w:autoSpaceDE w:val="0"/>
        <w:autoSpaceDN w:val="0"/>
        <w:adjustRightInd w:val="0"/>
        <w:contextualSpacing/>
        <w:jc w:val="both"/>
        <w:outlineLvl w:val="0"/>
        <w:rPr>
          <w:rFonts w:ascii="Arial" w:hAnsi="Arial" w:cs="Arial"/>
          <w:sz w:val="24"/>
          <w:szCs w:val="24"/>
          <w:lang w:val="es-ES_tradnl"/>
        </w:rPr>
      </w:pPr>
      <w:r w:rsidRPr="000D2457">
        <w:rPr>
          <w:rFonts w:ascii="Arial" w:hAnsi="Arial" w:cs="Arial"/>
          <w:b/>
          <w:sz w:val="24"/>
          <w:szCs w:val="24"/>
          <w:lang w:val="es-ES_tradnl"/>
        </w:rPr>
        <w:t>Artículo 6</w:t>
      </w:r>
      <w:r w:rsidRPr="000D2457">
        <w:rPr>
          <w:rFonts w:ascii="Arial" w:hAnsi="Arial" w:cs="Arial"/>
          <w:sz w:val="24"/>
          <w:szCs w:val="24"/>
          <w:lang w:val="es-ES_tradnl"/>
        </w:rPr>
        <w:t>.- No será exigible la constitución de una garantía económica o financiera para acogerse al régimen de admisión temporal para reexportación en el mismo estado de los bienes bajo el ámbito de esta Decisión.</w:t>
      </w:r>
    </w:p>
    <w:p w:rsidR="002D71E5" w:rsidRPr="000D2457" w:rsidRDefault="002D71E5" w:rsidP="002D71E5">
      <w:pPr>
        <w:autoSpaceDE w:val="0"/>
        <w:autoSpaceDN w:val="0"/>
        <w:adjustRightInd w:val="0"/>
        <w:contextualSpacing/>
        <w:jc w:val="both"/>
        <w:outlineLvl w:val="0"/>
        <w:rPr>
          <w:rFonts w:ascii="Arial" w:hAnsi="Arial" w:cs="Arial"/>
          <w:b/>
          <w:sz w:val="24"/>
          <w:szCs w:val="24"/>
          <w:lang w:val="es-PE"/>
        </w:rPr>
      </w:pPr>
    </w:p>
    <w:p w:rsidR="002D71E5" w:rsidRPr="000D2457" w:rsidRDefault="002D71E5" w:rsidP="002D71E5">
      <w:pPr>
        <w:autoSpaceDE w:val="0"/>
        <w:autoSpaceDN w:val="0"/>
        <w:adjustRightInd w:val="0"/>
        <w:contextualSpacing/>
        <w:jc w:val="both"/>
        <w:outlineLvl w:val="0"/>
        <w:rPr>
          <w:rFonts w:ascii="Arial" w:hAnsi="Arial" w:cs="Arial"/>
          <w:sz w:val="24"/>
          <w:szCs w:val="24"/>
          <w:lang w:val="es-PE"/>
        </w:rPr>
      </w:pPr>
      <w:r w:rsidRPr="000D2457">
        <w:rPr>
          <w:rFonts w:ascii="Arial" w:hAnsi="Arial" w:cs="Arial"/>
          <w:b/>
          <w:sz w:val="24"/>
          <w:szCs w:val="24"/>
          <w:lang w:val="es-PE"/>
        </w:rPr>
        <w:t xml:space="preserve">Artículo 7.- </w:t>
      </w:r>
      <w:r w:rsidRPr="000D2457">
        <w:rPr>
          <w:rFonts w:ascii="Arial" w:hAnsi="Arial" w:cs="Arial"/>
          <w:sz w:val="24"/>
          <w:szCs w:val="24"/>
          <w:lang w:val="es-PE"/>
        </w:rPr>
        <w:t>Si</w:t>
      </w:r>
      <w:r w:rsidRPr="000D2457">
        <w:rPr>
          <w:rFonts w:ascii="Arial" w:hAnsi="Arial" w:cs="Arial"/>
          <w:b/>
          <w:sz w:val="24"/>
          <w:szCs w:val="24"/>
          <w:lang w:val="es-PE"/>
        </w:rPr>
        <w:t xml:space="preserve"> </w:t>
      </w:r>
      <w:r w:rsidRPr="000D2457">
        <w:rPr>
          <w:rFonts w:ascii="Arial" w:hAnsi="Arial" w:cs="Arial"/>
          <w:sz w:val="24"/>
          <w:szCs w:val="24"/>
          <w:lang w:val="es-ES_tradnl"/>
        </w:rPr>
        <w:t xml:space="preserve">los patrones, instrumentos de medición, materiales de referencia e ítems de ensayo de aptitud </w:t>
      </w:r>
      <w:r w:rsidRPr="000D2457">
        <w:rPr>
          <w:rFonts w:ascii="Arial" w:hAnsi="Arial" w:cs="Arial"/>
          <w:sz w:val="24"/>
          <w:szCs w:val="24"/>
          <w:lang w:val="es-PE"/>
        </w:rPr>
        <w:t>son considerados como mercancías restringidas en el País Miembro de destino, el ONA o el INM de dicho País Miembro deberá cumplir con presentar los permisos o documentos exigidos por la legislación nacional aplicable, en adición a la declaración aduanera y al formato para acogerse al tratamiento especial previsto en esta Decisión.</w:t>
      </w:r>
    </w:p>
    <w:p w:rsidR="002D71E5" w:rsidRPr="000D2457" w:rsidRDefault="002D71E5" w:rsidP="002D71E5">
      <w:pPr>
        <w:jc w:val="both"/>
        <w:rPr>
          <w:rFonts w:ascii="Arial" w:hAnsi="Arial" w:cs="Arial"/>
          <w:sz w:val="24"/>
          <w:szCs w:val="24"/>
          <w:lang w:val="es-PE"/>
        </w:rPr>
      </w:pPr>
    </w:p>
    <w:p w:rsidR="002D71E5" w:rsidRPr="000D2457" w:rsidRDefault="002D71E5" w:rsidP="002D71E5">
      <w:pPr>
        <w:jc w:val="both"/>
        <w:rPr>
          <w:rFonts w:ascii="Arial" w:hAnsi="Arial" w:cs="Arial"/>
          <w:color w:val="222222"/>
          <w:sz w:val="24"/>
          <w:szCs w:val="24"/>
          <w:shd w:val="clear" w:color="auto" w:fill="FFFFFF"/>
          <w:lang w:val="es-ES_tradnl"/>
        </w:rPr>
      </w:pPr>
      <w:r w:rsidRPr="000D2457">
        <w:rPr>
          <w:rFonts w:ascii="Arial" w:hAnsi="Arial" w:cs="Arial"/>
          <w:b/>
          <w:sz w:val="24"/>
          <w:szCs w:val="24"/>
          <w:lang w:val="es-ES_tradnl"/>
        </w:rPr>
        <w:t>Artículo 8.-</w:t>
      </w:r>
      <w:r w:rsidRPr="000D2457">
        <w:rPr>
          <w:rFonts w:ascii="Arial" w:hAnsi="Arial" w:cs="Arial"/>
          <w:sz w:val="24"/>
          <w:szCs w:val="24"/>
          <w:lang w:val="es-ES_tradnl"/>
        </w:rPr>
        <w:t xml:space="preserve"> En caso que se disponga el aforo físico de las mercancías sobre la base de criterios de gestión de riesgo o porque la norma aduanera específica lo establezca, la Autoridad Aduanera realizará el aforo físico de los patrones, instrumentos de medición, materiales de referencia e ítems de ensayo de aptitud</w:t>
      </w:r>
      <w:r w:rsidR="00B6252E" w:rsidRPr="000D2457">
        <w:rPr>
          <w:rFonts w:ascii="Arial" w:hAnsi="Arial" w:cs="Arial"/>
          <w:sz w:val="24"/>
          <w:szCs w:val="24"/>
          <w:lang w:val="es-ES_tradnl"/>
        </w:rPr>
        <w:t>,</w:t>
      </w:r>
      <w:r w:rsidRPr="000D2457">
        <w:rPr>
          <w:rFonts w:ascii="Arial" w:hAnsi="Arial" w:cs="Arial"/>
          <w:sz w:val="24"/>
          <w:szCs w:val="24"/>
          <w:lang w:val="es-ES_tradnl"/>
        </w:rPr>
        <w:t xml:space="preserve"> en lugares apropiados, conforme a las recomendaciones técnicas para su manipulación y con la presencia del personal del ONA o el INM, a fin de evitar su daño o deterioro.</w:t>
      </w:r>
      <w:r w:rsidRPr="000D2457">
        <w:rPr>
          <w:rFonts w:ascii="Arial" w:hAnsi="Arial" w:cs="Arial"/>
          <w:color w:val="222222"/>
          <w:sz w:val="24"/>
          <w:szCs w:val="24"/>
          <w:shd w:val="clear" w:color="auto" w:fill="FFFFFF"/>
          <w:lang w:val="es-ES_tradnl"/>
        </w:rPr>
        <w:t xml:space="preserve"> </w:t>
      </w:r>
    </w:p>
    <w:p w:rsidR="002D71E5" w:rsidRPr="000D2457" w:rsidRDefault="002D71E5" w:rsidP="002D71E5">
      <w:pPr>
        <w:jc w:val="both"/>
        <w:rPr>
          <w:rFonts w:ascii="Arial" w:hAnsi="Arial" w:cs="Arial"/>
          <w:sz w:val="24"/>
          <w:szCs w:val="24"/>
          <w:lang w:val="es-ES_tradnl"/>
        </w:rPr>
      </w:pPr>
    </w:p>
    <w:p w:rsidR="002D71E5" w:rsidRPr="000D2457" w:rsidRDefault="002D71E5" w:rsidP="002D71E5">
      <w:pPr>
        <w:jc w:val="both"/>
        <w:rPr>
          <w:rFonts w:ascii="Arial" w:hAnsi="Arial" w:cs="Arial"/>
          <w:color w:val="222222"/>
          <w:sz w:val="24"/>
          <w:szCs w:val="24"/>
          <w:shd w:val="clear" w:color="auto" w:fill="FFFFFF"/>
          <w:lang w:val="es-ES_tradnl"/>
        </w:rPr>
      </w:pPr>
      <w:r w:rsidRPr="000D2457">
        <w:rPr>
          <w:rFonts w:ascii="Arial" w:hAnsi="Arial" w:cs="Arial"/>
          <w:color w:val="222222"/>
          <w:sz w:val="24"/>
          <w:szCs w:val="24"/>
          <w:shd w:val="clear" w:color="auto" w:fill="FFFFFF"/>
          <w:lang w:val="es-ES_tradnl"/>
        </w:rPr>
        <w:t xml:space="preserve">Cuando tales bienes retornen al país de origen del envío, a efectos de evitar el daño o deterioro irreversible de los mismos, las Autoridades Aduaneras sólo efectuarán la inspección física, en caso que corresponda, bajo las condiciones </w:t>
      </w:r>
      <w:r w:rsidR="00051AC2" w:rsidRPr="000D2457">
        <w:rPr>
          <w:rFonts w:ascii="Arial" w:hAnsi="Arial" w:cs="Arial"/>
          <w:color w:val="222222"/>
          <w:sz w:val="24"/>
          <w:szCs w:val="24"/>
          <w:shd w:val="clear" w:color="auto" w:fill="FFFFFF"/>
          <w:lang w:val="es-ES_tradnl"/>
        </w:rPr>
        <w:t>señaladas en el párrafo anterior</w:t>
      </w:r>
      <w:r w:rsidRPr="000D2457">
        <w:rPr>
          <w:rFonts w:ascii="Arial" w:hAnsi="Arial" w:cs="Arial"/>
          <w:color w:val="222222"/>
          <w:sz w:val="24"/>
          <w:szCs w:val="24"/>
          <w:shd w:val="clear" w:color="auto" w:fill="FFFFFF"/>
          <w:lang w:val="es-ES_tradnl"/>
        </w:rPr>
        <w:t>.</w:t>
      </w:r>
    </w:p>
    <w:p w:rsidR="002D71E5" w:rsidRPr="000D2457" w:rsidRDefault="002D71E5" w:rsidP="002D71E5">
      <w:pPr>
        <w:jc w:val="both"/>
        <w:rPr>
          <w:rFonts w:ascii="Arial" w:hAnsi="Arial" w:cs="Arial"/>
          <w:color w:val="222222"/>
          <w:sz w:val="24"/>
          <w:szCs w:val="24"/>
          <w:shd w:val="clear" w:color="auto" w:fill="FFFFFF"/>
          <w:lang w:val="es-ES_tradnl"/>
        </w:rPr>
      </w:pPr>
    </w:p>
    <w:p w:rsidR="002D71E5" w:rsidRPr="000D2457" w:rsidRDefault="002D71E5" w:rsidP="002D71E5">
      <w:pPr>
        <w:jc w:val="both"/>
        <w:rPr>
          <w:rFonts w:ascii="Arial" w:hAnsi="Arial" w:cs="Arial"/>
          <w:sz w:val="24"/>
          <w:szCs w:val="24"/>
          <w:lang w:val="es-PE"/>
        </w:rPr>
      </w:pPr>
      <w:r w:rsidRPr="000D2457">
        <w:rPr>
          <w:rFonts w:ascii="Arial" w:hAnsi="Arial" w:cs="Arial"/>
          <w:b/>
          <w:sz w:val="24"/>
          <w:szCs w:val="24"/>
          <w:lang w:val="es-PE"/>
        </w:rPr>
        <w:lastRenderedPageBreak/>
        <w:t xml:space="preserve">Artículo 9.- </w:t>
      </w:r>
      <w:r w:rsidRPr="000D2457">
        <w:rPr>
          <w:rFonts w:ascii="Arial" w:hAnsi="Arial" w:cs="Arial"/>
          <w:sz w:val="24"/>
          <w:szCs w:val="24"/>
          <w:lang w:val="es-PE"/>
        </w:rPr>
        <w:t>Para los patrones, instrumentos de medición, materiales de referencia e ítems de ensayo de aptitud</w:t>
      </w:r>
      <w:r w:rsidR="00051AC2" w:rsidRPr="000D2457">
        <w:rPr>
          <w:rFonts w:ascii="Arial" w:hAnsi="Arial" w:cs="Arial"/>
          <w:sz w:val="24"/>
          <w:szCs w:val="24"/>
          <w:lang w:val="es-PE"/>
        </w:rPr>
        <w:t>,</w:t>
      </w:r>
      <w:r w:rsidRPr="000D2457">
        <w:rPr>
          <w:rFonts w:ascii="Arial" w:hAnsi="Arial" w:cs="Arial"/>
          <w:sz w:val="24"/>
          <w:szCs w:val="24"/>
          <w:lang w:val="es-PE"/>
        </w:rPr>
        <w:t xml:space="preserve"> que se encuentren bajo el ámbito de aplicación de esta Decisión, la regularización o culminación del régimen aduanero respectivo</w:t>
      </w:r>
      <w:r w:rsidR="00051AC2" w:rsidRPr="000D2457">
        <w:rPr>
          <w:rFonts w:ascii="Arial" w:hAnsi="Arial" w:cs="Arial"/>
          <w:sz w:val="24"/>
          <w:szCs w:val="24"/>
          <w:lang w:val="es-PE"/>
        </w:rPr>
        <w:t>,</w:t>
      </w:r>
      <w:r w:rsidRPr="000D2457">
        <w:rPr>
          <w:rFonts w:ascii="Arial" w:hAnsi="Arial" w:cs="Arial"/>
          <w:sz w:val="24"/>
          <w:szCs w:val="24"/>
          <w:lang w:val="es-PE"/>
        </w:rPr>
        <w:t xml:space="preserve"> se efectuará de conformidad con la Decisión 671 y</w:t>
      </w:r>
      <w:r w:rsidR="00051AC2" w:rsidRPr="000D2457">
        <w:rPr>
          <w:rFonts w:ascii="Arial" w:hAnsi="Arial" w:cs="Arial"/>
          <w:sz w:val="24"/>
          <w:szCs w:val="24"/>
          <w:lang w:val="es-PE"/>
        </w:rPr>
        <w:t>,</w:t>
      </w:r>
      <w:r w:rsidRPr="000D2457">
        <w:rPr>
          <w:rFonts w:ascii="Arial" w:hAnsi="Arial" w:cs="Arial"/>
          <w:sz w:val="24"/>
          <w:szCs w:val="24"/>
          <w:lang w:val="es-PE"/>
        </w:rPr>
        <w:t xml:space="preserve"> en lo que fuere aplicable</w:t>
      </w:r>
      <w:r w:rsidR="00051AC2" w:rsidRPr="000D2457">
        <w:rPr>
          <w:rFonts w:ascii="Arial" w:hAnsi="Arial" w:cs="Arial"/>
          <w:sz w:val="24"/>
          <w:szCs w:val="24"/>
          <w:lang w:val="es-PE"/>
        </w:rPr>
        <w:t>,</w:t>
      </w:r>
      <w:r w:rsidRPr="000D2457">
        <w:rPr>
          <w:rFonts w:ascii="Arial" w:hAnsi="Arial" w:cs="Arial"/>
          <w:sz w:val="24"/>
          <w:szCs w:val="24"/>
          <w:lang w:val="es-PE"/>
        </w:rPr>
        <w:t xml:space="preserve"> la legislación nacional de cada País Miembro.</w:t>
      </w:r>
    </w:p>
    <w:p w:rsidR="002D71E5" w:rsidRPr="000D2457" w:rsidRDefault="002D71E5" w:rsidP="002D71E5">
      <w:pPr>
        <w:jc w:val="both"/>
        <w:rPr>
          <w:rFonts w:ascii="Arial" w:hAnsi="Arial" w:cs="Arial"/>
          <w:sz w:val="24"/>
          <w:szCs w:val="24"/>
          <w:lang w:val="es-PE"/>
        </w:rPr>
      </w:pPr>
    </w:p>
    <w:p w:rsidR="002D71E5" w:rsidRPr="000D2457" w:rsidRDefault="002D71E5" w:rsidP="002D71E5">
      <w:pPr>
        <w:jc w:val="both"/>
        <w:rPr>
          <w:rFonts w:ascii="Arial" w:hAnsi="Arial" w:cs="Arial"/>
          <w:sz w:val="24"/>
          <w:szCs w:val="24"/>
          <w:lang w:val="es-PE"/>
        </w:rPr>
      </w:pPr>
    </w:p>
    <w:p w:rsidR="002D71E5" w:rsidRPr="000D2457" w:rsidRDefault="002D71E5" w:rsidP="002D71E5">
      <w:pPr>
        <w:jc w:val="center"/>
        <w:rPr>
          <w:rFonts w:ascii="Arial" w:hAnsi="Arial" w:cs="Arial"/>
          <w:b/>
          <w:sz w:val="24"/>
          <w:szCs w:val="24"/>
          <w:lang w:val="es-PE"/>
        </w:rPr>
      </w:pPr>
      <w:r w:rsidRPr="000D2457">
        <w:rPr>
          <w:rFonts w:ascii="Arial" w:hAnsi="Arial" w:cs="Arial"/>
          <w:b/>
          <w:sz w:val="24"/>
          <w:szCs w:val="24"/>
          <w:lang w:val="es-PE"/>
        </w:rPr>
        <w:t>DISPOSICION FINAL</w:t>
      </w:r>
    </w:p>
    <w:p w:rsidR="002D71E5" w:rsidRPr="000D2457" w:rsidRDefault="002D71E5" w:rsidP="002D71E5">
      <w:pPr>
        <w:jc w:val="both"/>
        <w:rPr>
          <w:rFonts w:ascii="Arial" w:hAnsi="Arial" w:cs="Arial"/>
          <w:sz w:val="24"/>
          <w:szCs w:val="24"/>
          <w:lang w:val="es-PE"/>
        </w:rPr>
      </w:pPr>
    </w:p>
    <w:p w:rsidR="002D71E5" w:rsidRPr="000D2457" w:rsidRDefault="002D71E5" w:rsidP="002D71E5">
      <w:pPr>
        <w:autoSpaceDE w:val="0"/>
        <w:autoSpaceDN w:val="0"/>
        <w:adjustRightInd w:val="0"/>
        <w:contextualSpacing/>
        <w:jc w:val="both"/>
        <w:outlineLvl w:val="0"/>
        <w:rPr>
          <w:rFonts w:ascii="Arial" w:hAnsi="Arial" w:cs="Arial"/>
          <w:sz w:val="24"/>
          <w:szCs w:val="24"/>
          <w:lang w:val="es-PE"/>
        </w:rPr>
      </w:pPr>
      <w:r w:rsidRPr="000D2457">
        <w:rPr>
          <w:rFonts w:ascii="Arial" w:hAnsi="Arial" w:cs="Arial"/>
          <w:b/>
          <w:sz w:val="24"/>
          <w:szCs w:val="24"/>
          <w:lang w:val="es-PE"/>
        </w:rPr>
        <w:t>UNICA.-</w:t>
      </w:r>
      <w:r w:rsidRPr="000D2457">
        <w:rPr>
          <w:rFonts w:ascii="Arial" w:hAnsi="Arial" w:cs="Arial"/>
          <w:sz w:val="24"/>
          <w:szCs w:val="24"/>
          <w:lang w:val="es-PE"/>
        </w:rPr>
        <w:t xml:space="preserve"> La presente Decisión entrará en vigencia a partir del día siguiente a su publicación en la Gaceta Oficial del Acuerdo de Cartagena. </w:t>
      </w:r>
    </w:p>
    <w:p w:rsidR="002D71E5" w:rsidRPr="000D2457" w:rsidRDefault="002D71E5" w:rsidP="002D71E5">
      <w:pPr>
        <w:jc w:val="both"/>
        <w:rPr>
          <w:rFonts w:ascii="Arial" w:hAnsi="Arial" w:cs="Arial"/>
          <w:sz w:val="24"/>
          <w:szCs w:val="24"/>
          <w:lang w:val="es-PE"/>
        </w:rPr>
      </w:pPr>
    </w:p>
    <w:p w:rsidR="002D71E5" w:rsidRPr="000D2457" w:rsidRDefault="002D71E5" w:rsidP="002D71E5">
      <w:pPr>
        <w:jc w:val="both"/>
        <w:rPr>
          <w:rFonts w:ascii="Arial" w:hAnsi="Arial" w:cs="Arial"/>
          <w:sz w:val="24"/>
          <w:szCs w:val="24"/>
          <w:lang w:val="es-PE"/>
        </w:rPr>
      </w:pPr>
    </w:p>
    <w:p w:rsidR="002D71E5" w:rsidRPr="000D2457" w:rsidRDefault="002D71E5" w:rsidP="002D71E5">
      <w:pPr>
        <w:jc w:val="center"/>
        <w:rPr>
          <w:rFonts w:ascii="Arial" w:hAnsi="Arial" w:cs="Arial"/>
          <w:b/>
          <w:sz w:val="24"/>
          <w:szCs w:val="24"/>
          <w:lang w:val="es-PE"/>
        </w:rPr>
      </w:pPr>
      <w:r w:rsidRPr="000D2457">
        <w:rPr>
          <w:rFonts w:ascii="Arial" w:hAnsi="Arial" w:cs="Arial"/>
          <w:b/>
          <w:sz w:val="24"/>
          <w:szCs w:val="24"/>
          <w:lang w:val="es-PE"/>
        </w:rPr>
        <w:t>DISPOSICIONES COMPLEMENTARIAS</w:t>
      </w:r>
    </w:p>
    <w:p w:rsidR="002D71E5" w:rsidRPr="000D2457" w:rsidRDefault="002D71E5" w:rsidP="002D71E5">
      <w:pPr>
        <w:jc w:val="both"/>
        <w:rPr>
          <w:rFonts w:ascii="Arial" w:hAnsi="Arial" w:cs="Arial"/>
          <w:sz w:val="24"/>
          <w:szCs w:val="24"/>
          <w:lang w:val="es-PE"/>
        </w:rPr>
      </w:pPr>
    </w:p>
    <w:p w:rsidR="002D71E5" w:rsidRPr="000D2457" w:rsidRDefault="002D71E5" w:rsidP="002D71E5">
      <w:pPr>
        <w:autoSpaceDE w:val="0"/>
        <w:autoSpaceDN w:val="0"/>
        <w:adjustRightInd w:val="0"/>
        <w:contextualSpacing/>
        <w:jc w:val="both"/>
        <w:outlineLvl w:val="0"/>
        <w:rPr>
          <w:rFonts w:ascii="Arial" w:hAnsi="Arial" w:cs="Arial"/>
          <w:sz w:val="24"/>
          <w:szCs w:val="24"/>
          <w:lang w:val="es-PE"/>
        </w:rPr>
      </w:pPr>
      <w:r w:rsidRPr="000D2457">
        <w:rPr>
          <w:rFonts w:ascii="Arial" w:hAnsi="Arial" w:cs="Arial"/>
          <w:b/>
          <w:sz w:val="24"/>
          <w:szCs w:val="24"/>
          <w:lang w:val="es-PE"/>
        </w:rPr>
        <w:t>PRIMERA.-</w:t>
      </w:r>
      <w:r w:rsidRPr="000D2457">
        <w:rPr>
          <w:rFonts w:ascii="Arial" w:hAnsi="Arial" w:cs="Arial"/>
          <w:sz w:val="24"/>
          <w:szCs w:val="24"/>
          <w:lang w:val="es-PE"/>
        </w:rPr>
        <w:t xml:space="preserve"> Sin perjuicio de lo señalado en el ordenamiento jurídico comunitario, el incumplimiento de lo dispuesto en la presente Decisión dará lugar a la responsabilidad correspondiente</w:t>
      </w:r>
      <w:r w:rsidR="00051AC2" w:rsidRPr="000D2457">
        <w:rPr>
          <w:rFonts w:ascii="Arial" w:hAnsi="Arial" w:cs="Arial"/>
          <w:sz w:val="24"/>
          <w:szCs w:val="24"/>
          <w:lang w:val="es-PE"/>
        </w:rPr>
        <w:t>,</w:t>
      </w:r>
      <w:r w:rsidRPr="000D2457">
        <w:rPr>
          <w:rFonts w:ascii="Arial" w:hAnsi="Arial" w:cs="Arial"/>
          <w:sz w:val="24"/>
          <w:szCs w:val="24"/>
          <w:lang w:val="es-PE"/>
        </w:rPr>
        <w:t xml:space="preserve"> de conformidad con la legislación nacional del País Miembro concernido.</w:t>
      </w:r>
    </w:p>
    <w:p w:rsidR="002D71E5" w:rsidRPr="000D2457" w:rsidRDefault="002D71E5" w:rsidP="002D71E5">
      <w:pPr>
        <w:autoSpaceDE w:val="0"/>
        <w:autoSpaceDN w:val="0"/>
        <w:adjustRightInd w:val="0"/>
        <w:contextualSpacing/>
        <w:jc w:val="both"/>
        <w:outlineLvl w:val="0"/>
        <w:rPr>
          <w:rFonts w:ascii="Arial" w:hAnsi="Arial" w:cs="Arial"/>
          <w:sz w:val="24"/>
          <w:szCs w:val="24"/>
          <w:lang w:val="es-PE"/>
        </w:rPr>
      </w:pPr>
    </w:p>
    <w:p w:rsidR="002D71E5" w:rsidRPr="000D2457" w:rsidRDefault="002D71E5" w:rsidP="002D71E5">
      <w:pPr>
        <w:autoSpaceDE w:val="0"/>
        <w:autoSpaceDN w:val="0"/>
        <w:adjustRightInd w:val="0"/>
        <w:contextualSpacing/>
        <w:jc w:val="both"/>
        <w:outlineLvl w:val="0"/>
        <w:rPr>
          <w:rFonts w:ascii="Arial" w:hAnsi="Arial" w:cs="Arial"/>
          <w:sz w:val="24"/>
          <w:szCs w:val="24"/>
          <w:lang w:val="es-PE"/>
        </w:rPr>
      </w:pPr>
      <w:r w:rsidRPr="000D2457">
        <w:rPr>
          <w:rFonts w:ascii="Arial" w:hAnsi="Arial" w:cs="Arial"/>
          <w:b/>
          <w:sz w:val="24"/>
          <w:szCs w:val="24"/>
          <w:lang w:val="es-PE"/>
        </w:rPr>
        <w:t>SEGUNDA.-</w:t>
      </w:r>
      <w:r w:rsidRPr="000D2457">
        <w:rPr>
          <w:rFonts w:ascii="Arial" w:hAnsi="Arial" w:cs="Arial"/>
          <w:sz w:val="24"/>
          <w:szCs w:val="24"/>
          <w:lang w:val="es-PE"/>
        </w:rPr>
        <w:t xml:space="preserve"> Para los fines de la presente Decisión los INM de cada País Miembro son:</w:t>
      </w:r>
    </w:p>
    <w:p w:rsidR="002D71E5" w:rsidRPr="000D2457" w:rsidRDefault="002D71E5" w:rsidP="002D71E5">
      <w:pPr>
        <w:numPr>
          <w:ilvl w:val="1"/>
          <w:numId w:val="1"/>
        </w:numPr>
        <w:autoSpaceDE w:val="0"/>
        <w:autoSpaceDN w:val="0"/>
        <w:adjustRightInd w:val="0"/>
        <w:contextualSpacing/>
        <w:jc w:val="both"/>
        <w:outlineLvl w:val="0"/>
        <w:rPr>
          <w:rFonts w:ascii="Arial" w:hAnsi="Arial" w:cs="Arial"/>
          <w:sz w:val="24"/>
          <w:szCs w:val="24"/>
          <w:lang w:val="es-PE"/>
        </w:rPr>
      </w:pPr>
      <w:r w:rsidRPr="000D2457">
        <w:rPr>
          <w:rFonts w:ascii="Arial" w:hAnsi="Arial" w:cs="Arial"/>
          <w:sz w:val="24"/>
          <w:szCs w:val="24"/>
          <w:lang w:val="es-PE"/>
        </w:rPr>
        <w:t>Instituto Boliviano de Metrología (IBMETRO), o la entidad que haga sus veces;</w:t>
      </w:r>
    </w:p>
    <w:p w:rsidR="002D71E5" w:rsidRPr="000D2457" w:rsidRDefault="002D71E5" w:rsidP="002D71E5">
      <w:pPr>
        <w:numPr>
          <w:ilvl w:val="1"/>
          <w:numId w:val="1"/>
        </w:numPr>
        <w:autoSpaceDE w:val="0"/>
        <w:autoSpaceDN w:val="0"/>
        <w:adjustRightInd w:val="0"/>
        <w:contextualSpacing/>
        <w:jc w:val="both"/>
        <w:outlineLvl w:val="0"/>
        <w:rPr>
          <w:rFonts w:ascii="Arial" w:hAnsi="Arial" w:cs="Arial"/>
          <w:sz w:val="24"/>
          <w:szCs w:val="24"/>
          <w:lang w:val="es-PE"/>
        </w:rPr>
      </w:pPr>
      <w:r w:rsidRPr="000D2457">
        <w:rPr>
          <w:rFonts w:ascii="Arial" w:hAnsi="Arial" w:cs="Arial"/>
          <w:sz w:val="24"/>
          <w:szCs w:val="24"/>
          <w:lang w:val="es-PE"/>
        </w:rPr>
        <w:t>Instituto Nacional de Metrología de Colombia, o la entidad que haga sus veces;</w:t>
      </w:r>
    </w:p>
    <w:p w:rsidR="002D71E5" w:rsidRPr="000D2457" w:rsidRDefault="002D71E5" w:rsidP="002D71E5">
      <w:pPr>
        <w:numPr>
          <w:ilvl w:val="1"/>
          <w:numId w:val="1"/>
        </w:numPr>
        <w:autoSpaceDE w:val="0"/>
        <w:autoSpaceDN w:val="0"/>
        <w:adjustRightInd w:val="0"/>
        <w:contextualSpacing/>
        <w:jc w:val="both"/>
        <w:outlineLvl w:val="0"/>
        <w:rPr>
          <w:rFonts w:ascii="Arial" w:hAnsi="Arial" w:cs="Arial"/>
          <w:sz w:val="24"/>
          <w:szCs w:val="24"/>
          <w:lang w:val="es-PE"/>
        </w:rPr>
      </w:pPr>
      <w:r w:rsidRPr="000D2457">
        <w:rPr>
          <w:rFonts w:ascii="Arial" w:hAnsi="Arial" w:cs="Arial"/>
          <w:sz w:val="24"/>
          <w:szCs w:val="24"/>
          <w:lang w:val="es-PE"/>
        </w:rPr>
        <w:t>Servicio Ecuatoriano de Normalización (INEN), o la entidad que haga sus veces;</w:t>
      </w:r>
    </w:p>
    <w:p w:rsidR="002D71E5" w:rsidRPr="000D2457" w:rsidRDefault="002D71E5" w:rsidP="002D71E5">
      <w:pPr>
        <w:numPr>
          <w:ilvl w:val="1"/>
          <w:numId w:val="1"/>
        </w:numPr>
        <w:autoSpaceDE w:val="0"/>
        <w:autoSpaceDN w:val="0"/>
        <w:adjustRightInd w:val="0"/>
        <w:contextualSpacing/>
        <w:jc w:val="both"/>
        <w:outlineLvl w:val="0"/>
        <w:rPr>
          <w:rFonts w:ascii="Arial" w:hAnsi="Arial" w:cs="Arial"/>
          <w:sz w:val="24"/>
          <w:szCs w:val="24"/>
          <w:lang w:val="es-PE"/>
        </w:rPr>
      </w:pPr>
      <w:r w:rsidRPr="000D2457">
        <w:rPr>
          <w:rFonts w:ascii="Arial" w:hAnsi="Arial" w:cs="Arial"/>
          <w:sz w:val="24"/>
          <w:szCs w:val="24"/>
          <w:lang w:val="es-PE"/>
        </w:rPr>
        <w:t>Dirección de Metrología (DM) del Instituto Nacional de Calidad (INACAL) de Perú o la entidad que haga sus veces;</w:t>
      </w:r>
    </w:p>
    <w:p w:rsidR="002D71E5" w:rsidRPr="000D2457" w:rsidRDefault="002D71E5" w:rsidP="002D71E5">
      <w:pPr>
        <w:autoSpaceDE w:val="0"/>
        <w:autoSpaceDN w:val="0"/>
        <w:adjustRightInd w:val="0"/>
        <w:contextualSpacing/>
        <w:jc w:val="both"/>
        <w:outlineLvl w:val="0"/>
        <w:rPr>
          <w:rFonts w:ascii="Arial" w:hAnsi="Arial" w:cs="Arial"/>
          <w:sz w:val="24"/>
          <w:szCs w:val="24"/>
          <w:lang w:val="es-PE"/>
        </w:rPr>
      </w:pPr>
    </w:p>
    <w:p w:rsidR="002D71E5" w:rsidRPr="000D2457" w:rsidRDefault="002D71E5" w:rsidP="002D71E5">
      <w:pPr>
        <w:autoSpaceDE w:val="0"/>
        <w:autoSpaceDN w:val="0"/>
        <w:adjustRightInd w:val="0"/>
        <w:contextualSpacing/>
        <w:jc w:val="both"/>
        <w:outlineLvl w:val="0"/>
        <w:rPr>
          <w:rFonts w:ascii="Arial" w:hAnsi="Arial" w:cs="Arial"/>
          <w:sz w:val="24"/>
          <w:szCs w:val="24"/>
        </w:rPr>
      </w:pPr>
      <w:r w:rsidRPr="000D2457">
        <w:rPr>
          <w:rFonts w:ascii="Arial" w:hAnsi="Arial" w:cs="Arial"/>
          <w:sz w:val="24"/>
          <w:szCs w:val="24"/>
        </w:rPr>
        <w:t>Y los ONA:</w:t>
      </w:r>
    </w:p>
    <w:p w:rsidR="002D71E5" w:rsidRPr="000D2457" w:rsidRDefault="002D71E5" w:rsidP="002D71E5">
      <w:pPr>
        <w:numPr>
          <w:ilvl w:val="0"/>
          <w:numId w:val="3"/>
        </w:numPr>
        <w:autoSpaceDE w:val="0"/>
        <w:autoSpaceDN w:val="0"/>
        <w:adjustRightInd w:val="0"/>
        <w:contextualSpacing/>
        <w:jc w:val="both"/>
        <w:outlineLvl w:val="0"/>
        <w:rPr>
          <w:rFonts w:ascii="Arial" w:hAnsi="Arial" w:cs="Arial"/>
          <w:sz w:val="24"/>
          <w:szCs w:val="24"/>
          <w:lang w:val="es-PE"/>
        </w:rPr>
      </w:pPr>
      <w:r w:rsidRPr="000D2457">
        <w:rPr>
          <w:rFonts w:ascii="Arial" w:hAnsi="Arial" w:cs="Arial"/>
          <w:sz w:val="24"/>
          <w:szCs w:val="24"/>
          <w:lang w:val="es-PE"/>
        </w:rPr>
        <w:t>Dirección Técnica de Acreditación del IBMETRO de Bolivia o la entidad que haga sus veces;</w:t>
      </w:r>
    </w:p>
    <w:p w:rsidR="002D71E5" w:rsidRPr="000D2457" w:rsidRDefault="002D71E5" w:rsidP="002D71E5">
      <w:pPr>
        <w:numPr>
          <w:ilvl w:val="0"/>
          <w:numId w:val="3"/>
        </w:numPr>
        <w:autoSpaceDE w:val="0"/>
        <w:autoSpaceDN w:val="0"/>
        <w:adjustRightInd w:val="0"/>
        <w:contextualSpacing/>
        <w:jc w:val="both"/>
        <w:outlineLvl w:val="0"/>
        <w:rPr>
          <w:rFonts w:ascii="Arial" w:hAnsi="Arial" w:cs="Arial"/>
          <w:sz w:val="24"/>
          <w:szCs w:val="24"/>
          <w:lang w:val="es-PE"/>
        </w:rPr>
      </w:pPr>
      <w:r w:rsidRPr="000D2457">
        <w:rPr>
          <w:rFonts w:ascii="Arial" w:hAnsi="Arial" w:cs="Arial"/>
          <w:sz w:val="24"/>
          <w:szCs w:val="24"/>
          <w:lang w:val="es-PE"/>
        </w:rPr>
        <w:t>Organismo Nacional de Acreditación de Colombia (ONAC) o la entidad que haga sus veces;</w:t>
      </w:r>
    </w:p>
    <w:p w:rsidR="002D71E5" w:rsidRPr="000D2457" w:rsidRDefault="002D71E5" w:rsidP="002D71E5">
      <w:pPr>
        <w:numPr>
          <w:ilvl w:val="0"/>
          <w:numId w:val="3"/>
        </w:numPr>
        <w:autoSpaceDE w:val="0"/>
        <w:autoSpaceDN w:val="0"/>
        <w:adjustRightInd w:val="0"/>
        <w:contextualSpacing/>
        <w:jc w:val="both"/>
        <w:outlineLvl w:val="0"/>
        <w:rPr>
          <w:rFonts w:ascii="Arial" w:hAnsi="Arial" w:cs="Arial"/>
          <w:sz w:val="24"/>
          <w:szCs w:val="24"/>
          <w:lang w:val="es-PE"/>
        </w:rPr>
      </w:pPr>
      <w:r w:rsidRPr="000D2457">
        <w:rPr>
          <w:rFonts w:ascii="Arial" w:hAnsi="Arial" w:cs="Arial"/>
          <w:sz w:val="24"/>
          <w:szCs w:val="24"/>
          <w:lang w:val="es-PE"/>
        </w:rPr>
        <w:t>Servicio de Acreditación Ecuatoriano (SAE) o la entidad que haga sus veces;</w:t>
      </w:r>
    </w:p>
    <w:p w:rsidR="002D71E5" w:rsidRPr="000D2457" w:rsidRDefault="002D71E5" w:rsidP="002D71E5">
      <w:pPr>
        <w:numPr>
          <w:ilvl w:val="0"/>
          <w:numId w:val="3"/>
        </w:numPr>
        <w:autoSpaceDE w:val="0"/>
        <w:autoSpaceDN w:val="0"/>
        <w:adjustRightInd w:val="0"/>
        <w:contextualSpacing/>
        <w:jc w:val="both"/>
        <w:outlineLvl w:val="0"/>
        <w:rPr>
          <w:rFonts w:ascii="Arial" w:hAnsi="Arial" w:cs="Arial"/>
          <w:sz w:val="24"/>
          <w:szCs w:val="24"/>
          <w:lang w:val="es-PE"/>
        </w:rPr>
      </w:pPr>
      <w:r w:rsidRPr="000D2457">
        <w:rPr>
          <w:rFonts w:ascii="Arial" w:hAnsi="Arial" w:cs="Arial"/>
          <w:sz w:val="24"/>
          <w:szCs w:val="24"/>
          <w:lang w:val="es-PE"/>
        </w:rPr>
        <w:t>Dirección de Acreditación (DA) del INACAL de Perú o la entidad que haga sus veces;</w:t>
      </w:r>
    </w:p>
    <w:p w:rsidR="002D71E5" w:rsidRPr="000D2457" w:rsidRDefault="002D71E5" w:rsidP="002D71E5">
      <w:pPr>
        <w:autoSpaceDE w:val="0"/>
        <w:autoSpaceDN w:val="0"/>
        <w:adjustRightInd w:val="0"/>
        <w:contextualSpacing/>
        <w:jc w:val="both"/>
        <w:outlineLvl w:val="0"/>
        <w:rPr>
          <w:rFonts w:ascii="Arial" w:hAnsi="Arial" w:cs="Arial"/>
          <w:sz w:val="24"/>
          <w:szCs w:val="24"/>
          <w:lang w:val="es-PE"/>
        </w:rPr>
      </w:pPr>
    </w:p>
    <w:p w:rsidR="002D71E5" w:rsidRPr="000D2457" w:rsidRDefault="002D71E5" w:rsidP="002D71E5">
      <w:pPr>
        <w:autoSpaceDE w:val="0"/>
        <w:autoSpaceDN w:val="0"/>
        <w:adjustRightInd w:val="0"/>
        <w:contextualSpacing/>
        <w:jc w:val="both"/>
        <w:outlineLvl w:val="0"/>
        <w:rPr>
          <w:rFonts w:ascii="Arial" w:hAnsi="Arial" w:cs="Arial"/>
          <w:sz w:val="24"/>
          <w:szCs w:val="24"/>
          <w:lang w:val="es-PE"/>
        </w:rPr>
      </w:pPr>
      <w:r w:rsidRPr="000D2457">
        <w:rPr>
          <w:rFonts w:ascii="Arial" w:hAnsi="Arial" w:cs="Arial"/>
          <w:sz w:val="24"/>
          <w:szCs w:val="24"/>
          <w:lang w:val="es-PE"/>
        </w:rPr>
        <w:t xml:space="preserve">El País Miembro deberá informar a las administraciones aduaneras de los demás Países Miembros los cambios de </w:t>
      </w:r>
      <w:r w:rsidR="00051AC2" w:rsidRPr="000D2457">
        <w:rPr>
          <w:rFonts w:ascii="Arial" w:hAnsi="Arial" w:cs="Arial"/>
          <w:sz w:val="24"/>
          <w:szCs w:val="24"/>
          <w:lang w:val="es-PE"/>
        </w:rPr>
        <w:t xml:space="preserve">sus </w:t>
      </w:r>
      <w:r w:rsidRPr="000D2457">
        <w:rPr>
          <w:rFonts w:ascii="Arial" w:hAnsi="Arial" w:cs="Arial"/>
          <w:sz w:val="24"/>
          <w:szCs w:val="24"/>
          <w:lang w:val="es-PE"/>
        </w:rPr>
        <w:t>organismos nacionales competentes, para lo cual adjuntará la norma en la que conste sus atribuciones y funciones.</w:t>
      </w:r>
    </w:p>
    <w:p w:rsidR="002D71E5" w:rsidRPr="000D2457" w:rsidRDefault="002D71E5" w:rsidP="002D71E5">
      <w:pPr>
        <w:autoSpaceDE w:val="0"/>
        <w:autoSpaceDN w:val="0"/>
        <w:adjustRightInd w:val="0"/>
        <w:contextualSpacing/>
        <w:jc w:val="both"/>
        <w:outlineLvl w:val="0"/>
        <w:rPr>
          <w:rFonts w:ascii="Arial" w:hAnsi="Arial" w:cs="Arial"/>
          <w:b/>
          <w:sz w:val="24"/>
          <w:szCs w:val="24"/>
          <w:lang w:val="es-PE"/>
        </w:rPr>
      </w:pPr>
    </w:p>
    <w:p w:rsidR="002D71E5" w:rsidRPr="000D2457" w:rsidRDefault="002D71E5" w:rsidP="002D71E5">
      <w:pPr>
        <w:autoSpaceDE w:val="0"/>
        <w:autoSpaceDN w:val="0"/>
        <w:adjustRightInd w:val="0"/>
        <w:contextualSpacing/>
        <w:jc w:val="both"/>
        <w:outlineLvl w:val="0"/>
        <w:rPr>
          <w:rFonts w:ascii="Arial" w:hAnsi="Arial" w:cs="Arial"/>
          <w:sz w:val="24"/>
          <w:szCs w:val="24"/>
          <w:lang w:val="es-PE"/>
        </w:rPr>
      </w:pPr>
    </w:p>
    <w:p w:rsidR="002D71E5" w:rsidRPr="005914A7" w:rsidRDefault="002D71E5" w:rsidP="002D71E5">
      <w:pPr>
        <w:autoSpaceDE w:val="0"/>
        <w:autoSpaceDN w:val="0"/>
        <w:adjustRightInd w:val="0"/>
        <w:contextualSpacing/>
        <w:jc w:val="both"/>
        <w:outlineLvl w:val="0"/>
        <w:rPr>
          <w:sz w:val="24"/>
          <w:szCs w:val="24"/>
          <w:lang w:val="es-PE"/>
        </w:rPr>
      </w:pPr>
      <w:r w:rsidRPr="000D2457">
        <w:rPr>
          <w:rFonts w:ascii="Arial" w:hAnsi="Arial" w:cs="Arial"/>
          <w:sz w:val="24"/>
          <w:szCs w:val="24"/>
          <w:lang w:val="es-PE"/>
        </w:rPr>
        <w:lastRenderedPageBreak/>
        <w:t xml:space="preserve">Dada en la ciudad de Lima, Perú, a los </w:t>
      </w:r>
      <w:r w:rsidR="00F10F2D">
        <w:rPr>
          <w:rFonts w:ascii="Arial" w:hAnsi="Arial" w:cs="Arial"/>
          <w:sz w:val="24"/>
          <w:szCs w:val="24"/>
          <w:lang w:val="es-PE"/>
        </w:rPr>
        <w:t>veinticuatro</w:t>
      </w:r>
      <w:r w:rsidRPr="000D2457">
        <w:rPr>
          <w:rFonts w:ascii="Arial" w:hAnsi="Arial" w:cs="Arial"/>
          <w:sz w:val="24"/>
          <w:szCs w:val="24"/>
          <w:lang w:val="es-PE"/>
        </w:rPr>
        <w:t xml:space="preserve"> días del mes de </w:t>
      </w:r>
      <w:r w:rsidR="00F10F2D">
        <w:rPr>
          <w:rFonts w:ascii="Arial" w:hAnsi="Arial" w:cs="Arial"/>
          <w:sz w:val="24"/>
          <w:szCs w:val="24"/>
          <w:lang w:val="es-PE"/>
        </w:rPr>
        <w:t>abril</w:t>
      </w:r>
      <w:r w:rsidRPr="000D2457">
        <w:rPr>
          <w:rFonts w:ascii="Arial" w:hAnsi="Arial" w:cs="Arial"/>
          <w:sz w:val="24"/>
          <w:szCs w:val="24"/>
          <w:lang w:val="es-PE"/>
        </w:rPr>
        <w:t xml:space="preserve"> del año dos mil diecisiete.</w:t>
      </w:r>
      <w:r w:rsidRPr="005914A7">
        <w:rPr>
          <w:sz w:val="24"/>
          <w:szCs w:val="24"/>
          <w:lang w:val="es-PE"/>
        </w:rPr>
        <w:br w:type="page"/>
      </w:r>
    </w:p>
    <w:p w:rsidR="002D71E5" w:rsidRPr="005914A7" w:rsidRDefault="002D71E5" w:rsidP="002D71E5">
      <w:pPr>
        <w:jc w:val="center"/>
        <w:rPr>
          <w:b/>
          <w:sz w:val="24"/>
          <w:szCs w:val="24"/>
        </w:rPr>
      </w:pPr>
      <w:r w:rsidRPr="005914A7">
        <w:rPr>
          <w:b/>
          <w:sz w:val="24"/>
          <w:szCs w:val="24"/>
        </w:rPr>
        <w:lastRenderedPageBreak/>
        <w:t>ANEXO</w:t>
      </w:r>
    </w:p>
    <w:p w:rsidR="002D71E5" w:rsidRPr="00EB6F79" w:rsidRDefault="002D71E5" w:rsidP="002D71E5">
      <w:pPr>
        <w:jc w:val="center"/>
        <w:rPr>
          <w:b/>
        </w:rPr>
      </w:pPr>
    </w:p>
    <w:tbl>
      <w:tblPr>
        <w:tblpPr w:leftFromText="141" w:rightFromText="141" w:horzAnchor="margin" w:tblpXSpec="center" w:tblpY="639"/>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134"/>
        <w:gridCol w:w="708"/>
        <w:gridCol w:w="567"/>
        <w:gridCol w:w="567"/>
        <w:gridCol w:w="567"/>
        <w:gridCol w:w="993"/>
        <w:gridCol w:w="850"/>
        <w:gridCol w:w="142"/>
        <w:gridCol w:w="850"/>
        <w:gridCol w:w="1843"/>
        <w:gridCol w:w="1336"/>
      </w:tblGrid>
      <w:tr w:rsidR="002D71E5" w:rsidRPr="00F10F2D" w:rsidTr="009B425B">
        <w:trPr>
          <w:trHeight w:val="1129"/>
        </w:trPr>
        <w:tc>
          <w:tcPr>
            <w:tcW w:w="10658" w:type="dxa"/>
            <w:gridSpan w:val="12"/>
            <w:tcBorders>
              <w:top w:val="single" w:sz="4" w:space="0" w:color="auto"/>
              <w:left w:val="single" w:sz="4" w:space="0" w:color="auto"/>
              <w:bottom w:val="single" w:sz="4" w:space="0" w:color="auto"/>
              <w:right w:val="single" w:sz="4" w:space="0" w:color="auto"/>
            </w:tcBorders>
            <w:vAlign w:val="center"/>
          </w:tcPr>
          <w:p w:rsidR="002D71E5" w:rsidRPr="002D71E5" w:rsidRDefault="002D71E5" w:rsidP="009B425B">
            <w:pPr>
              <w:jc w:val="center"/>
              <w:rPr>
                <w:b/>
                <w:lang w:val="es-PE"/>
              </w:rPr>
            </w:pPr>
            <w:r w:rsidRPr="00EB6F79">
              <w:rPr>
                <w:b/>
                <w:lang w:val="es-ES_tradnl"/>
              </w:rPr>
              <w:t xml:space="preserve">FORMATO PARA </w:t>
            </w:r>
            <w:r w:rsidRPr="008737E8">
              <w:rPr>
                <w:rFonts w:ascii="Arial" w:hAnsi="Arial" w:cs="Arial"/>
                <w:b/>
                <w:lang w:val="es-ES_tradnl"/>
              </w:rPr>
              <w:t xml:space="preserve"> </w:t>
            </w:r>
            <w:r w:rsidRPr="008737E8">
              <w:rPr>
                <w:b/>
                <w:lang w:val="es-ES_tradnl"/>
              </w:rPr>
              <w:t xml:space="preserve">EL  TRATAMIENTO ADUANERO ESPECIAL </w:t>
            </w:r>
            <w:r w:rsidRPr="002D71E5">
              <w:rPr>
                <w:b/>
                <w:lang w:val="es-PE"/>
              </w:rPr>
              <w:t xml:space="preserve">DE PATRONES, INSTRUMENTOS DE MEDICIÓN, MATERIALES DE REFERENCIA </w:t>
            </w:r>
            <w:r w:rsidRPr="00EB6F79">
              <w:rPr>
                <w:b/>
                <w:lang w:val="es-ES_tradnl"/>
              </w:rPr>
              <w:t>E ÍTEMS DE ENSAYO DE APTITUD</w:t>
            </w:r>
            <w:r w:rsidRPr="002D71E5">
              <w:rPr>
                <w:b/>
                <w:lang w:val="es-PE"/>
              </w:rPr>
              <w:t xml:space="preserve"> ENTRE LOS PAÍSES MIEMBROS DE LA COMUNIDAD ANDINA Y TERCEROS PAÍSES  </w:t>
            </w:r>
          </w:p>
        </w:tc>
      </w:tr>
      <w:tr w:rsidR="002D71E5" w:rsidRPr="00EB6F79" w:rsidTr="009B425B">
        <w:trPr>
          <w:trHeight w:val="277"/>
        </w:trPr>
        <w:tc>
          <w:tcPr>
            <w:tcW w:w="747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71E5" w:rsidRPr="00EB6F79" w:rsidRDefault="002D71E5" w:rsidP="009B425B">
            <w:pPr>
              <w:widowControl w:val="0"/>
              <w:rPr>
                <w:b/>
                <w:lang w:val="es-ES"/>
              </w:rPr>
            </w:pPr>
            <w:r w:rsidRPr="00EB6F79">
              <w:rPr>
                <w:b/>
              </w:rPr>
              <w:t>N° de identificación</w:t>
            </w:r>
            <w:r w:rsidRPr="00EB6F79">
              <w:rPr>
                <w:b/>
                <w:vertAlign w:val="superscript"/>
              </w:rPr>
              <w:t>1</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D71E5" w:rsidRPr="00EB6F79" w:rsidRDefault="002D71E5" w:rsidP="009B425B">
            <w:pPr>
              <w:widowControl w:val="0"/>
              <w:rPr>
                <w:b/>
                <w:lang w:val="es-ES"/>
              </w:rPr>
            </w:pPr>
            <w:r w:rsidRPr="00EB6F79">
              <w:rPr>
                <w:b/>
              </w:rPr>
              <w:t>Fecha</w:t>
            </w:r>
            <w:r w:rsidRPr="00EB6F79">
              <w:rPr>
                <w:b/>
                <w:vertAlign w:val="superscript"/>
              </w:rPr>
              <w:t>2</w:t>
            </w:r>
          </w:p>
        </w:tc>
      </w:tr>
      <w:tr w:rsidR="002D71E5" w:rsidRPr="00EB6F79" w:rsidTr="009B425B">
        <w:trPr>
          <w:trHeight w:val="420"/>
        </w:trPr>
        <w:tc>
          <w:tcPr>
            <w:tcW w:w="40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71E5" w:rsidRPr="00EB6F79" w:rsidRDefault="002D71E5" w:rsidP="009B425B">
            <w:pPr>
              <w:widowControl w:val="0"/>
              <w:rPr>
                <w:b/>
                <w:noProof/>
                <w:lang w:val="es-EC" w:eastAsia="es-EC"/>
              </w:rPr>
            </w:pPr>
            <w:r w:rsidRPr="00EB6F79">
              <w:rPr>
                <w:b/>
                <w:noProof/>
                <w:lang w:val="es-EC" w:eastAsia="es-EC"/>
              </w:rPr>
              <w:t>Programa a realizar</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D71E5" w:rsidRPr="00EB6F79" w:rsidRDefault="002D71E5" w:rsidP="009B425B">
            <w:pPr>
              <w:widowControl w:val="0"/>
              <w:rPr>
                <w:b/>
                <w:lang w:val="es-ES"/>
              </w:rPr>
            </w:pPr>
            <w:r w:rsidRPr="00EB6F79">
              <w:rPr>
                <w:b/>
                <w:lang w:val="es-ES"/>
              </w:rPr>
              <w:t>Entidad(es) participantes(s)</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D71E5" w:rsidRPr="00EB6F79" w:rsidRDefault="002D71E5" w:rsidP="009B425B">
            <w:pPr>
              <w:widowControl w:val="0"/>
              <w:rPr>
                <w:b/>
                <w:lang w:val="es-ES"/>
              </w:rPr>
            </w:pPr>
            <w:r w:rsidRPr="00EB6F79">
              <w:rPr>
                <w:b/>
                <w:lang w:val="es-ES"/>
              </w:rPr>
              <w:t>País</w:t>
            </w:r>
          </w:p>
        </w:tc>
      </w:tr>
      <w:tr w:rsidR="002D71E5" w:rsidRPr="00EB6F79" w:rsidTr="009B425B">
        <w:trPr>
          <w:trHeight w:val="424"/>
        </w:trPr>
        <w:tc>
          <w:tcPr>
            <w:tcW w:w="4077" w:type="dxa"/>
            <w:gridSpan w:val="5"/>
            <w:vMerge w:val="restart"/>
            <w:tcBorders>
              <w:top w:val="single" w:sz="4" w:space="0" w:color="auto"/>
              <w:left w:val="single" w:sz="4" w:space="0" w:color="auto"/>
              <w:right w:val="single" w:sz="4" w:space="0" w:color="auto"/>
            </w:tcBorders>
          </w:tcPr>
          <w:p w:rsidR="002D71E5" w:rsidRDefault="002D71E5" w:rsidP="009B425B">
            <w:pPr>
              <w:widowControl w:val="0"/>
              <w:jc w:val="both"/>
              <w:rPr>
                <w:b/>
                <w:sz w:val="18"/>
                <w:szCs w:val="18"/>
                <w:lang w:val="es-ES"/>
              </w:rPr>
            </w:pPr>
          </w:p>
          <w:p w:rsidR="002D71E5" w:rsidRPr="00EB6F79" w:rsidRDefault="00A95F84" w:rsidP="009B425B">
            <w:pPr>
              <w:widowControl w:val="0"/>
              <w:jc w:val="both"/>
              <w:rPr>
                <w:b/>
                <w:lang w:val="es-ES"/>
              </w:rPr>
            </w:pPr>
            <w:r w:rsidRPr="00A95F84">
              <w:rPr>
                <w:noProof/>
                <w:lang w:val="es-PE" w:eastAsia="es-PE"/>
              </w:rPr>
              <w:pict>
                <v:rect id="Rectángulo 20" o:spid="_x0000_s1032" style="position:absolute;left:0;text-align:left;margin-left:162pt;margin-top:3.15pt;width:11.65pt;height:9.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"/>
              </w:pict>
            </w:r>
            <w:r w:rsidR="002D71E5">
              <w:rPr>
                <w:b/>
                <w:lang w:val="es-ES"/>
              </w:rPr>
              <w:t>C</w:t>
            </w:r>
            <w:r w:rsidR="002D71E5" w:rsidRPr="00EB6F79">
              <w:rPr>
                <w:b/>
                <w:lang w:val="es-ES"/>
              </w:rPr>
              <w:t xml:space="preserve">omparación </w:t>
            </w:r>
            <w:proofErr w:type="spellStart"/>
            <w:r w:rsidR="002D71E5">
              <w:rPr>
                <w:b/>
                <w:lang w:val="es-ES"/>
              </w:rPr>
              <w:t>inter</w:t>
            </w:r>
            <w:r w:rsidR="002D71E5" w:rsidRPr="00EB6F79">
              <w:rPr>
                <w:b/>
                <w:lang w:val="es-ES"/>
              </w:rPr>
              <w:t>laboratorios</w:t>
            </w:r>
            <w:proofErr w:type="spellEnd"/>
            <w:r w:rsidR="002D71E5" w:rsidRPr="00EB6F79">
              <w:rPr>
                <w:b/>
                <w:lang w:val="es-ES"/>
              </w:rPr>
              <w:t xml:space="preserve">                   </w:t>
            </w:r>
          </w:p>
          <w:p w:rsidR="002D71E5" w:rsidRDefault="002D71E5" w:rsidP="009B425B">
            <w:pPr>
              <w:widowControl w:val="0"/>
              <w:jc w:val="both"/>
              <w:rPr>
                <w:b/>
                <w:lang w:val="es-ES"/>
              </w:rPr>
            </w:pPr>
          </w:p>
          <w:p w:rsidR="002D71E5" w:rsidRPr="00EB6F79" w:rsidRDefault="00A95F84" w:rsidP="009B425B">
            <w:pPr>
              <w:widowControl w:val="0"/>
              <w:jc w:val="both"/>
              <w:rPr>
                <w:b/>
                <w:lang w:val="es-ES"/>
              </w:rPr>
            </w:pPr>
            <w:r w:rsidRPr="00A95F84">
              <w:rPr>
                <w:noProof/>
                <w:lang w:val="es-PE" w:eastAsia="es-PE"/>
              </w:rPr>
              <w:pict>
                <v:rect id="Rectángulo 19" o:spid="_x0000_s1031" style="position:absolute;left:0;text-align:left;margin-left:162pt;margin-top:4.3pt;width:11.65pt;height:9.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"/>
              </w:pict>
            </w:r>
            <w:r w:rsidR="002D71E5" w:rsidRPr="00EB6F79">
              <w:rPr>
                <w:b/>
                <w:lang w:val="es-ES"/>
              </w:rPr>
              <w:t>Ensayo de aptitud</w:t>
            </w:r>
          </w:p>
          <w:p w:rsidR="002D71E5" w:rsidRDefault="002D71E5" w:rsidP="009B425B">
            <w:pPr>
              <w:widowControl w:val="0"/>
              <w:jc w:val="both"/>
              <w:rPr>
                <w:b/>
                <w:lang w:val="es-ES"/>
              </w:rPr>
            </w:pPr>
          </w:p>
          <w:p w:rsidR="002D71E5" w:rsidRPr="00EB6F79" w:rsidRDefault="00A95F84" w:rsidP="009B425B">
            <w:pPr>
              <w:widowControl w:val="0"/>
              <w:jc w:val="both"/>
              <w:rPr>
                <w:b/>
                <w:lang w:val="es-ES"/>
              </w:rPr>
            </w:pPr>
            <w:r w:rsidRPr="00A95F84">
              <w:rPr>
                <w:noProof/>
                <w:lang w:val="es-PE" w:eastAsia="es-PE"/>
              </w:rPr>
              <w:pict>
                <v:rect id="Rectángulo 17" o:spid="_x0000_s1030" style="position:absolute;left:0;text-align:left;margin-left:162pt;margin-top:1.8pt;width:11.65pt;height:9.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"/>
              </w:pict>
            </w:r>
            <w:r w:rsidR="002D71E5" w:rsidRPr="00EB6F79">
              <w:rPr>
                <w:b/>
                <w:lang w:val="es-ES"/>
              </w:rPr>
              <w:t xml:space="preserve">Calibración de patrones  </w:t>
            </w:r>
          </w:p>
          <w:p w:rsidR="002D71E5" w:rsidRPr="00EB6F79" w:rsidRDefault="002D71E5" w:rsidP="009B425B">
            <w:pPr>
              <w:widowControl w:val="0"/>
              <w:jc w:val="both"/>
              <w:rPr>
                <w:b/>
                <w:lang w:val="es-ES"/>
              </w:rPr>
            </w:pPr>
          </w:p>
          <w:p w:rsidR="002D71E5" w:rsidRPr="00EB6F79" w:rsidRDefault="00A95F84" w:rsidP="009B425B">
            <w:pPr>
              <w:widowControl w:val="0"/>
              <w:jc w:val="both"/>
              <w:rPr>
                <w:b/>
                <w:lang w:val="es-ES"/>
              </w:rPr>
            </w:pPr>
            <w:r w:rsidRPr="00A95F84">
              <w:rPr>
                <w:noProof/>
                <w:lang w:val="es-PE" w:eastAsia="es-PE"/>
              </w:rPr>
              <w:pict>
                <v:rect id="_x0000_s1029" style="position:absolute;left:0;text-align:left;margin-left:162.35pt;margin-top:-.35pt;width:11.65pt;height:9.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"/>
              </w:pict>
            </w:r>
            <w:r w:rsidR="002D71E5" w:rsidRPr="00EB6F79">
              <w:rPr>
                <w:b/>
                <w:lang w:val="es-ES"/>
              </w:rPr>
              <w:t>Materiales de referencia</w:t>
            </w:r>
          </w:p>
        </w:tc>
        <w:tc>
          <w:tcPr>
            <w:tcW w:w="3402" w:type="dxa"/>
            <w:gridSpan w:val="5"/>
            <w:tcBorders>
              <w:top w:val="single" w:sz="4" w:space="0" w:color="auto"/>
              <w:left w:val="single" w:sz="4" w:space="0" w:color="auto"/>
              <w:bottom w:val="single" w:sz="4" w:space="0" w:color="auto"/>
              <w:right w:val="single" w:sz="4" w:space="0" w:color="auto"/>
            </w:tcBorders>
            <w:hideMark/>
          </w:tcPr>
          <w:p w:rsidR="002D71E5" w:rsidRPr="00EB6F79" w:rsidRDefault="002D71E5" w:rsidP="009B425B">
            <w:pPr>
              <w:widowControl w:val="0"/>
              <w:jc w:val="both"/>
              <w:rPr>
                <w:lang w:val="es-ES"/>
              </w:rPr>
            </w:pPr>
          </w:p>
        </w:tc>
        <w:tc>
          <w:tcPr>
            <w:tcW w:w="3179" w:type="dxa"/>
            <w:gridSpan w:val="2"/>
            <w:tcBorders>
              <w:top w:val="single" w:sz="4" w:space="0" w:color="auto"/>
              <w:left w:val="single" w:sz="4" w:space="0" w:color="auto"/>
              <w:right w:val="single" w:sz="4" w:space="0" w:color="auto"/>
            </w:tcBorders>
            <w:hideMark/>
          </w:tcPr>
          <w:p w:rsidR="002D71E5" w:rsidRPr="00EB6F79" w:rsidRDefault="002D71E5" w:rsidP="009B425B">
            <w:pPr>
              <w:widowControl w:val="0"/>
              <w:jc w:val="both"/>
              <w:rPr>
                <w:lang w:val="es-ES"/>
              </w:rPr>
            </w:pPr>
          </w:p>
        </w:tc>
      </w:tr>
      <w:tr w:rsidR="002D71E5" w:rsidRPr="00EB6F79" w:rsidTr="009B425B">
        <w:trPr>
          <w:trHeight w:val="422"/>
        </w:trPr>
        <w:tc>
          <w:tcPr>
            <w:tcW w:w="4077" w:type="dxa"/>
            <w:gridSpan w:val="5"/>
            <w:vMerge/>
            <w:tcBorders>
              <w:left w:val="single" w:sz="4" w:space="0" w:color="auto"/>
              <w:right w:val="single" w:sz="4" w:space="0" w:color="auto"/>
            </w:tcBorders>
          </w:tcPr>
          <w:p w:rsidR="002D71E5" w:rsidRPr="00EB6F79" w:rsidRDefault="002D71E5" w:rsidP="009B425B">
            <w:pPr>
              <w:widowControl w:val="0"/>
              <w:jc w:val="both"/>
              <w:rPr>
                <w:noProof/>
                <w:lang w:val="es-EC" w:eastAsia="es-EC"/>
              </w:rPr>
            </w:pPr>
          </w:p>
        </w:tc>
        <w:tc>
          <w:tcPr>
            <w:tcW w:w="3402" w:type="dxa"/>
            <w:gridSpan w:val="5"/>
            <w:tcBorders>
              <w:top w:val="single" w:sz="4" w:space="0" w:color="auto"/>
              <w:left w:val="single" w:sz="4" w:space="0" w:color="auto"/>
              <w:bottom w:val="single" w:sz="4" w:space="0" w:color="auto"/>
              <w:right w:val="single" w:sz="4" w:space="0" w:color="auto"/>
            </w:tcBorders>
            <w:hideMark/>
          </w:tcPr>
          <w:p w:rsidR="002D71E5" w:rsidRPr="00EB6F79" w:rsidRDefault="002D71E5" w:rsidP="009B425B">
            <w:pPr>
              <w:widowControl w:val="0"/>
              <w:jc w:val="both"/>
              <w:rPr>
                <w:lang w:val="es-ES"/>
              </w:rPr>
            </w:pPr>
          </w:p>
        </w:tc>
        <w:tc>
          <w:tcPr>
            <w:tcW w:w="3179" w:type="dxa"/>
            <w:gridSpan w:val="2"/>
            <w:tcBorders>
              <w:left w:val="single" w:sz="4" w:space="0" w:color="auto"/>
              <w:right w:val="single" w:sz="4" w:space="0" w:color="auto"/>
            </w:tcBorders>
            <w:hideMark/>
          </w:tcPr>
          <w:p w:rsidR="002D71E5" w:rsidRPr="00EB6F79" w:rsidRDefault="002D71E5" w:rsidP="009B425B">
            <w:pPr>
              <w:widowControl w:val="0"/>
              <w:jc w:val="both"/>
              <w:rPr>
                <w:lang w:val="es-ES"/>
              </w:rPr>
            </w:pPr>
          </w:p>
        </w:tc>
      </w:tr>
      <w:tr w:rsidR="002D71E5" w:rsidRPr="00EB6F79" w:rsidTr="009B425B">
        <w:trPr>
          <w:trHeight w:val="422"/>
        </w:trPr>
        <w:tc>
          <w:tcPr>
            <w:tcW w:w="4077" w:type="dxa"/>
            <w:gridSpan w:val="5"/>
            <w:vMerge/>
            <w:tcBorders>
              <w:left w:val="single" w:sz="4" w:space="0" w:color="auto"/>
              <w:right w:val="single" w:sz="4" w:space="0" w:color="auto"/>
            </w:tcBorders>
          </w:tcPr>
          <w:p w:rsidR="002D71E5" w:rsidRPr="00EB6F79" w:rsidRDefault="002D71E5" w:rsidP="009B425B">
            <w:pPr>
              <w:widowControl w:val="0"/>
              <w:jc w:val="both"/>
              <w:rPr>
                <w:noProof/>
                <w:lang w:val="es-EC" w:eastAsia="es-EC"/>
              </w:rPr>
            </w:pPr>
          </w:p>
        </w:tc>
        <w:tc>
          <w:tcPr>
            <w:tcW w:w="3402" w:type="dxa"/>
            <w:gridSpan w:val="5"/>
            <w:tcBorders>
              <w:top w:val="single" w:sz="4" w:space="0" w:color="auto"/>
              <w:left w:val="single" w:sz="4" w:space="0" w:color="auto"/>
              <w:bottom w:val="single" w:sz="4" w:space="0" w:color="auto"/>
              <w:right w:val="single" w:sz="4" w:space="0" w:color="auto"/>
            </w:tcBorders>
            <w:hideMark/>
          </w:tcPr>
          <w:p w:rsidR="002D71E5" w:rsidRPr="00EB6F79" w:rsidRDefault="002D71E5" w:rsidP="009B425B">
            <w:pPr>
              <w:widowControl w:val="0"/>
              <w:jc w:val="both"/>
              <w:rPr>
                <w:lang w:val="es-ES"/>
              </w:rPr>
            </w:pPr>
          </w:p>
        </w:tc>
        <w:tc>
          <w:tcPr>
            <w:tcW w:w="3179" w:type="dxa"/>
            <w:gridSpan w:val="2"/>
            <w:tcBorders>
              <w:left w:val="single" w:sz="4" w:space="0" w:color="auto"/>
              <w:right w:val="single" w:sz="4" w:space="0" w:color="auto"/>
            </w:tcBorders>
            <w:hideMark/>
          </w:tcPr>
          <w:p w:rsidR="002D71E5" w:rsidRPr="00EB6F79" w:rsidRDefault="002D71E5" w:rsidP="009B425B">
            <w:pPr>
              <w:widowControl w:val="0"/>
              <w:jc w:val="both"/>
              <w:rPr>
                <w:lang w:val="es-ES"/>
              </w:rPr>
            </w:pPr>
          </w:p>
        </w:tc>
      </w:tr>
      <w:tr w:rsidR="002D71E5" w:rsidRPr="00EB6F79" w:rsidTr="009B425B">
        <w:trPr>
          <w:trHeight w:val="359"/>
        </w:trPr>
        <w:tc>
          <w:tcPr>
            <w:tcW w:w="4077" w:type="dxa"/>
            <w:gridSpan w:val="5"/>
            <w:vMerge/>
            <w:tcBorders>
              <w:left w:val="single" w:sz="4" w:space="0" w:color="auto"/>
              <w:right w:val="single" w:sz="4" w:space="0" w:color="auto"/>
            </w:tcBorders>
          </w:tcPr>
          <w:p w:rsidR="002D71E5" w:rsidRPr="00EB6F79" w:rsidRDefault="002D71E5" w:rsidP="009B425B">
            <w:pPr>
              <w:widowControl w:val="0"/>
              <w:jc w:val="both"/>
              <w:rPr>
                <w:noProof/>
                <w:lang w:val="es-EC" w:eastAsia="es-EC"/>
              </w:rPr>
            </w:pPr>
          </w:p>
        </w:tc>
        <w:tc>
          <w:tcPr>
            <w:tcW w:w="3402" w:type="dxa"/>
            <w:gridSpan w:val="5"/>
            <w:tcBorders>
              <w:top w:val="single" w:sz="4" w:space="0" w:color="auto"/>
              <w:left w:val="single" w:sz="4" w:space="0" w:color="auto"/>
              <w:bottom w:val="single" w:sz="4" w:space="0" w:color="auto"/>
              <w:right w:val="single" w:sz="4" w:space="0" w:color="auto"/>
            </w:tcBorders>
            <w:hideMark/>
          </w:tcPr>
          <w:p w:rsidR="002D71E5" w:rsidRPr="00EB6F79" w:rsidRDefault="002D71E5" w:rsidP="009B425B">
            <w:pPr>
              <w:widowControl w:val="0"/>
              <w:jc w:val="both"/>
              <w:rPr>
                <w:lang w:val="es-ES"/>
              </w:rPr>
            </w:pPr>
          </w:p>
        </w:tc>
        <w:tc>
          <w:tcPr>
            <w:tcW w:w="3179" w:type="dxa"/>
            <w:gridSpan w:val="2"/>
            <w:tcBorders>
              <w:left w:val="single" w:sz="4" w:space="0" w:color="auto"/>
              <w:right w:val="single" w:sz="4" w:space="0" w:color="auto"/>
            </w:tcBorders>
            <w:hideMark/>
          </w:tcPr>
          <w:p w:rsidR="002D71E5" w:rsidRPr="00EB6F79" w:rsidRDefault="002D71E5" w:rsidP="009B425B">
            <w:pPr>
              <w:widowControl w:val="0"/>
              <w:jc w:val="both"/>
              <w:rPr>
                <w:lang w:val="es-ES"/>
              </w:rPr>
            </w:pPr>
          </w:p>
        </w:tc>
      </w:tr>
      <w:tr w:rsidR="002D71E5" w:rsidRPr="00EB6F79" w:rsidTr="009B425B">
        <w:trPr>
          <w:trHeight w:val="433"/>
        </w:trPr>
        <w:tc>
          <w:tcPr>
            <w:tcW w:w="4077" w:type="dxa"/>
            <w:gridSpan w:val="5"/>
            <w:vMerge/>
            <w:tcBorders>
              <w:left w:val="single" w:sz="4" w:space="0" w:color="auto"/>
              <w:bottom w:val="single" w:sz="4" w:space="0" w:color="auto"/>
              <w:right w:val="single" w:sz="4" w:space="0" w:color="auto"/>
            </w:tcBorders>
          </w:tcPr>
          <w:p w:rsidR="002D71E5" w:rsidRPr="00EB6F79" w:rsidRDefault="002D71E5" w:rsidP="009B425B">
            <w:pPr>
              <w:widowControl w:val="0"/>
              <w:jc w:val="both"/>
              <w:rPr>
                <w:noProof/>
                <w:lang w:val="es-EC" w:eastAsia="es-EC"/>
              </w:rPr>
            </w:pPr>
          </w:p>
        </w:tc>
        <w:tc>
          <w:tcPr>
            <w:tcW w:w="3402" w:type="dxa"/>
            <w:gridSpan w:val="5"/>
            <w:tcBorders>
              <w:top w:val="single" w:sz="4" w:space="0" w:color="auto"/>
              <w:left w:val="single" w:sz="4" w:space="0" w:color="auto"/>
              <w:bottom w:val="single" w:sz="4" w:space="0" w:color="auto"/>
              <w:right w:val="single" w:sz="4" w:space="0" w:color="auto"/>
            </w:tcBorders>
            <w:hideMark/>
          </w:tcPr>
          <w:p w:rsidR="002D71E5" w:rsidRPr="00EB6F79" w:rsidRDefault="002D71E5" w:rsidP="009B425B">
            <w:pPr>
              <w:widowControl w:val="0"/>
              <w:jc w:val="both"/>
              <w:rPr>
                <w:lang w:val="es-ES"/>
              </w:rPr>
            </w:pPr>
          </w:p>
        </w:tc>
        <w:tc>
          <w:tcPr>
            <w:tcW w:w="3179" w:type="dxa"/>
            <w:gridSpan w:val="2"/>
            <w:tcBorders>
              <w:left w:val="single" w:sz="4" w:space="0" w:color="auto"/>
              <w:bottom w:val="single" w:sz="4" w:space="0" w:color="auto"/>
              <w:right w:val="single" w:sz="4" w:space="0" w:color="auto"/>
            </w:tcBorders>
            <w:hideMark/>
          </w:tcPr>
          <w:p w:rsidR="002D71E5" w:rsidRPr="00EB6F79" w:rsidRDefault="002D71E5" w:rsidP="009B425B">
            <w:pPr>
              <w:widowControl w:val="0"/>
              <w:jc w:val="both"/>
              <w:rPr>
                <w:lang w:val="es-ES"/>
              </w:rPr>
            </w:pPr>
          </w:p>
        </w:tc>
      </w:tr>
      <w:tr w:rsidR="002D71E5" w:rsidRPr="00F10F2D" w:rsidTr="009B425B">
        <w:trPr>
          <w:trHeight w:val="297"/>
        </w:trPr>
        <w:tc>
          <w:tcPr>
            <w:tcW w:w="1065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71E5" w:rsidRPr="002D71E5" w:rsidRDefault="002D71E5" w:rsidP="009B425B">
            <w:pPr>
              <w:widowControl w:val="0"/>
              <w:rPr>
                <w:b/>
                <w:lang w:val="es-PE"/>
              </w:rPr>
            </w:pPr>
            <w:r w:rsidRPr="00EB6F79">
              <w:rPr>
                <w:b/>
                <w:lang w:val="es-ES"/>
              </w:rPr>
              <w:t>Datos de la entidad de inicio del programa</w:t>
            </w:r>
          </w:p>
        </w:tc>
      </w:tr>
      <w:tr w:rsidR="002D71E5" w:rsidRPr="00F10F2D" w:rsidTr="009B425B">
        <w:trPr>
          <w:trHeight w:val="914"/>
        </w:trPr>
        <w:tc>
          <w:tcPr>
            <w:tcW w:w="4644" w:type="dxa"/>
            <w:gridSpan w:val="6"/>
            <w:tcBorders>
              <w:top w:val="single" w:sz="4" w:space="0" w:color="auto"/>
              <w:left w:val="single" w:sz="4" w:space="0" w:color="auto"/>
              <w:bottom w:val="single" w:sz="4" w:space="0" w:color="auto"/>
              <w:right w:val="single" w:sz="4" w:space="0" w:color="auto"/>
            </w:tcBorders>
            <w:hideMark/>
          </w:tcPr>
          <w:p w:rsidR="002D71E5" w:rsidRPr="00EB6F79" w:rsidRDefault="002D71E5" w:rsidP="009B425B">
            <w:pPr>
              <w:widowControl w:val="0"/>
              <w:jc w:val="both"/>
              <w:rPr>
                <w:lang w:val="es-ES"/>
              </w:rPr>
            </w:pPr>
            <w:r w:rsidRPr="00EB6F79">
              <w:rPr>
                <w:lang w:val="es-ES"/>
              </w:rPr>
              <w:t>Nombre / Razón social</w:t>
            </w:r>
          </w:p>
        </w:tc>
        <w:tc>
          <w:tcPr>
            <w:tcW w:w="6014" w:type="dxa"/>
            <w:gridSpan w:val="6"/>
            <w:tcBorders>
              <w:top w:val="single" w:sz="4" w:space="0" w:color="auto"/>
              <w:left w:val="single" w:sz="4" w:space="0" w:color="auto"/>
              <w:bottom w:val="single" w:sz="4" w:space="0" w:color="auto"/>
              <w:right w:val="single" w:sz="4" w:space="0" w:color="auto"/>
            </w:tcBorders>
            <w:hideMark/>
          </w:tcPr>
          <w:p w:rsidR="002D71E5" w:rsidRPr="00EB6F79" w:rsidRDefault="002D71E5" w:rsidP="009B425B">
            <w:pPr>
              <w:widowControl w:val="0"/>
              <w:jc w:val="both"/>
              <w:rPr>
                <w:lang w:val="es-ES"/>
              </w:rPr>
            </w:pPr>
            <w:r w:rsidRPr="00EB6F79">
              <w:rPr>
                <w:lang w:val="es-ES"/>
              </w:rPr>
              <w:t xml:space="preserve">Responsable de custodia </w:t>
            </w:r>
          </w:p>
          <w:p w:rsidR="002D71E5" w:rsidRPr="00EB6F79" w:rsidRDefault="002D71E5" w:rsidP="009B425B">
            <w:pPr>
              <w:widowControl w:val="0"/>
              <w:jc w:val="both"/>
              <w:rPr>
                <w:lang w:val="es-ES"/>
              </w:rPr>
            </w:pPr>
            <w:r w:rsidRPr="00EB6F79">
              <w:rPr>
                <w:lang w:val="es-ES"/>
              </w:rPr>
              <w:t>(nombre / cargo / N° de identificación nacional)</w:t>
            </w:r>
          </w:p>
        </w:tc>
      </w:tr>
      <w:tr w:rsidR="002D71E5" w:rsidRPr="00EB6F79" w:rsidTr="009B425B">
        <w:trPr>
          <w:trHeight w:val="547"/>
        </w:trPr>
        <w:tc>
          <w:tcPr>
            <w:tcW w:w="2943" w:type="dxa"/>
            <w:gridSpan w:val="3"/>
            <w:tcBorders>
              <w:top w:val="single" w:sz="4" w:space="0" w:color="auto"/>
              <w:left w:val="single" w:sz="4" w:space="0" w:color="auto"/>
              <w:bottom w:val="single" w:sz="4" w:space="0" w:color="auto"/>
              <w:right w:val="single" w:sz="4" w:space="0" w:color="auto"/>
            </w:tcBorders>
            <w:hideMark/>
          </w:tcPr>
          <w:p w:rsidR="002D71E5" w:rsidRPr="00EB6F79" w:rsidRDefault="002D71E5" w:rsidP="009B425B">
            <w:pPr>
              <w:widowControl w:val="0"/>
              <w:jc w:val="both"/>
              <w:rPr>
                <w:lang w:val="es-ES"/>
              </w:rPr>
            </w:pPr>
            <w:r w:rsidRPr="00EB6F79">
              <w:rPr>
                <w:lang w:val="es-ES"/>
              </w:rPr>
              <w:t>País de Origen</w:t>
            </w:r>
          </w:p>
        </w:tc>
        <w:tc>
          <w:tcPr>
            <w:tcW w:w="3544" w:type="dxa"/>
            <w:gridSpan w:val="5"/>
            <w:tcBorders>
              <w:top w:val="single" w:sz="4" w:space="0" w:color="auto"/>
              <w:left w:val="single" w:sz="4" w:space="0" w:color="auto"/>
              <w:bottom w:val="single" w:sz="4" w:space="0" w:color="auto"/>
              <w:right w:val="single" w:sz="4" w:space="0" w:color="auto"/>
            </w:tcBorders>
          </w:tcPr>
          <w:p w:rsidR="002D71E5" w:rsidRPr="00EB6F79" w:rsidRDefault="002D71E5" w:rsidP="009B425B">
            <w:pPr>
              <w:widowControl w:val="0"/>
              <w:jc w:val="both"/>
              <w:rPr>
                <w:lang w:val="es-ES"/>
              </w:rPr>
            </w:pPr>
            <w:r w:rsidRPr="00EB6F79">
              <w:rPr>
                <w:lang w:val="es-ES"/>
              </w:rPr>
              <w:t>Teléfono / Fax</w:t>
            </w:r>
          </w:p>
        </w:tc>
        <w:tc>
          <w:tcPr>
            <w:tcW w:w="4171" w:type="dxa"/>
            <w:gridSpan w:val="4"/>
            <w:tcBorders>
              <w:top w:val="single" w:sz="4" w:space="0" w:color="auto"/>
              <w:left w:val="single" w:sz="4" w:space="0" w:color="auto"/>
              <w:bottom w:val="single" w:sz="4" w:space="0" w:color="auto"/>
              <w:right w:val="single" w:sz="4" w:space="0" w:color="auto"/>
            </w:tcBorders>
            <w:hideMark/>
          </w:tcPr>
          <w:p w:rsidR="002D71E5" w:rsidRPr="00EB6F79" w:rsidRDefault="002D71E5" w:rsidP="009B425B">
            <w:pPr>
              <w:widowControl w:val="0"/>
              <w:jc w:val="both"/>
              <w:rPr>
                <w:lang w:val="es-ES"/>
              </w:rPr>
            </w:pPr>
            <w:r w:rsidRPr="00EB6F79">
              <w:rPr>
                <w:lang w:val="es-ES"/>
              </w:rPr>
              <w:t>Correo electrónico:</w:t>
            </w:r>
          </w:p>
        </w:tc>
      </w:tr>
      <w:tr w:rsidR="002D71E5" w:rsidRPr="00F10F2D" w:rsidTr="009B425B">
        <w:trPr>
          <w:trHeight w:val="366"/>
        </w:trPr>
        <w:tc>
          <w:tcPr>
            <w:tcW w:w="1065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71E5" w:rsidRPr="00EB6F79" w:rsidRDefault="002D71E5" w:rsidP="009B425B">
            <w:pPr>
              <w:widowControl w:val="0"/>
              <w:rPr>
                <w:b/>
                <w:lang w:val="es-ES"/>
              </w:rPr>
            </w:pPr>
            <w:r w:rsidRPr="00EB6F79">
              <w:rPr>
                <w:b/>
                <w:lang w:val="es-ES"/>
              </w:rPr>
              <w:t>Datos de la operación (circulación):</w:t>
            </w:r>
          </w:p>
        </w:tc>
      </w:tr>
      <w:tr w:rsidR="002D71E5" w:rsidRPr="00EB6F79" w:rsidTr="009B425B">
        <w:trPr>
          <w:trHeight w:val="500"/>
        </w:trPr>
        <w:tc>
          <w:tcPr>
            <w:tcW w:w="4644" w:type="dxa"/>
            <w:gridSpan w:val="6"/>
            <w:tcBorders>
              <w:top w:val="single" w:sz="4" w:space="0" w:color="auto"/>
              <w:left w:val="single" w:sz="4" w:space="0" w:color="auto"/>
              <w:right w:val="single" w:sz="4" w:space="0" w:color="auto"/>
            </w:tcBorders>
            <w:hideMark/>
          </w:tcPr>
          <w:p w:rsidR="002D71E5" w:rsidRPr="00EB6F79" w:rsidRDefault="002D71E5" w:rsidP="009B425B">
            <w:pPr>
              <w:widowControl w:val="0"/>
              <w:jc w:val="both"/>
              <w:rPr>
                <w:lang w:val="es-ES"/>
              </w:rPr>
            </w:pPr>
            <w:r w:rsidRPr="00EB6F79">
              <w:rPr>
                <w:lang w:val="es-ES"/>
              </w:rPr>
              <w:t>Fecha inicio</w:t>
            </w:r>
            <w:r w:rsidRPr="00EB6F79">
              <w:rPr>
                <w:vertAlign w:val="superscript"/>
                <w:lang w:val="es-ES"/>
              </w:rPr>
              <w:t>3</w:t>
            </w:r>
            <w:r w:rsidRPr="00EB6F79">
              <w:rPr>
                <w:lang w:val="es-ES"/>
              </w:rPr>
              <w:t>:</w:t>
            </w:r>
          </w:p>
        </w:tc>
        <w:tc>
          <w:tcPr>
            <w:tcW w:w="6014" w:type="dxa"/>
            <w:gridSpan w:val="6"/>
            <w:tcBorders>
              <w:top w:val="single" w:sz="4" w:space="0" w:color="auto"/>
              <w:left w:val="single" w:sz="4" w:space="0" w:color="auto"/>
              <w:right w:val="single" w:sz="4" w:space="0" w:color="auto"/>
            </w:tcBorders>
            <w:hideMark/>
          </w:tcPr>
          <w:p w:rsidR="002D71E5" w:rsidRPr="00EB6F79" w:rsidRDefault="002D71E5" w:rsidP="009B425B">
            <w:pPr>
              <w:widowControl w:val="0"/>
              <w:jc w:val="both"/>
              <w:rPr>
                <w:lang w:val="es-ES"/>
              </w:rPr>
            </w:pPr>
            <w:r w:rsidRPr="00EB6F79">
              <w:rPr>
                <w:lang w:val="es-ES"/>
              </w:rPr>
              <w:t>Fecha término</w:t>
            </w:r>
            <w:r w:rsidRPr="00EB6F79">
              <w:rPr>
                <w:vertAlign w:val="superscript"/>
                <w:lang w:val="es-ES"/>
              </w:rPr>
              <w:t>3</w:t>
            </w:r>
            <w:r w:rsidRPr="00EB6F79">
              <w:rPr>
                <w:lang w:val="es-ES"/>
              </w:rPr>
              <w:t>:</w:t>
            </w:r>
          </w:p>
        </w:tc>
      </w:tr>
      <w:tr w:rsidR="002D71E5" w:rsidRPr="00F10F2D" w:rsidTr="009B425B">
        <w:trPr>
          <w:trHeight w:val="537"/>
        </w:trPr>
        <w:tc>
          <w:tcPr>
            <w:tcW w:w="1065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D71E5" w:rsidRPr="00EB6F79" w:rsidRDefault="002D71E5" w:rsidP="009B425B">
            <w:pPr>
              <w:widowControl w:val="0"/>
              <w:rPr>
                <w:b/>
                <w:lang w:val="es-ES"/>
              </w:rPr>
            </w:pPr>
            <w:r w:rsidRPr="00EB6F79">
              <w:rPr>
                <w:b/>
                <w:lang w:val="es-ES"/>
              </w:rPr>
              <w:t xml:space="preserve">Datos de las entidades por las que circularán los patrones e instrumentos de medición / material de referencia / </w:t>
            </w:r>
            <w:r w:rsidRPr="00EB6F79">
              <w:rPr>
                <w:b/>
                <w:lang w:val="es-ES_tradnl"/>
              </w:rPr>
              <w:t>ítem de ensayos de aptitud</w:t>
            </w:r>
          </w:p>
        </w:tc>
      </w:tr>
      <w:tr w:rsidR="002D71E5" w:rsidRPr="00F10F2D" w:rsidTr="009B425B">
        <w:trPr>
          <w:trHeight w:val="832"/>
        </w:trPr>
        <w:tc>
          <w:tcPr>
            <w:tcW w:w="1101" w:type="dxa"/>
            <w:tcBorders>
              <w:top w:val="single" w:sz="4" w:space="0" w:color="auto"/>
              <w:left w:val="single" w:sz="4" w:space="0" w:color="auto"/>
              <w:bottom w:val="single" w:sz="4" w:space="0" w:color="auto"/>
              <w:right w:val="single" w:sz="4" w:space="0" w:color="auto"/>
            </w:tcBorders>
            <w:vAlign w:val="center"/>
            <w:hideMark/>
          </w:tcPr>
          <w:p w:rsidR="002D71E5" w:rsidRPr="003775C8" w:rsidDel="005F14AC" w:rsidRDefault="002D71E5" w:rsidP="009B425B">
            <w:pPr>
              <w:widowControl w:val="0"/>
              <w:rPr>
                <w:lang w:val="es-ES"/>
              </w:rPr>
            </w:pPr>
            <w:r w:rsidRPr="003775C8">
              <w:rPr>
                <w:lang w:val="es-ES"/>
              </w:rPr>
              <w:t>País(es) de destino</w:t>
            </w:r>
          </w:p>
        </w:tc>
        <w:tc>
          <w:tcPr>
            <w:tcW w:w="1134" w:type="dxa"/>
            <w:tcBorders>
              <w:top w:val="single" w:sz="4" w:space="0" w:color="auto"/>
              <w:left w:val="single" w:sz="4" w:space="0" w:color="auto"/>
              <w:bottom w:val="single" w:sz="4" w:space="0" w:color="auto"/>
              <w:right w:val="single" w:sz="4" w:space="0" w:color="auto"/>
            </w:tcBorders>
            <w:vAlign w:val="center"/>
          </w:tcPr>
          <w:p w:rsidR="002D71E5" w:rsidRPr="003775C8" w:rsidDel="005F14AC" w:rsidRDefault="002D71E5" w:rsidP="009B425B">
            <w:pPr>
              <w:widowControl w:val="0"/>
              <w:rPr>
                <w:vertAlign w:val="superscript"/>
                <w:lang w:val="es-ES"/>
              </w:rPr>
            </w:pPr>
            <w:r w:rsidRPr="003775C8">
              <w:rPr>
                <w:lang w:val="es-ES"/>
              </w:rPr>
              <w:t>Fecha estimada de ingreso de la mercancía</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D71E5" w:rsidRPr="003775C8" w:rsidDel="005F14AC" w:rsidRDefault="002D71E5" w:rsidP="009B425B">
            <w:pPr>
              <w:widowControl w:val="0"/>
              <w:rPr>
                <w:lang w:val="es-ES"/>
              </w:rPr>
            </w:pPr>
            <w:r w:rsidRPr="003775C8">
              <w:rPr>
                <w:lang w:val="es-ES"/>
              </w:rPr>
              <w:t>Régimen aduanero de ingreso</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D71E5" w:rsidRPr="003775C8" w:rsidDel="005F14AC" w:rsidRDefault="002D71E5" w:rsidP="009B425B">
            <w:pPr>
              <w:widowControl w:val="0"/>
              <w:rPr>
                <w:lang w:val="es-ES"/>
              </w:rPr>
            </w:pPr>
            <w:r w:rsidRPr="003775C8">
              <w:rPr>
                <w:lang w:val="es-ES"/>
              </w:rPr>
              <w:t>Entidad receptora</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2D71E5" w:rsidRPr="003775C8" w:rsidRDefault="002D71E5" w:rsidP="009B425B">
            <w:pPr>
              <w:widowControl w:val="0"/>
              <w:rPr>
                <w:lang w:val="es-ES"/>
              </w:rPr>
            </w:pPr>
            <w:r w:rsidRPr="003775C8">
              <w:rPr>
                <w:lang w:val="es-ES"/>
              </w:rPr>
              <w:t xml:space="preserve">Responsable de custodia </w:t>
            </w:r>
          </w:p>
          <w:p w:rsidR="002D71E5" w:rsidRPr="003775C8" w:rsidDel="005F14AC" w:rsidRDefault="002D71E5" w:rsidP="009B425B">
            <w:pPr>
              <w:widowControl w:val="0"/>
              <w:rPr>
                <w:lang w:val="es-ES"/>
              </w:rPr>
            </w:pPr>
            <w:r w:rsidRPr="003775C8">
              <w:rPr>
                <w:lang w:val="es-ES"/>
              </w:rPr>
              <w:t>(nombre / cargo / N° de identificación nacional)</w:t>
            </w:r>
          </w:p>
        </w:tc>
        <w:tc>
          <w:tcPr>
            <w:tcW w:w="1336" w:type="dxa"/>
            <w:tcBorders>
              <w:top w:val="single" w:sz="4" w:space="0" w:color="auto"/>
              <w:left w:val="single" w:sz="4" w:space="0" w:color="auto"/>
              <w:bottom w:val="single" w:sz="4" w:space="0" w:color="auto"/>
              <w:right w:val="single" w:sz="4" w:space="0" w:color="auto"/>
            </w:tcBorders>
            <w:vAlign w:val="center"/>
          </w:tcPr>
          <w:p w:rsidR="002D71E5" w:rsidRPr="003775C8" w:rsidDel="005F14AC" w:rsidRDefault="002D71E5" w:rsidP="009B425B">
            <w:pPr>
              <w:widowControl w:val="0"/>
              <w:rPr>
                <w:lang w:val="es-ES"/>
              </w:rPr>
            </w:pPr>
            <w:r w:rsidRPr="003775C8">
              <w:rPr>
                <w:lang w:val="es-ES"/>
              </w:rPr>
              <w:t>Fecha estimada de salida de mercancía</w:t>
            </w:r>
          </w:p>
        </w:tc>
      </w:tr>
      <w:tr w:rsidR="002D71E5" w:rsidRPr="00F10F2D" w:rsidTr="009B425B">
        <w:trPr>
          <w:trHeight w:val="586"/>
        </w:trPr>
        <w:tc>
          <w:tcPr>
            <w:tcW w:w="1101" w:type="dxa"/>
            <w:tcBorders>
              <w:top w:val="single" w:sz="4" w:space="0" w:color="auto"/>
              <w:left w:val="single" w:sz="4" w:space="0" w:color="auto"/>
              <w:bottom w:val="single" w:sz="4" w:space="0" w:color="auto"/>
              <w:right w:val="single" w:sz="4" w:space="0" w:color="auto"/>
            </w:tcBorders>
            <w:vAlign w:val="center"/>
            <w:hideMark/>
          </w:tcPr>
          <w:p w:rsidR="002D71E5" w:rsidRPr="00EB6F79" w:rsidRDefault="002D71E5" w:rsidP="009B425B">
            <w:pPr>
              <w:widowControl w:val="0"/>
              <w:jc w:val="both"/>
              <w:rPr>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2D71E5" w:rsidRPr="00EB6F79" w:rsidRDefault="002D71E5" w:rsidP="009B425B">
            <w:pPr>
              <w:widowControl w:val="0"/>
              <w:jc w:val="both"/>
              <w:rPr>
                <w:lang w:val="es-E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D71E5" w:rsidRPr="00EB6F79" w:rsidRDefault="002D71E5" w:rsidP="009B425B">
            <w:pPr>
              <w:widowControl w:val="0"/>
              <w:jc w:val="both"/>
              <w:rPr>
                <w:lang w:val="es-ES"/>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D71E5" w:rsidRPr="00EB6F79" w:rsidRDefault="002D71E5" w:rsidP="009B425B">
            <w:pPr>
              <w:widowControl w:val="0"/>
              <w:jc w:val="both"/>
              <w:rPr>
                <w:lang w:val="es-ES"/>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2D71E5" w:rsidRPr="00EB6F79" w:rsidRDefault="002D71E5" w:rsidP="009B425B">
            <w:pPr>
              <w:widowControl w:val="0"/>
              <w:jc w:val="both"/>
              <w:rPr>
                <w:lang w:val="es-ES"/>
              </w:rPr>
            </w:pPr>
          </w:p>
        </w:tc>
        <w:tc>
          <w:tcPr>
            <w:tcW w:w="1336" w:type="dxa"/>
            <w:tcBorders>
              <w:top w:val="single" w:sz="4" w:space="0" w:color="auto"/>
              <w:left w:val="single" w:sz="4" w:space="0" w:color="auto"/>
              <w:bottom w:val="single" w:sz="4" w:space="0" w:color="auto"/>
              <w:right w:val="single" w:sz="4" w:space="0" w:color="auto"/>
            </w:tcBorders>
            <w:vAlign w:val="center"/>
          </w:tcPr>
          <w:p w:rsidR="002D71E5" w:rsidRPr="00EB6F79" w:rsidRDefault="002D71E5" w:rsidP="009B425B">
            <w:pPr>
              <w:widowControl w:val="0"/>
              <w:jc w:val="both"/>
              <w:rPr>
                <w:lang w:val="es-ES"/>
              </w:rPr>
            </w:pPr>
          </w:p>
        </w:tc>
      </w:tr>
      <w:tr w:rsidR="002D71E5" w:rsidRPr="00F10F2D" w:rsidTr="009B425B">
        <w:trPr>
          <w:trHeight w:val="566"/>
        </w:trPr>
        <w:tc>
          <w:tcPr>
            <w:tcW w:w="1101" w:type="dxa"/>
            <w:tcBorders>
              <w:top w:val="single" w:sz="4" w:space="0" w:color="auto"/>
              <w:left w:val="single" w:sz="4" w:space="0" w:color="auto"/>
              <w:bottom w:val="single" w:sz="4" w:space="0" w:color="auto"/>
              <w:right w:val="single" w:sz="4" w:space="0" w:color="auto"/>
            </w:tcBorders>
            <w:vAlign w:val="center"/>
            <w:hideMark/>
          </w:tcPr>
          <w:p w:rsidR="002D71E5" w:rsidRPr="00EB6F79" w:rsidRDefault="002D71E5" w:rsidP="009B425B">
            <w:pPr>
              <w:widowControl w:val="0"/>
              <w:jc w:val="both"/>
              <w:rPr>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2D71E5" w:rsidRPr="00EB6F79" w:rsidRDefault="002D71E5" w:rsidP="009B425B">
            <w:pPr>
              <w:widowControl w:val="0"/>
              <w:jc w:val="both"/>
              <w:rPr>
                <w:lang w:val="es-E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D71E5" w:rsidRPr="00EB6F79" w:rsidRDefault="002D71E5" w:rsidP="009B425B">
            <w:pPr>
              <w:widowControl w:val="0"/>
              <w:jc w:val="both"/>
              <w:rPr>
                <w:lang w:val="es-ES"/>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D71E5" w:rsidRPr="00EB6F79" w:rsidRDefault="002D71E5" w:rsidP="009B425B">
            <w:pPr>
              <w:widowControl w:val="0"/>
              <w:jc w:val="both"/>
              <w:rPr>
                <w:lang w:val="es-ES"/>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2D71E5" w:rsidRPr="00EB6F79" w:rsidRDefault="002D71E5" w:rsidP="009B425B">
            <w:pPr>
              <w:widowControl w:val="0"/>
              <w:jc w:val="both"/>
              <w:rPr>
                <w:lang w:val="es-ES"/>
              </w:rPr>
            </w:pPr>
          </w:p>
        </w:tc>
        <w:tc>
          <w:tcPr>
            <w:tcW w:w="1336" w:type="dxa"/>
            <w:tcBorders>
              <w:top w:val="single" w:sz="4" w:space="0" w:color="auto"/>
              <w:left w:val="single" w:sz="4" w:space="0" w:color="auto"/>
              <w:bottom w:val="single" w:sz="4" w:space="0" w:color="auto"/>
              <w:right w:val="single" w:sz="4" w:space="0" w:color="auto"/>
            </w:tcBorders>
            <w:vAlign w:val="center"/>
          </w:tcPr>
          <w:p w:rsidR="002D71E5" w:rsidRPr="00EB6F79" w:rsidRDefault="002D71E5" w:rsidP="009B425B">
            <w:pPr>
              <w:widowControl w:val="0"/>
              <w:jc w:val="both"/>
              <w:rPr>
                <w:lang w:val="es-ES"/>
              </w:rPr>
            </w:pPr>
          </w:p>
        </w:tc>
      </w:tr>
      <w:tr w:rsidR="002D71E5" w:rsidRPr="00F10F2D" w:rsidTr="009B425B">
        <w:trPr>
          <w:trHeight w:val="560"/>
        </w:trPr>
        <w:tc>
          <w:tcPr>
            <w:tcW w:w="1101" w:type="dxa"/>
            <w:tcBorders>
              <w:top w:val="single" w:sz="4" w:space="0" w:color="auto"/>
              <w:left w:val="single" w:sz="4" w:space="0" w:color="auto"/>
              <w:bottom w:val="single" w:sz="4" w:space="0" w:color="auto"/>
              <w:right w:val="single" w:sz="4" w:space="0" w:color="auto"/>
            </w:tcBorders>
            <w:vAlign w:val="center"/>
            <w:hideMark/>
          </w:tcPr>
          <w:p w:rsidR="002D71E5" w:rsidRPr="00EB6F79" w:rsidDel="005F14AC" w:rsidRDefault="002D71E5" w:rsidP="009B425B">
            <w:pPr>
              <w:widowControl w:val="0"/>
              <w:jc w:val="both"/>
              <w:rPr>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rsidR="002D71E5" w:rsidRPr="00EB6F79" w:rsidDel="005F14AC" w:rsidRDefault="002D71E5" w:rsidP="009B425B">
            <w:pPr>
              <w:widowControl w:val="0"/>
              <w:jc w:val="both"/>
              <w:rPr>
                <w:lang w:val="es-E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D71E5" w:rsidRPr="00EB6F79" w:rsidDel="005F14AC" w:rsidRDefault="002D71E5" w:rsidP="009B425B">
            <w:pPr>
              <w:widowControl w:val="0"/>
              <w:jc w:val="both"/>
              <w:rPr>
                <w:lang w:val="es-ES"/>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D71E5" w:rsidRPr="00EB6F79" w:rsidDel="005F14AC" w:rsidRDefault="002D71E5" w:rsidP="009B425B">
            <w:pPr>
              <w:widowControl w:val="0"/>
              <w:jc w:val="both"/>
              <w:rPr>
                <w:lang w:val="es-ES"/>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2D71E5" w:rsidRPr="00EB6F79" w:rsidDel="005F14AC" w:rsidRDefault="002D71E5" w:rsidP="009B425B">
            <w:pPr>
              <w:widowControl w:val="0"/>
              <w:jc w:val="both"/>
              <w:rPr>
                <w:lang w:val="es-ES"/>
              </w:rPr>
            </w:pPr>
          </w:p>
        </w:tc>
        <w:tc>
          <w:tcPr>
            <w:tcW w:w="1336" w:type="dxa"/>
            <w:tcBorders>
              <w:top w:val="single" w:sz="4" w:space="0" w:color="auto"/>
              <w:left w:val="single" w:sz="4" w:space="0" w:color="auto"/>
              <w:bottom w:val="single" w:sz="4" w:space="0" w:color="auto"/>
              <w:right w:val="single" w:sz="4" w:space="0" w:color="auto"/>
            </w:tcBorders>
            <w:vAlign w:val="center"/>
          </w:tcPr>
          <w:p w:rsidR="002D71E5" w:rsidRPr="00EB6F79" w:rsidDel="005F14AC" w:rsidRDefault="002D71E5" w:rsidP="009B425B">
            <w:pPr>
              <w:widowControl w:val="0"/>
              <w:jc w:val="both"/>
              <w:rPr>
                <w:lang w:val="es-ES"/>
              </w:rPr>
            </w:pPr>
          </w:p>
        </w:tc>
      </w:tr>
      <w:tr w:rsidR="002D71E5" w:rsidRPr="00F10F2D" w:rsidTr="009B425B">
        <w:trPr>
          <w:trHeight w:val="253"/>
        </w:trPr>
        <w:tc>
          <w:tcPr>
            <w:tcW w:w="1065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D71E5" w:rsidRPr="00EB6F79" w:rsidRDefault="002D71E5" w:rsidP="009B425B">
            <w:pPr>
              <w:widowControl w:val="0"/>
              <w:jc w:val="both"/>
              <w:rPr>
                <w:b/>
                <w:lang w:val="es-ES"/>
              </w:rPr>
            </w:pPr>
            <w:r w:rsidRPr="00EB6F79">
              <w:rPr>
                <w:b/>
                <w:lang w:val="es-ES"/>
              </w:rPr>
              <w:t>Datos de los patrones e instrumentos de medición / material de referencia / í</w:t>
            </w:r>
            <w:proofErr w:type="spellStart"/>
            <w:r w:rsidRPr="00EB6F79">
              <w:rPr>
                <w:b/>
                <w:lang w:val="es-ES_tradnl"/>
              </w:rPr>
              <w:t>tem</w:t>
            </w:r>
            <w:proofErr w:type="spellEnd"/>
            <w:r w:rsidRPr="00EB6F79">
              <w:rPr>
                <w:b/>
                <w:lang w:val="es-ES_tradnl"/>
              </w:rPr>
              <w:t xml:space="preserve"> de ensayo de aptitud  </w:t>
            </w:r>
          </w:p>
        </w:tc>
      </w:tr>
      <w:tr w:rsidR="002D71E5" w:rsidRPr="00F10F2D" w:rsidTr="009B425B">
        <w:trPr>
          <w:trHeight w:val="848"/>
        </w:trPr>
        <w:tc>
          <w:tcPr>
            <w:tcW w:w="1101" w:type="dxa"/>
            <w:tcBorders>
              <w:top w:val="single" w:sz="4" w:space="0" w:color="auto"/>
              <w:left w:val="single" w:sz="4" w:space="0" w:color="auto"/>
              <w:right w:val="single" w:sz="4" w:space="0" w:color="auto"/>
            </w:tcBorders>
            <w:vAlign w:val="center"/>
            <w:hideMark/>
          </w:tcPr>
          <w:p w:rsidR="002D71E5" w:rsidRPr="003775C8" w:rsidRDefault="002D71E5" w:rsidP="009B425B">
            <w:pPr>
              <w:widowControl w:val="0"/>
              <w:jc w:val="both"/>
              <w:rPr>
                <w:lang w:val="es-ES"/>
              </w:rPr>
            </w:pPr>
            <w:proofErr w:type="spellStart"/>
            <w:r w:rsidRPr="003775C8">
              <w:rPr>
                <w:lang w:val="es-ES"/>
              </w:rPr>
              <w:t>Subpartida</w:t>
            </w:r>
            <w:proofErr w:type="spellEnd"/>
            <w:r w:rsidRPr="003775C8">
              <w:rPr>
                <w:lang w:val="es-ES"/>
              </w:rPr>
              <w:t xml:space="preserve"> NANDINA</w:t>
            </w:r>
          </w:p>
        </w:tc>
        <w:tc>
          <w:tcPr>
            <w:tcW w:w="1134" w:type="dxa"/>
            <w:tcBorders>
              <w:top w:val="single" w:sz="4" w:space="0" w:color="auto"/>
              <w:left w:val="single" w:sz="4" w:space="0" w:color="auto"/>
              <w:right w:val="single" w:sz="4" w:space="0" w:color="auto"/>
            </w:tcBorders>
            <w:vAlign w:val="center"/>
          </w:tcPr>
          <w:p w:rsidR="002D71E5" w:rsidRPr="003775C8" w:rsidRDefault="002D71E5" w:rsidP="009B425B">
            <w:pPr>
              <w:widowControl w:val="0"/>
              <w:jc w:val="both"/>
              <w:rPr>
                <w:lang w:val="es-ES"/>
              </w:rPr>
            </w:pPr>
            <w:r w:rsidRPr="003775C8">
              <w:rPr>
                <w:lang w:val="es-ES"/>
              </w:rPr>
              <w:t>Nombre de mercancía</w:t>
            </w:r>
          </w:p>
        </w:tc>
        <w:tc>
          <w:tcPr>
            <w:tcW w:w="1275" w:type="dxa"/>
            <w:gridSpan w:val="2"/>
            <w:tcBorders>
              <w:top w:val="single" w:sz="4" w:space="0" w:color="auto"/>
              <w:left w:val="single" w:sz="4" w:space="0" w:color="auto"/>
              <w:right w:val="single" w:sz="4" w:space="0" w:color="auto"/>
            </w:tcBorders>
            <w:vAlign w:val="center"/>
          </w:tcPr>
          <w:p w:rsidR="002D71E5" w:rsidRPr="003775C8" w:rsidRDefault="002D71E5" w:rsidP="009B425B">
            <w:pPr>
              <w:widowControl w:val="0"/>
              <w:jc w:val="center"/>
              <w:rPr>
                <w:lang w:val="es-ES"/>
              </w:rPr>
            </w:pPr>
            <w:r w:rsidRPr="003775C8">
              <w:rPr>
                <w:lang w:val="es-ES"/>
              </w:rPr>
              <w:t>Cantidad</w:t>
            </w:r>
          </w:p>
        </w:tc>
        <w:tc>
          <w:tcPr>
            <w:tcW w:w="1134" w:type="dxa"/>
            <w:gridSpan w:val="2"/>
            <w:tcBorders>
              <w:top w:val="single" w:sz="4" w:space="0" w:color="auto"/>
              <w:left w:val="single" w:sz="4" w:space="0" w:color="auto"/>
              <w:right w:val="single" w:sz="4" w:space="0" w:color="auto"/>
            </w:tcBorders>
            <w:vAlign w:val="center"/>
          </w:tcPr>
          <w:p w:rsidR="002D71E5" w:rsidRPr="003775C8" w:rsidRDefault="002D71E5" w:rsidP="009B425B">
            <w:pPr>
              <w:widowControl w:val="0"/>
              <w:jc w:val="center"/>
              <w:rPr>
                <w:lang w:val="es-ES"/>
              </w:rPr>
            </w:pPr>
            <w:r w:rsidRPr="003775C8">
              <w:rPr>
                <w:lang w:val="es-ES"/>
              </w:rPr>
              <w:t>Peso aprox. / Volumen</w:t>
            </w:r>
          </w:p>
        </w:tc>
        <w:tc>
          <w:tcPr>
            <w:tcW w:w="993" w:type="dxa"/>
            <w:tcBorders>
              <w:top w:val="single" w:sz="4" w:space="0" w:color="auto"/>
              <w:left w:val="single" w:sz="4" w:space="0" w:color="auto"/>
              <w:bottom w:val="single" w:sz="4" w:space="0" w:color="auto"/>
              <w:right w:val="single" w:sz="4" w:space="0" w:color="auto"/>
            </w:tcBorders>
            <w:vAlign w:val="center"/>
            <w:hideMark/>
          </w:tcPr>
          <w:p w:rsidR="002D71E5" w:rsidRPr="003775C8" w:rsidRDefault="002D71E5" w:rsidP="009B425B">
            <w:pPr>
              <w:widowControl w:val="0"/>
              <w:jc w:val="center"/>
              <w:rPr>
                <w:lang w:val="es-ES"/>
              </w:rPr>
            </w:pPr>
            <w:r w:rsidRPr="003775C8">
              <w:rPr>
                <w:lang w:val="es-ES"/>
              </w:rPr>
              <w:t>Marca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D71E5" w:rsidRPr="003775C8" w:rsidRDefault="002D71E5" w:rsidP="009B425B">
            <w:pPr>
              <w:widowControl w:val="0"/>
              <w:jc w:val="center"/>
              <w:rPr>
                <w:lang w:val="es-ES"/>
              </w:rPr>
            </w:pPr>
            <w:r w:rsidRPr="003775C8">
              <w:rPr>
                <w:lang w:val="es-ES"/>
              </w:rPr>
              <w:t>Modelo</w:t>
            </w:r>
          </w:p>
        </w:tc>
        <w:tc>
          <w:tcPr>
            <w:tcW w:w="850" w:type="dxa"/>
            <w:tcBorders>
              <w:top w:val="single" w:sz="4" w:space="0" w:color="auto"/>
              <w:left w:val="single" w:sz="4" w:space="0" w:color="auto"/>
              <w:bottom w:val="single" w:sz="4" w:space="0" w:color="auto"/>
              <w:right w:val="single" w:sz="4" w:space="0" w:color="auto"/>
            </w:tcBorders>
            <w:vAlign w:val="center"/>
            <w:hideMark/>
          </w:tcPr>
          <w:p w:rsidR="002D71E5" w:rsidRPr="003775C8" w:rsidRDefault="002D71E5" w:rsidP="009B425B">
            <w:pPr>
              <w:widowControl w:val="0"/>
              <w:jc w:val="center"/>
              <w:rPr>
                <w:lang w:val="es-ES"/>
              </w:rPr>
            </w:pPr>
            <w:r w:rsidRPr="003775C8">
              <w:rPr>
                <w:lang w:val="es-ES"/>
              </w:rPr>
              <w:t>N° de serie</w:t>
            </w:r>
          </w:p>
        </w:tc>
        <w:tc>
          <w:tcPr>
            <w:tcW w:w="3179" w:type="dxa"/>
            <w:gridSpan w:val="2"/>
            <w:tcBorders>
              <w:top w:val="single" w:sz="4" w:space="0" w:color="auto"/>
              <w:left w:val="single" w:sz="4" w:space="0" w:color="auto"/>
              <w:bottom w:val="single" w:sz="4" w:space="0" w:color="auto"/>
              <w:right w:val="single" w:sz="4" w:space="0" w:color="auto"/>
            </w:tcBorders>
            <w:vAlign w:val="center"/>
            <w:hideMark/>
          </w:tcPr>
          <w:p w:rsidR="002D71E5" w:rsidRPr="003775C8" w:rsidRDefault="002D71E5" w:rsidP="009B425B">
            <w:pPr>
              <w:widowControl w:val="0"/>
              <w:jc w:val="both"/>
              <w:rPr>
                <w:lang w:val="es-ES"/>
              </w:rPr>
            </w:pPr>
            <w:r w:rsidRPr="003775C8">
              <w:rPr>
                <w:lang w:val="es-ES"/>
              </w:rPr>
              <w:t>Condiciones de almacenamiento / manipulación / transporte u otras observaciones</w:t>
            </w:r>
          </w:p>
        </w:tc>
      </w:tr>
      <w:tr w:rsidR="002D71E5" w:rsidRPr="00F10F2D" w:rsidTr="009B425B">
        <w:trPr>
          <w:trHeight w:val="472"/>
        </w:trPr>
        <w:tc>
          <w:tcPr>
            <w:tcW w:w="1101" w:type="dxa"/>
            <w:tcBorders>
              <w:top w:val="single" w:sz="4" w:space="0" w:color="auto"/>
              <w:left w:val="single" w:sz="4" w:space="0" w:color="auto"/>
              <w:right w:val="single" w:sz="4" w:space="0" w:color="auto"/>
            </w:tcBorders>
          </w:tcPr>
          <w:p w:rsidR="002D71E5" w:rsidRPr="00EB6F79" w:rsidRDefault="002D71E5" w:rsidP="009B425B">
            <w:pPr>
              <w:widowControl w:val="0"/>
              <w:jc w:val="both"/>
              <w:rPr>
                <w:lang w:val="es-ES"/>
              </w:rPr>
            </w:pPr>
          </w:p>
        </w:tc>
        <w:tc>
          <w:tcPr>
            <w:tcW w:w="1134" w:type="dxa"/>
            <w:tcBorders>
              <w:top w:val="single" w:sz="4" w:space="0" w:color="auto"/>
              <w:left w:val="single" w:sz="4" w:space="0" w:color="auto"/>
              <w:right w:val="single" w:sz="4" w:space="0" w:color="auto"/>
            </w:tcBorders>
          </w:tcPr>
          <w:p w:rsidR="002D71E5" w:rsidRPr="00EB6F79" w:rsidRDefault="002D71E5" w:rsidP="009B425B">
            <w:pPr>
              <w:widowControl w:val="0"/>
              <w:jc w:val="both"/>
              <w:rPr>
                <w:lang w:val="es-ES"/>
              </w:rPr>
            </w:pPr>
          </w:p>
        </w:tc>
        <w:tc>
          <w:tcPr>
            <w:tcW w:w="1275" w:type="dxa"/>
            <w:gridSpan w:val="2"/>
            <w:tcBorders>
              <w:top w:val="single" w:sz="4" w:space="0" w:color="auto"/>
              <w:left w:val="single" w:sz="4" w:space="0" w:color="auto"/>
              <w:right w:val="single" w:sz="4" w:space="0" w:color="auto"/>
            </w:tcBorders>
          </w:tcPr>
          <w:p w:rsidR="002D71E5" w:rsidRPr="00EB6F79" w:rsidRDefault="002D71E5" w:rsidP="009B425B">
            <w:pPr>
              <w:widowControl w:val="0"/>
              <w:jc w:val="both"/>
              <w:rPr>
                <w:lang w:val="es-ES"/>
              </w:rPr>
            </w:pPr>
          </w:p>
        </w:tc>
        <w:tc>
          <w:tcPr>
            <w:tcW w:w="1134" w:type="dxa"/>
            <w:gridSpan w:val="2"/>
            <w:tcBorders>
              <w:top w:val="single" w:sz="4" w:space="0" w:color="auto"/>
              <w:left w:val="single" w:sz="4" w:space="0" w:color="auto"/>
              <w:right w:val="single" w:sz="4" w:space="0" w:color="auto"/>
            </w:tcBorders>
          </w:tcPr>
          <w:p w:rsidR="002D71E5" w:rsidRPr="00EB6F79" w:rsidRDefault="002D71E5" w:rsidP="009B425B">
            <w:pPr>
              <w:widowControl w:val="0"/>
              <w:jc w:val="both"/>
              <w:rPr>
                <w:lang w:val="es-ES"/>
              </w:rPr>
            </w:pPr>
          </w:p>
        </w:tc>
        <w:tc>
          <w:tcPr>
            <w:tcW w:w="993" w:type="dxa"/>
            <w:tcBorders>
              <w:top w:val="single" w:sz="4" w:space="0" w:color="auto"/>
              <w:left w:val="single" w:sz="4" w:space="0" w:color="auto"/>
              <w:bottom w:val="single" w:sz="4" w:space="0" w:color="auto"/>
              <w:right w:val="single" w:sz="4" w:space="0" w:color="auto"/>
            </w:tcBorders>
          </w:tcPr>
          <w:p w:rsidR="002D71E5" w:rsidRPr="00EB6F79" w:rsidRDefault="002D71E5" w:rsidP="009B425B">
            <w:pPr>
              <w:widowControl w:val="0"/>
              <w:jc w:val="both"/>
              <w:rPr>
                <w:lang w:val="es-ES"/>
              </w:rPr>
            </w:pPr>
          </w:p>
        </w:tc>
        <w:tc>
          <w:tcPr>
            <w:tcW w:w="992" w:type="dxa"/>
            <w:gridSpan w:val="2"/>
            <w:tcBorders>
              <w:top w:val="single" w:sz="4" w:space="0" w:color="auto"/>
              <w:left w:val="single" w:sz="4" w:space="0" w:color="auto"/>
              <w:bottom w:val="single" w:sz="4" w:space="0" w:color="auto"/>
              <w:right w:val="single" w:sz="4" w:space="0" w:color="auto"/>
            </w:tcBorders>
          </w:tcPr>
          <w:p w:rsidR="002D71E5" w:rsidRPr="00EB6F79" w:rsidRDefault="002D71E5" w:rsidP="009B425B">
            <w:pPr>
              <w:widowControl w:val="0"/>
              <w:jc w:val="both"/>
              <w:rPr>
                <w:lang w:val="es-ES"/>
              </w:rPr>
            </w:pPr>
          </w:p>
        </w:tc>
        <w:tc>
          <w:tcPr>
            <w:tcW w:w="850" w:type="dxa"/>
            <w:tcBorders>
              <w:top w:val="single" w:sz="4" w:space="0" w:color="auto"/>
              <w:left w:val="single" w:sz="4" w:space="0" w:color="auto"/>
              <w:bottom w:val="single" w:sz="4" w:space="0" w:color="auto"/>
              <w:right w:val="single" w:sz="4" w:space="0" w:color="auto"/>
            </w:tcBorders>
          </w:tcPr>
          <w:p w:rsidR="002D71E5" w:rsidRPr="00EB6F79" w:rsidRDefault="002D71E5" w:rsidP="009B425B">
            <w:pPr>
              <w:widowControl w:val="0"/>
              <w:jc w:val="both"/>
              <w:rPr>
                <w:lang w:val="es-ES"/>
              </w:rPr>
            </w:pPr>
          </w:p>
        </w:tc>
        <w:tc>
          <w:tcPr>
            <w:tcW w:w="3179" w:type="dxa"/>
            <w:gridSpan w:val="2"/>
            <w:tcBorders>
              <w:top w:val="single" w:sz="4" w:space="0" w:color="auto"/>
              <w:left w:val="single" w:sz="4" w:space="0" w:color="auto"/>
              <w:bottom w:val="single" w:sz="4" w:space="0" w:color="auto"/>
              <w:right w:val="single" w:sz="4" w:space="0" w:color="auto"/>
            </w:tcBorders>
          </w:tcPr>
          <w:p w:rsidR="002D71E5" w:rsidRPr="00EB6F79" w:rsidRDefault="002D71E5" w:rsidP="009B425B">
            <w:pPr>
              <w:widowControl w:val="0"/>
              <w:jc w:val="both"/>
              <w:rPr>
                <w:lang w:val="es-ES"/>
              </w:rPr>
            </w:pPr>
          </w:p>
        </w:tc>
      </w:tr>
      <w:tr w:rsidR="002D71E5" w:rsidRPr="00F10F2D" w:rsidTr="009B425B">
        <w:trPr>
          <w:trHeight w:val="422"/>
        </w:trPr>
        <w:tc>
          <w:tcPr>
            <w:tcW w:w="1101" w:type="dxa"/>
            <w:tcBorders>
              <w:left w:val="single" w:sz="4" w:space="0" w:color="auto"/>
              <w:right w:val="single" w:sz="4" w:space="0" w:color="auto"/>
            </w:tcBorders>
          </w:tcPr>
          <w:p w:rsidR="002D71E5" w:rsidRPr="002D71E5" w:rsidRDefault="002D71E5" w:rsidP="009B425B">
            <w:pPr>
              <w:widowControl w:val="0"/>
              <w:jc w:val="both"/>
              <w:rPr>
                <w:lang w:val="es-PE"/>
              </w:rPr>
            </w:pPr>
          </w:p>
        </w:tc>
        <w:tc>
          <w:tcPr>
            <w:tcW w:w="1134" w:type="dxa"/>
            <w:tcBorders>
              <w:left w:val="single" w:sz="4" w:space="0" w:color="auto"/>
              <w:right w:val="single" w:sz="4" w:space="0" w:color="auto"/>
            </w:tcBorders>
          </w:tcPr>
          <w:p w:rsidR="002D71E5" w:rsidRPr="002D71E5" w:rsidRDefault="002D71E5" w:rsidP="009B425B">
            <w:pPr>
              <w:widowControl w:val="0"/>
              <w:jc w:val="both"/>
              <w:rPr>
                <w:lang w:val="es-PE"/>
              </w:rPr>
            </w:pPr>
          </w:p>
        </w:tc>
        <w:tc>
          <w:tcPr>
            <w:tcW w:w="1275" w:type="dxa"/>
            <w:gridSpan w:val="2"/>
            <w:tcBorders>
              <w:left w:val="single" w:sz="4" w:space="0" w:color="auto"/>
              <w:right w:val="single" w:sz="4" w:space="0" w:color="auto"/>
            </w:tcBorders>
          </w:tcPr>
          <w:p w:rsidR="002D71E5" w:rsidRPr="002D71E5" w:rsidRDefault="002D71E5" w:rsidP="009B425B">
            <w:pPr>
              <w:widowControl w:val="0"/>
              <w:jc w:val="both"/>
              <w:rPr>
                <w:lang w:val="es-PE"/>
              </w:rPr>
            </w:pPr>
          </w:p>
        </w:tc>
        <w:tc>
          <w:tcPr>
            <w:tcW w:w="1134" w:type="dxa"/>
            <w:gridSpan w:val="2"/>
            <w:tcBorders>
              <w:left w:val="single" w:sz="4" w:space="0" w:color="auto"/>
              <w:right w:val="single" w:sz="4" w:space="0" w:color="auto"/>
            </w:tcBorders>
          </w:tcPr>
          <w:p w:rsidR="002D71E5" w:rsidRPr="002D71E5" w:rsidRDefault="002D71E5" w:rsidP="009B425B">
            <w:pPr>
              <w:widowControl w:val="0"/>
              <w:jc w:val="both"/>
              <w:rPr>
                <w:lang w:val="es-PE"/>
              </w:rPr>
            </w:pPr>
          </w:p>
        </w:tc>
        <w:tc>
          <w:tcPr>
            <w:tcW w:w="993" w:type="dxa"/>
            <w:tcBorders>
              <w:top w:val="single" w:sz="4" w:space="0" w:color="auto"/>
              <w:left w:val="single" w:sz="4" w:space="0" w:color="auto"/>
              <w:bottom w:val="single" w:sz="4" w:space="0" w:color="auto"/>
              <w:right w:val="single" w:sz="4" w:space="0" w:color="auto"/>
            </w:tcBorders>
          </w:tcPr>
          <w:p w:rsidR="002D71E5" w:rsidRPr="002D71E5" w:rsidRDefault="002D71E5" w:rsidP="009B425B">
            <w:pPr>
              <w:widowControl w:val="0"/>
              <w:jc w:val="both"/>
              <w:rPr>
                <w:lang w:val="es-PE"/>
              </w:rPr>
            </w:pPr>
          </w:p>
        </w:tc>
        <w:tc>
          <w:tcPr>
            <w:tcW w:w="992" w:type="dxa"/>
            <w:gridSpan w:val="2"/>
            <w:tcBorders>
              <w:top w:val="single" w:sz="4" w:space="0" w:color="auto"/>
              <w:left w:val="single" w:sz="4" w:space="0" w:color="auto"/>
              <w:bottom w:val="single" w:sz="4" w:space="0" w:color="auto"/>
              <w:right w:val="single" w:sz="4" w:space="0" w:color="auto"/>
            </w:tcBorders>
          </w:tcPr>
          <w:p w:rsidR="002D71E5" w:rsidRPr="002D71E5" w:rsidRDefault="002D71E5" w:rsidP="009B425B">
            <w:pPr>
              <w:widowControl w:val="0"/>
              <w:jc w:val="both"/>
              <w:rPr>
                <w:lang w:val="es-PE"/>
              </w:rPr>
            </w:pPr>
          </w:p>
        </w:tc>
        <w:tc>
          <w:tcPr>
            <w:tcW w:w="850" w:type="dxa"/>
            <w:tcBorders>
              <w:top w:val="single" w:sz="4" w:space="0" w:color="auto"/>
              <w:left w:val="single" w:sz="4" w:space="0" w:color="auto"/>
              <w:bottom w:val="single" w:sz="4" w:space="0" w:color="auto"/>
              <w:right w:val="single" w:sz="4" w:space="0" w:color="auto"/>
            </w:tcBorders>
          </w:tcPr>
          <w:p w:rsidR="002D71E5" w:rsidRPr="002D71E5" w:rsidRDefault="002D71E5" w:rsidP="009B425B">
            <w:pPr>
              <w:widowControl w:val="0"/>
              <w:jc w:val="both"/>
              <w:rPr>
                <w:lang w:val="es-PE"/>
              </w:rPr>
            </w:pPr>
          </w:p>
        </w:tc>
        <w:tc>
          <w:tcPr>
            <w:tcW w:w="3179" w:type="dxa"/>
            <w:gridSpan w:val="2"/>
            <w:tcBorders>
              <w:top w:val="single" w:sz="4" w:space="0" w:color="auto"/>
              <w:left w:val="single" w:sz="4" w:space="0" w:color="auto"/>
              <w:bottom w:val="single" w:sz="4" w:space="0" w:color="auto"/>
              <w:right w:val="single" w:sz="4" w:space="0" w:color="auto"/>
            </w:tcBorders>
          </w:tcPr>
          <w:p w:rsidR="002D71E5" w:rsidRPr="002D71E5" w:rsidRDefault="002D71E5" w:rsidP="009B425B">
            <w:pPr>
              <w:widowControl w:val="0"/>
              <w:jc w:val="both"/>
              <w:rPr>
                <w:lang w:val="es-PE"/>
              </w:rPr>
            </w:pPr>
          </w:p>
        </w:tc>
      </w:tr>
      <w:tr w:rsidR="002D71E5" w:rsidRPr="00F10F2D" w:rsidTr="009B425B">
        <w:trPr>
          <w:trHeight w:val="399"/>
        </w:trPr>
        <w:tc>
          <w:tcPr>
            <w:tcW w:w="1101" w:type="dxa"/>
            <w:tcBorders>
              <w:left w:val="single" w:sz="4" w:space="0" w:color="auto"/>
              <w:bottom w:val="single" w:sz="4" w:space="0" w:color="auto"/>
              <w:right w:val="single" w:sz="4" w:space="0" w:color="auto"/>
            </w:tcBorders>
          </w:tcPr>
          <w:p w:rsidR="002D71E5" w:rsidRPr="002D71E5" w:rsidRDefault="002D71E5" w:rsidP="009B425B">
            <w:pPr>
              <w:widowControl w:val="0"/>
              <w:jc w:val="both"/>
              <w:rPr>
                <w:lang w:val="es-PE"/>
              </w:rPr>
            </w:pPr>
          </w:p>
        </w:tc>
        <w:tc>
          <w:tcPr>
            <w:tcW w:w="1134" w:type="dxa"/>
            <w:tcBorders>
              <w:left w:val="single" w:sz="4" w:space="0" w:color="auto"/>
              <w:bottom w:val="single" w:sz="4" w:space="0" w:color="auto"/>
              <w:right w:val="single" w:sz="4" w:space="0" w:color="auto"/>
            </w:tcBorders>
          </w:tcPr>
          <w:p w:rsidR="002D71E5" w:rsidRPr="002D71E5" w:rsidRDefault="002D71E5" w:rsidP="009B425B">
            <w:pPr>
              <w:widowControl w:val="0"/>
              <w:jc w:val="both"/>
              <w:rPr>
                <w:lang w:val="es-PE"/>
              </w:rPr>
            </w:pPr>
          </w:p>
        </w:tc>
        <w:tc>
          <w:tcPr>
            <w:tcW w:w="1275" w:type="dxa"/>
            <w:gridSpan w:val="2"/>
            <w:tcBorders>
              <w:left w:val="single" w:sz="4" w:space="0" w:color="auto"/>
              <w:bottom w:val="single" w:sz="4" w:space="0" w:color="auto"/>
              <w:right w:val="single" w:sz="4" w:space="0" w:color="auto"/>
            </w:tcBorders>
          </w:tcPr>
          <w:p w:rsidR="002D71E5" w:rsidRPr="002D71E5" w:rsidRDefault="002D71E5" w:rsidP="009B425B">
            <w:pPr>
              <w:widowControl w:val="0"/>
              <w:jc w:val="both"/>
              <w:rPr>
                <w:lang w:val="es-PE"/>
              </w:rPr>
            </w:pPr>
          </w:p>
        </w:tc>
        <w:tc>
          <w:tcPr>
            <w:tcW w:w="1134" w:type="dxa"/>
            <w:gridSpan w:val="2"/>
            <w:tcBorders>
              <w:left w:val="single" w:sz="4" w:space="0" w:color="auto"/>
              <w:bottom w:val="single" w:sz="4" w:space="0" w:color="auto"/>
              <w:right w:val="single" w:sz="4" w:space="0" w:color="auto"/>
            </w:tcBorders>
          </w:tcPr>
          <w:p w:rsidR="002D71E5" w:rsidRPr="002D71E5" w:rsidRDefault="002D71E5" w:rsidP="009B425B">
            <w:pPr>
              <w:widowControl w:val="0"/>
              <w:jc w:val="both"/>
              <w:rPr>
                <w:lang w:val="es-PE"/>
              </w:rPr>
            </w:pPr>
          </w:p>
        </w:tc>
        <w:tc>
          <w:tcPr>
            <w:tcW w:w="993" w:type="dxa"/>
            <w:tcBorders>
              <w:top w:val="single" w:sz="4" w:space="0" w:color="auto"/>
              <w:left w:val="single" w:sz="4" w:space="0" w:color="auto"/>
              <w:bottom w:val="single" w:sz="4" w:space="0" w:color="auto"/>
              <w:right w:val="single" w:sz="4" w:space="0" w:color="auto"/>
            </w:tcBorders>
          </w:tcPr>
          <w:p w:rsidR="002D71E5" w:rsidRPr="002D71E5" w:rsidRDefault="002D71E5" w:rsidP="009B425B">
            <w:pPr>
              <w:widowControl w:val="0"/>
              <w:jc w:val="both"/>
              <w:rPr>
                <w:lang w:val="es-PE"/>
              </w:rPr>
            </w:pPr>
          </w:p>
        </w:tc>
        <w:tc>
          <w:tcPr>
            <w:tcW w:w="992" w:type="dxa"/>
            <w:gridSpan w:val="2"/>
            <w:tcBorders>
              <w:top w:val="single" w:sz="4" w:space="0" w:color="auto"/>
              <w:left w:val="single" w:sz="4" w:space="0" w:color="auto"/>
              <w:bottom w:val="single" w:sz="4" w:space="0" w:color="auto"/>
              <w:right w:val="single" w:sz="4" w:space="0" w:color="auto"/>
            </w:tcBorders>
          </w:tcPr>
          <w:p w:rsidR="002D71E5" w:rsidRPr="002D71E5" w:rsidRDefault="002D71E5" w:rsidP="009B425B">
            <w:pPr>
              <w:widowControl w:val="0"/>
              <w:jc w:val="both"/>
              <w:rPr>
                <w:lang w:val="es-PE"/>
              </w:rPr>
            </w:pPr>
          </w:p>
        </w:tc>
        <w:tc>
          <w:tcPr>
            <w:tcW w:w="850" w:type="dxa"/>
            <w:tcBorders>
              <w:top w:val="single" w:sz="4" w:space="0" w:color="auto"/>
              <w:left w:val="single" w:sz="4" w:space="0" w:color="auto"/>
              <w:bottom w:val="single" w:sz="4" w:space="0" w:color="auto"/>
              <w:right w:val="single" w:sz="4" w:space="0" w:color="auto"/>
            </w:tcBorders>
          </w:tcPr>
          <w:p w:rsidR="002D71E5" w:rsidRPr="002D71E5" w:rsidRDefault="002D71E5" w:rsidP="009B425B">
            <w:pPr>
              <w:widowControl w:val="0"/>
              <w:jc w:val="both"/>
              <w:rPr>
                <w:lang w:val="es-PE"/>
              </w:rPr>
            </w:pPr>
          </w:p>
        </w:tc>
        <w:tc>
          <w:tcPr>
            <w:tcW w:w="3179" w:type="dxa"/>
            <w:gridSpan w:val="2"/>
            <w:tcBorders>
              <w:top w:val="single" w:sz="4" w:space="0" w:color="auto"/>
              <w:left w:val="single" w:sz="4" w:space="0" w:color="auto"/>
              <w:bottom w:val="single" w:sz="4" w:space="0" w:color="auto"/>
              <w:right w:val="single" w:sz="4" w:space="0" w:color="auto"/>
            </w:tcBorders>
          </w:tcPr>
          <w:p w:rsidR="002D71E5" w:rsidRPr="002D71E5" w:rsidRDefault="002D71E5" w:rsidP="009B425B">
            <w:pPr>
              <w:widowControl w:val="0"/>
              <w:jc w:val="both"/>
              <w:rPr>
                <w:lang w:val="es-PE"/>
              </w:rPr>
            </w:pPr>
          </w:p>
        </w:tc>
      </w:tr>
      <w:tr w:rsidR="002D71E5" w:rsidRPr="00F10F2D" w:rsidTr="009B425B">
        <w:trPr>
          <w:trHeight w:val="888"/>
        </w:trPr>
        <w:tc>
          <w:tcPr>
            <w:tcW w:w="5637" w:type="dxa"/>
            <w:gridSpan w:val="7"/>
            <w:tcBorders>
              <w:top w:val="single" w:sz="4" w:space="0" w:color="auto"/>
              <w:left w:val="single" w:sz="4" w:space="0" w:color="auto"/>
              <w:bottom w:val="single" w:sz="4" w:space="0" w:color="auto"/>
              <w:right w:val="single" w:sz="4" w:space="0" w:color="auto"/>
            </w:tcBorders>
          </w:tcPr>
          <w:p w:rsidR="002D71E5" w:rsidRPr="00EB6F79" w:rsidRDefault="002D71E5" w:rsidP="009B425B">
            <w:pPr>
              <w:widowControl w:val="0"/>
              <w:jc w:val="both"/>
              <w:rPr>
                <w:b/>
                <w:lang w:val="es-ES_tradnl"/>
              </w:rPr>
            </w:pPr>
            <w:r w:rsidRPr="00EB6F79">
              <w:rPr>
                <w:b/>
                <w:lang w:val="es-ES_tradnl"/>
              </w:rPr>
              <w:t>INM  / ONA organizador del programa:</w:t>
            </w:r>
          </w:p>
        </w:tc>
        <w:tc>
          <w:tcPr>
            <w:tcW w:w="5021" w:type="dxa"/>
            <w:gridSpan w:val="5"/>
            <w:tcBorders>
              <w:top w:val="single" w:sz="4" w:space="0" w:color="auto"/>
              <w:left w:val="single" w:sz="4" w:space="0" w:color="auto"/>
              <w:bottom w:val="single" w:sz="4" w:space="0" w:color="auto"/>
              <w:right w:val="single" w:sz="4" w:space="0" w:color="auto"/>
            </w:tcBorders>
            <w:hideMark/>
          </w:tcPr>
          <w:p w:rsidR="002D71E5" w:rsidRPr="00EB6F79" w:rsidRDefault="002D71E5" w:rsidP="009B425B">
            <w:pPr>
              <w:widowControl w:val="0"/>
              <w:jc w:val="both"/>
              <w:rPr>
                <w:lang w:val="es-ES_tradnl"/>
              </w:rPr>
            </w:pPr>
            <w:r w:rsidRPr="00EB6F79">
              <w:rPr>
                <w:b/>
                <w:lang w:val="es-ES_tradnl"/>
              </w:rPr>
              <w:t>Nombre y firma de la Dirección del INM / ONA:</w:t>
            </w:r>
          </w:p>
        </w:tc>
      </w:tr>
    </w:tbl>
    <w:p w:rsidR="002D71E5" w:rsidRPr="002D71E5" w:rsidRDefault="002D71E5" w:rsidP="002D71E5">
      <w:pPr>
        <w:jc w:val="both"/>
        <w:rPr>
          <w:lang w:val="es-PE"/>
        </w:rPr>
      </w:pPr>
    </w:p>
    <w:p w:rsidR="002D71E5" w:rsidRPr="002D71E5" w:rsidRDefault="002D71E5" w:rsidP="002D71E5">
      <w:pPr>
        <w:ind w:left="-709" w:right="-710"/>
        <w:jc w:val="both"/>
        <w:rPr>
          <w:lang w:val="es-PE"/>
        </w:rPr>
      </w:pPr>
      <w:r w:rsidRPr="002D71E5">
        <w:rPr>
          <w:lang w:val="es-PE"/>
        </w:rPr>
        <w:t>Nota 1: El número de identificación debe contar con el nombre, abreviatura o sigla del País Miembro, institución que organiza el programa y el número correlativo que incluya el año de ejecución.</w:t>
      </w:r>
    </w:p>
    <w:p w:rsidR="002D71E5" w:rsidRPr="002D71E5" w:rsidRDefault="002D71E5" w:rsidP="002D71E5">
      <w:pPr>
        <w:ind w:left="-709" w:right="-710"/>
        <w:jc w:val="both"/>
        <w:rPr>
          <w:lang w:val="es-PE"/>
        </w:rPr>
      </w:pPr>
      <w:r w:rsidRPr="002D71E5">
        <w:rPr>
          <w:lang w:val="es-PE"/>
        </w:rPr>
        <w:t xml:space="preserve">Nota 2: Fecha de presentación del Formato ante la autoridad aduanera. </w:t>
      </w:r>
    </w:p>
    <w:p w:rsidR="002D71E5" w:rsidRPr="000D2457" w:rsidRDefault="002D71E5" w:rsidP="002D71E5">
      <w:pPr>
        <w:ind w:left="-709" w:right="-710"/>
        <w:jc w:val="both"/>
        <w:rPr>
          <w:lang w:val="es-PE"/>
        </w:rPr>
      </w:pPr>
      <w:r w:rsidRPr="000D2457">
        <w:rPr>
          <w:lang w:val="es-PE"/>
        </w:rPr>
        <w:t>Nota 3: Fechas referenciales.</w:t>
      </w:r>
    </w:p>
    <w:p w:rsidR="002D71E5" w:rsidRPr="000D2457" w:rsidRDefault="002D71E5" w:rsidP="002D71E5">
      <w:pPr>
        <w:jc w:val="both"/>
        <w:rPr>
          <w:lang w:val="es-PE"/>
        </w:rPr>
      </w:pPr>
    </w:p>
    <w:p w:rsidR="002D71E5" w:rsidRPr="000D2457" w:rsidRDefault="002D71E5" w:rsidP="002D71E5">
      <w:pPr>
        <w:jc w:val="both"/>
        <w:rPr>
          <w:lang w:val="es-PE"/>
        </w:rPr>
      </w:pPr>
    </w:p>
    <w:p w:rsidR="002D71E5" w:rsidRPr="000D2457" w:rsidRDefault="002D71E5" w:rsidP="002D71E5">
      <w:pPr>
        <w:rPr>
          <w:lang w:val="es-PE"/>
        </w:rPr>
      </w:pPr>
    </w:p>
    <w:p w:rsidR="002D71E5" w:rsidRPr="00817DA9" w:rsidRDefault="002D71E5" w:rsidP="001577F9">
      <w:pPr>
        <w:jc w:val="center"/>
        <w:rPr>
          <w:rFonts w:ascii="Arial" w:hAnsi="Arial" w:cs="Arial"/>
          <w:caps/>
          <w:spacing w:val="-20"/>
          <w:sz w:val="36"/>
          <w:szCs w:val="36"/>
          <w:lang w:val="es-PE"/>
        </w:rPr>
      </w:pPr>
    </w:p>
    <w:p w:rsidR="001577F9" w:rsidRDefault="001577F9" w:rsidP="001577F9">
      <w:pPr>
        <w:jc w:val="center"/>
        <w:rPr>
          <w:rFonts w:ascii="Arial" w:hAnsi="Arial" w:cs="Arial"/>
          <w:caps/>
          <w:spacing w:val="-20"/>
          <w:sz w:val="36"/>
          <w:lang w:val="es-PE"/>
        </w:rPr>
      </w:pPr>
    </w:p>
    <w:p w:rsidR="001577F9" w:rsidRDefault="001577F9" w:rsidP="001577F9">
      <w:pPr>
        <w:jc w:val="center"/>
        <w:rPr>
          <w:rFonts w:ascii="Arial" w:hAnsi="Arial" w:cs="Arial"/>
          <w:caps/>
          <w:spacing w:val="-20"/>
          <w:sz w:val="36"/>
          <w:lang w:val="es-PE"/>
        </w:rPr>
      </w:pPr>
    </w:p>
    <w:p w:rsidR="001577F9" w:rsidRDefault="00932A57">
      <w:pPr>
        <w:rPr>
          <w:lang w:val="es-PE"/>
        </w:rPr>
      </w:pPr>
      <w:r>
        <w:rPr>
          <w:lang w:val="es-PE"/>
        </w:rPr>
        <w:t xml:space="preserve"> </w:t>
      </w:r>
    </w:p>
    <w:sectPr w:rsidR="001577F9" w:rsidSect="00657B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3DC"/>
    <w:multiLevelType w:val="hybridMultilevel"/>
    <w:tmpl w:val="61F0BD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F2B77D5"/>
    <w:multiLevelType w:val="hybridMultilevel"/>
    <w:tmpl w:val="FBB05120"/>
    <w:lvl w:ilvl="0" w:tplc="B5D65AA2">
      <w:start w:val="1"/>
      <w:numFmt w:val="decimal"/>
      <w:lvlText w:val="[%1]"/>
      <w:lvlJc w:val="left"/>
      <w:pPr>
        <w:ind w:left="720" w:hanging="360"/>
      </w:pPr>
      <w:rPr>
        <w:rFonts w:hint="default"/>
        <w:sz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3D737C5"/>
    <w:multiLevelType w:val="hybridMultilevel"/>
    <w:tmpl w:val="87346B3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FC96B6F"/>
    <w:multiLevelType w:val="hybridMultilevel"/>
    <w:tmpl w:val="A6CA3E1E"/>
    <w:lvl w:ilvl="0" w:tplc="280A0011">
      <w:start w:val="1"/>
      <w:numFmt w:val="decimal"/>
      <w:lvlText w:val="%1)"/>
      <w:lvlJc w:val="left"/>
      <w:pPr>
        <w:ind w:left="720" w:hanging="360"/>
      </w:pPr>
    </w:lvl>
    <w:lvl w:ilvl="1" w:tplc="95E04CEE">
      <w:start w:val="1"/>
      <w:numFmt w:val="lowerLetter"/>
      <w:lvlText w:val="%2."/>
      <w:lvlJc w:val="left"/>
      <w:pPr>
        <w:ind w:left="1440" w:hanging="360"/>
      </w:pPr>
      <w:rPr>
        <w:b w:val="0"/>
        <w:i w:val="0"/>
      </w:rPr>
    </w:lvl>
    <w:lvl w:ilvl="2" w:tplc="2440FF72">
      <w:start w:val="2"/>
      <w:numFmt w:val="bullet"/>
      <w:lvlText w:val="•"/>
      <w:lvlJc w:val="left"/>
      <w:pPr>
        <w:ind w:left="2340" w:hanging="360"/>
      </w:pPr>
      <w:rPr>
        <w:rFonts w:ascii="Arial" w:eastAsia="Calibri" w:hAnsi="Aria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03A5E5E"/>
    <w:multiLevelType w:val="hybridMultilevel"/>
    <w:tmpl w:val="9E42CDDC"/>
    <w:lvl w:ilvl="0" w:tplc="2D4E58F6">
      <w:start w:val="1"/>
      <w:numFmt w:val="decimal"/>
      <w:lvlText w:val="[%1]"/>
      <w:lvlJc w:val="left"/>
      <w:pPr>
        <w:ind w:left="1800" w:hanging="360"/>
      </w:pPr>
      <w:rPr>
        <w:rFonts w:hint="default"/>
        <w:color w:val="auto"/>
        <w:sz w:val="20"/>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5">
    <w:nsid w:val="32D25530"/>
    <w:multiLevelType w:val="hybridMultilevel"/>
    <w:tmpl w:val="360A7A32"/>
    <w:lvl w:ilvl="0" w:tplc="6B24C09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E6A1834"/>
    <w:multiLevelType w:val="hybridMultilevel"/>
    <w:tmpl w:val="7E8C3470"/>
    <w:lvl w:ilvl="0" w:tplc="2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77F9"/>
    <w:rsid w:val="00021B64"/>
    <w:rsid w:val="00051AC2"/>
    <w:rsid w:val="000D2457"/>
    <w:rsid w:val="000E5140"/>
    <w:rsid w:val="000F3927"/>
    <w:rsid w:val="00106392"/>
    <w:rsid w:val="0015128C"/>
    <w:rsid w:val="001577F9"/>
    <w:rsid w:val="001C77A4"/>
    <w:rsid w:val="002077FA"/>
    <w:rsid w:val="002776EE"/>
    <w:rsid w:val="002A0007"/>
    <w:rsid w:val="002A0A87"/>
    <w:rsid w:val="002A6AA4"/>
    <w:rsid w:val="002D24F9"/>
    <w:rsid w:val="002D71E5"/>
    <w:rsid w:val="003345E2"/>
    <w:rsid w:val="00343CE5"/>
    <w:rsid w:val="003556B9"/>
    <w:rsid w:val="003A14F4"/>
    <w:rsid w:val="00427FCB"/>
    <w:rsid w:val="004E0DF5"/>
    <w:rsid w:val="004E1321"/>
    <w:rsid w:val="005914A7"/>
    <w:rsid w:val="006139A2"/>
    <w:rsid w:val="00624C16"/>
    <w:rsid w:val="00624F68"/>
    <w:rsid w:val="00657BAC"/>
    <w:rsid w:val="00676B6D"/>
    <w:rsid w:val="00760A74"/>
    <w:rsid w:val="007A7FF7"/>
    <w:rsid w:val="007E24C8"/>
    <w:rsid w:val="00806C12"/>
    <w:rsid w:val="00832E90"/>
    <w:rsid w:val="008E21E0"/>
    <w:rsid w:val="008F35FF"/>
    <w:rsid w:val="00932A57"/>
    <w:rsid w:val="009E2049"/>
    <w:rsid w:val="00A24CB6"/>
    <w:rsid w:val="00A7352B"/>
    <w:rsid w:val="00A95F84"/>
    <w:rsid w:val="00AA3AD5"/>
    <w:rsid w:val="00B068B8"/>
    <w:rsid w:val="00B6252E"/>
    <w:rsid w:val="00BB3977"/>
    <w:rsid w:val="00BC4111"/>
    <w:rsid w:val="00C07244"/>
    <w:rsid w:val="00C2111C"/>
    <w:rsid w:val="00C24C0B"/>
    <w:rsid w:val="00C811AC"/>
    <w:rsid w:val="00E42E52"/>
    <w:rsid w:val="00ED14AF"/>
    <w:rsid w:val="00F10F2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F9"/>
    <w:pPr>
      <w:spacing w:after="0" w:line="240" w:lineRule="auto"/>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71E5"/>
    <w:pPr>
      <w:spacing w:after="200" w:line="276" w:lineRule="auto"/>
      <w:ind w:left="720"/>
      <w:contextualSpacing/>
    </w:pPr>
    <w:rPr>
      <w:rFonts w:ascii="Calibri" w:eastAsia="Calibri" w:hAnsi="Calibri"/>
      <w:sz w:val="22"/>
      <w:szCs w:val="22"/>
      <w:lang w:val="es-PE" w:eastAsia="en-US"/>
    </w:rPr>
  </w:style>
  <w:style w:type="paragraph" w:styleId="Textoindependiente">
    <w:name w:val="Body Text"/>
    <w:basedOn w:val="Normal"/>
    <w:link w:val="TextoindependienteCar"/>
    <w:uiPriority w:val="99"/>
    <w:semiHidden/>
    <w:unhideWhenUsed/>
    <w:rsid w:val="002D71E5"/>
    <w:pPr>
      <w:spacing w:after="120" w:line="276" w:lineRule="auto"/>
    </w:pPr>
    <w:rPr>
      <w:rFonts w:ascii="Calibri" w:eastAsia="Calibri" w:hAnsi="Calibri"/>
      <w:sz w:val="22"/>
      <w:szCs w:val="22"/>
      <w:lang w:val="es-PE" w:eastAsia="en-US"/>
    </w:rPr>
  </w:style>
  <w:style w:type="character" w:customStyle="1" w:styleId="TextoindependienteCar">
    <w:name w:val="Texto independiente Car"/>
    <w:basedOn w:val="Fuentedeprrafopredeter"/>
    <w:link w:val="Textoindependiente"/>
    <w:uiPriority w:val="99"/>
    <w:semiHidden/>
    <w:rsid w:val="002D71E5"/>
    <w:rPr>
      <w:rFonts w:ascii="Calibri" w:eastAsia="Calibri" w:hAnsi="Calibri" w:cs="Times New Roman"/>
    </w:rPr>
  </w:style>
  <w:style w:type="paragraph" w:styleId="Ttulo">
    <w:name w:val="Title"/>
    <w:basedOn w:val="Normal"/>
    <w:link w:val="TtuloCar"/>
    <w:qFormat/>
    <w:rsid w:val="002D71E5"/>
    <w:pPr>
      <w:ind w:left="142"/>
      <w:jc w:val="center"/>
    </w:pPr>
    <w:rPr>
      <w:rFonts w:ascii="Arial" w:hAnsi="Arial"/>
      <w:b/>
      <w:sz w:val="21"/>
      <w:lang w:val="es-ES_tradnl"/>
    </w:rPr>
  </w:style>
  <w:style w:type="character" w:customStyle="1" w:styleId="TtuloCar">
    <w:name w:val="Título Car"/>
    <w:basedOn w:val="Fuentedeprrafopredeter"/>
    <w:link w:val="Ttulo"/>
    <w:rsid w:val="002D71E5"/>
    <w:rPr>
      <w:rFonts w:ascii="Arial" w:eastAsia="Times New Roman" w:hAnsi="Arial" w:cs="Times New Roman"/>
      <w:b/>
      <w:sz w:val="21"/>
      <w:szCs w:val="20"/>
      <w:lang w:val="es-ES_tradnl" w:eastAsia="es-ES"/>
    </w:rPr>
  </w:style>
  <w:style w:type="table" w:styleId="Tablaconcuadrcula">
    <w:name w:val="Table Grid"/>
    <w:basedOn w:val="Tablanormal"/>
    <w:uiPriority w:val="59"/>
    <w:rsid w:val="00932A57"/>
    <w:pPr>
      <w:spacing w:after="0" w:line="240" w:lineRule="auto"/>
      <w:ind w:left="839" w:right="-357"/>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32A57"/>
    <w:rPr>
      <w:rFonts w:ascii="Tahoma" w:hAnsi="Tahoma" w:cs="Tahoma"/>
      <w:sz w:val="16"/>
      <w:szCs w:val="16"/>
    </w:rPr>
  </w:style>
  <w:style w:type="character" w:customStyle="1" w:styleId="TextodegloboCar">
    <w:name w:val="Texto de globo Car"/>
    <w:basedOn w:val="Fuentedeprrafopredeter"/>
    <w:link w:val="Textodeglobo"/>
    <w:uiPriority w:val="99"/>
    <w:semiHidden/>
    <w:rsid w:val="00932A57"/>
    <w:rPr>
      <w:rFonts w:ascii="Tahoma" w:eastAsia="Times New Roman" w:hAnsi="Tahoma" w:cs="Tahoma"/>
      <w:sz w:val="16"/>
      <w:szCs w:val="16"/>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3079</Words>
  <Characters>16939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jsalas</dc:creator>
  <cp:lastModifiedBy>Edgard Jorge Espinoza Ramírez</cp:lastModifiedBy>
  <cp:revision>2</cp:revision>
  <dcterms:created xsi:type="dcterms:W3CDTF">2017-04-24T21:08:00Z</dcterms:created>
  <dcterms:modified xsi:type="dcterms:W3CDTF">2017-04-24T21:08:00Z</dcterms:modified>
</cp:coreProperties>
</file>